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2">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3">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4">
      <w:pPr>
        <w:spacing w:before="0" w:line="240" w:lineRule="auto"/>
        <w:rPr/>
      </w:pPr>
      <w:r w:rsidDel="00000000" w:rsidR="00000000" w:rsidRPr="00000000">
        <w:rPr>
          <w:rFonts w:ascii="Times New Roman" w:cs="Times New Roman" w:eastAsia="Times New Roman" w:hAnsi="Times New Roman"/>
          <w:color w:val="666666"/>
          <w:sz w:val="20"/>
          <w:szCs w:val="20"/>
          <w:rtl w:val="0"/>
        </w:rPr>
        <w:t xml:space="preserve">office@levinelegal.ca</w:t>
      </w:r>
      <w:r w:rsidDel="00000000" w:rsidR="00000000" w:rsidRPr="00000000">
        <w:rPr>
          <w:rtl w:val="0"/>
        </w:rPr>
      </w:r>
    </w:p>
    <w:p w:rsidR="00000000" w:rsidDel="00000000" w:rsidP="00000000" w:rsidRDefault="00000000" w:rsidRPr="00000000" w14:paraId="00000005">
      <w:pPr>
        <w:pStyle w:val="Title"/>
        <w:jc w:val="both"/>
        <w:rPr/>
      </w:pPr>
      <w:bookmarkStart w:colFirst="0" w:colLast="0" w:name="_ajkbc8tn9asw" w:id="0"/>
      <w:bookmarkEnd w:id="0"/>
      <w:r w:rsidDel="00000000" w:rsidR="00000000" w:rsidRPr="00000000">
        <w:rPr>
          <w:rtl w:val="0"/>
        </w:rPr>
        <w:t xml:space="preserve">Corporate Law -  Deal - Price - SR&amp;ED Credits  </w:t>
      </w:r>
    </w:p>
    <w:p w:rsidR="00000000" w:rsidDel="00000000" w:rsidP="00000000" w:rsidRDefault="00000000" w:rsidRPr="00000000" w14:paraId="00000006">
      <w:pPr>
        <w:pStyle w:val="Subtitle"/>
        <w:rPr/>
      </w:pPr>
      <w:bookmarkStart w:colFirst="0" w:colLast="0" w:name="_sp79cxbd8dc" w:id="1"/>
      <w:bookmarkEnd w:id="1"/>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July 2024</w:t>
      </w:r>
      <w:r w:rsidDel="00000000" w:rsidR="00000000" w:rsidRPr="00000000">
        <w:rPr>
          <w:rtl w:val="0"/>
        </w:rPr>
      </w:r>
    </w:p>
    <w:p w:rsidR="00000000" w:rsidDel="00000000" w:rsidP="00000000" w:rsidRDefault="00000000" w:rsidRPr="00000000" w14:paraId="00000007">
      <w:pPr>
        <w:pStyle w:val="Heading1"/>
        <w:rPr/>
      </w:pPr>
      <w:bookmarkStart w:colFirst="0" w:colLast="0" w:name="_fx6xahois276" w:id="2"/>
      <w:bookmarkEnd w:id="2"/>
      <w:r w:rsidDel="00000000" w:rsidR="00000000" w:rsidRPr="00000000">
        <w:rPr>
          <w:rtl w:val="0"/>
        </w:rPr>
      </w:r>
    </w:p>
    <w:p w:rsidR="00000000" w:rsidDel="00000000" w:rsidP="00000000" w:rsidRDefault="00000000" w:rsidRPr="00000000" w14:paraId="00000008">
      <w:pPr>
        <w:pStyle w:val="Heading1"/>
        <w:rPr>
          <w:rFonts w:ascii="Verdana" w:cs="Verdana" w:eastAsia="Verdana" w:hAnsi="Verdana"/>
          <w:color w:val="212121"/>
          <w:sz w:val="18"/>
          <w:szCs w:val="18"/>
        </w:rPr>
      </w:pPr>
      <w:bookmarkStart w:colFirst="0" w:colLast="0" w:name="_9jmwuenuak7n" w:id="3"/>
      <w:bookmarkEnd w:id="3"/>
      <w:r w:rsidDel="00000000" w:rsidR="00000000" w:rsidRPr="00000000">
        <w:rPr>
          <w:rtl w:val="0"/>
        </w:rPr>
      </w:r>
    </w:p>
    <w:p w:rsidR="00000000" w:rsidDel="00000000" w:rsidP="00000000" w:rsidRDefault="00000000" w:rsidRPr="00000000" w14:paraId="00000009">
      <w:pPr>
        <w:pStyle w:val="Heading1"/>
        <w:rPr/>
      </w:pPr>
      <w:bookmarkStart w:colFirst="0" w:colLast="0" w:name="_3djuclt1armz" w:id="4"/>
      <w:bookmarkEnd w:id="4"/>
      <w:r w:rsidDel="00000000" w:rsidR="00000000" w:rsidRPr="00000000">
        <w:rPr>
          <w:rtl w:val="0"/>
        </w:rPr>
        <w:t xml:space="preserve">Scientific and Experimental Research Development Tax Credits:</w:t>
      </w:r>
    </w:p>
    <w:p w:rsidR="00000000" w:rsidDel="00000000" w:rsidP="00000000" w:rsidRDefault="00000000" w:rsidRPr="00000000" w14:paraId="0000000A">
      <w:pPr>
        <w:rPr>
          <w:rFonts w:ascii="Verdana" w:cs="Verdana" w:eastAsia="Verdana" w:hAnsi="Verdana"/>
          <w:b w:val="1"/>
          <w:bCs w:val="1"/>
          <w:color w:val="212121"/>
          <w:sz w:val="18"/>
          <w:szCs w:val="18"/>
        </w:rPr>
      </w:pPr>
      <w:r w:rsidDel="00000000" w:rsidR="00000000" w:rsidRPr="00000000">
        <w:rPr>
          <w:rtl w:val="0"/>
        </w:rPr>
      </w:r>
    </w:p>
    <w:p w:rsidR="00000000" w:rsidDel="00000000" w:rsidP="00000000" w:rsidRDefault="00000000" w:rsidRPr="00000000" w14:paraId="0000000B">
      <w:pPr>
        <w:rPr>
          <w:rFonts w:ascii="Verdana" w:cs="Verdana" w:eastAsia="Verdana" w:hAnsi="Verdana"/>
          <w:b w:val="1"/>
          <w:bCs w:val="1"/>
          <w:color w:val="212121"/>
          <w:sz w:val="18"/>
          <w:szCs w:val="18"/>
        </w:rPr>
      </w:pPr>
      <w:r w:rsidDel="00000000" w:rsidR="00000000" w:rsidRPr="00000000">
        <w:rPr>
          <w:rtl w:val="0"/>
        </w:rPr>
      </w:r>
    </w:p>
    <w:p w:rsidR="00000000" w:rsidDel="00000000" w:rsidP="00000000" w:rsidRDefault="00000000" w:rsidRPr="00000000" w14:paraId="0000000C">
      <w:pPr>
        <w:rPr>
          <w:rFonts w:ascii="Verdana" w:cs="Verdana" w:eastAsia="Verdana" w:hAnsi="Verdana"/>
          <w:b w:val="1"/>
          <w:bCs w:val="1"/>
          <w:color w:val="212121"/>
          <w:sz w:val="18"/>
          <w:szCs w:val="18"/>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80" w:before="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 </w:t>
      </w:r>
      <w:r w:rsidDel="00000000" w:rsidR="00000000" w:rsidRPr="00000000">
        <w:rPr>
          <w:rFonts w:ascii="Verdana" w:cs="Verdana" w:eastAsia="Verdana" w:hAnsi="Verdana"/>
          <w:b w:val="1"/>
          <w:bCs w:val="1"/>
          <w:color w:val="212121"/>
          <w:sz w:val="18"/>
          <w:szCs w:val="18"/>
          <w:shd w:fill="fff099" w:val="clear"/>
          <w:rtl w:val="0"/>
        </w:rPr>
        <w:t xml:space="preserve">SR&amp;ED</w:t>
      </w:r>
      <w:r w:rsidDel="00000000" w:rsidR="00000000" w:rsidRPr="00000000">
        <w:rPr>
          <w:rFonts w:ascii="Verdana" w:cs="Verdana" w:eastAsia="Verdana" w:hAnsi="Verdana"/>
          <w:color w:val="212121"/>
          <w:sz w:val="18"/>
          <w:szCs w:val="18"/>
          <w:rtl w:val="0"/>
        </w:rPr>
        <w:t xml:space="preserve"> Eligibility. The first step in obtaining the benefit of a </w:t>
      </w:r>
      <w:r w:rsidDel="00000000" w:rsidR="00000000" w:rsidRPr="00000000">
        <w:rPr>
          <w:rFonts w:ascii="Verdana" w:cs="Verdana" w:eastAsia="Verdana" w:hAnsi="Verdana"/>
          <w:b w:val="1"/>
          <w:bCs w:val="1"/>
          <w:color w:val="212121"/>
          <w:sz w:val="18"/>
          <w:szCs w:val="18"/>
          <w:shd w:fill="fff099" w:val="clear"/>
          <w:rtl w:val="0"/>
        </w:rPr>
        <w:t xml:space="preserve">SR&amp;ED</w:t>
      </w:r>
      <w:r w:rsidDel="00000000" w:rsidR="00000000" w:rsidRPr="00000000">
        <w:rPr>
          <w:rFonts w:ascii="Verdana" w:cs="Verdana" w:eastAsia="Verdana" w:hAnsi="Verdana"/>
          <w:color w:val="212121"/>
          <w:sz w:val="18"/>
          <w:szCs w:val="18"/>
          <w:rtl w:val="0"/>
        </w:rPr>
        <w:t xml:space="preserve"> deduction is to confirm whether the activities of the corporation are eligible. </w:t>
      </w:r>
      <w:r w:rsidDel="00000000" w:rsidR="00000000" w:rsidRPr="00000000">
        <w:rPr>
          <w:rFonts w:ascii="Verdana" w:cs="Verdana" w:eastAsia="Verdana" w:hAnsi="Verdana"/>
          <w:b w:val="1"/>
          <w:bCs w:val="1"/>
          <w:color w:val="212121"/>
          <w:sz w:val="18"/>
          <w:szCs w:val="18"/>
          <w:shd w:fill="fff099" w:val="clear"/>
          <w:rtl w:val="0"/>
        </w:rPr>
        <w:t xml:space="preserve">SR&amp;ED</w:t>
      </w:r>
      <w:r w:rsidDel="00000000" w:rsidR="00000000" w:rsidRPr="00000000">
        <w:rPr>
          <w:rFonts w:ascii="Verdana" w:cs="Verdana" w:eastAsia="Verdana" w:hAnsi="Verdana"/>
          <w:color w:val="212121"/>
          <w:sz w:val="18"/>
          <w:szCs w:val="18"/>
          <w:rtl w:val="0"/>
        </w:rPr>
        <w:t xml:space="preserve"> work is defined as the “systematic investigation or search that is carried out in a field of science or technology by means of experiment or analysis.” The work can be either:</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80" w:before="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o basic research for the advancement of scientific knowledge (without a specific practical application),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80" w:before="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o applied research (with a specific practical application),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80" w:before="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o experimental development for the purpose of achieving technological advancement (creating new, or improving existing, materials, devices, products or processes, including incremental improvements), or</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80" w:before="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o work with respect to engineering, design, operations research, mathematical analysis, computer programming, data collection, testing or psychological research (work must directly support 1 to 3 above).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80" w:before="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Eligibility for </w:t>
      </w:r>
      <w:r w:rsidDel="00000000" w:rsidR="00000000" w:rsidRPr="00000000">
        <w:rPr>
          <w:rFonts w:ascii="Verdana" w:cs="Verdana" w:eastAsia="Verdana" w:hAnsi="Verdana"/>
          <w:b w:val="1"/>
          <w:bCs w:val="1"/>
          <w:color w:val="212121"/>
          <w:sz w:val="18"/>
          <w:szCs w:val="18"/>
          <w:shd w:fill="fff099" w:val="clear"/>
          <w:rtl w:val="0"/>
        </w:rPr>
        <w:t xml:space="preserve">SR&amp;ED</w:t>
      </w:r>
      <w:r w:rsidDel="00000000" w:rsidR="00000000" w:rsidRPr="00000000">
        <w:rPr>
          <w:rFonts w:ascii="Verdana" w:cs="Verdana" w:eastAsia="Verdana" w:hAnsi="Verdana"/>
          <w:color w:val="212121"/>
          <w:sz w:val="18"/>
          <w:szCs w:val="18"/>
          <w:rtl w:val="0"/>
        </w:rPr>
        <w:t xml:space="preserve"> depends on whether the work is needed because there is scientific or technological uncertainty. Whether or not the corporation is successful in addressing this uncertainty is not relevant to determine whether a </w:t>
      </w:r>
      <w:r w:rsidDel="00000000" w:rsidR="00000000" w:rsidRPr="00000000">
        <w:rPr>
          <w:rFonts w:ascii="Verdana" w:cs="Verdana" w:eastAsia="Verdana" w:hAnsi="Verdana"/>
          <w:b w:val="1"/>
          <w:bCs w:val="1"/>
          <w:color w:val="212121"/>
          <w:sz w:val="18"/>
          <w:szCs w:val="18"/>
          <w:shd w:fill="fff099" w:val="clear"/>
          <w:rtl w:val="0"/>
        </w:rPr>
        <w:t xml:space="preserve">SR&amp;ED</w:t>
      </w:r>
      <w:r w:rsidDel="00000000" w:rsidR="00000000" w:rsidRPr="00000000">
        <w:rPr>
          <w:rFonts w:ascii="Verdana" w:cs="Verdana" w:eastAsia="Verdana" w:hAnsi="Verdana"/>
          <w:color w:val="212121"/>
          <w:sz w:val="18"/>
          <w:szCs w:val="18"/>
          <w:rtl w:val="0"/>
        </w:rPr>
        <w:t xml:space="preserve"> </w:t>
      </w:r>
      <w:r w:rsidDel="00000000" w:rsidR="00000000" w:rsidRPr="00000000">
        <w:rPr>
          <w:rFonts w:ascii="Verdana" w:cs="Verdana" w:eastAsia="Verdana" w:hAnsi="Verdana"/>
          <w:b w:val="1"/>
          <w:bCs w:val="1"/>
          <w:color w:val="212121"/>
          <w:sz w:val="18"/>
          <w:szCs w:val="18"/>
          <w:shd w:fill="fff099" w:val="clear"/>
          <w:rtl w:val="0"/>
        </w:rPr>
        <w:t xml:space="preserve">credit</w:t>
      </w:r>
      <w:r w:rsidDel="00000000" w:rsidR="00000000" w:rsidRPr="00000000">
        <w:rPr>
          <w:rFonts w:ascii="Verdana" w:cs="Verdana" w:eastAsia="Verdana" w:hAnsi="Verdana"/>
          <w:color w:val="212121"/>
          <w:sz w:val="18"/>
          <w:szCs w:val="18"/>
          <w:rtl w:val="0"/>
        </w:rPr>
        <w:t xml:space="preserve"> is available. Work that is non-eligible for </w:t>
      </w:r>
      <w:r w:rsidDel="00000000" w:rsidR="00000000" w:rsidRPr="00000000">
        <w:rPr>
          <w:rFonts w:ascii="Verdana" w:cs="Verdana" w:eastAsia="Verdana" w:hAnsi="Verdana"/>
          <w:b w:val="1"/>
          <w:bCs w:val="1"/>
          <w:color w:val="212121"/>
          <w:sz w:val="18"/>
          <w:szCs w:val="18"/>
          <w:shd w:fill="fff099" w:val="clear"/>
          <w:rtl w:val="0"/>
        </w:rPr>
        <w:t xml:space="preserve">SR&amp;ED</w:t>
      </w:r>
      <w:r w:rsidDel="00000000" w:rsidR="00000000" w:rsidRPr="00000000">
        <w:rPr>
          <w:rFonts w:ascii="Verdana" w:cs="Verdana" w:eastAsia="Verdana" w:hAnsi="Verdana"/>
          <w:color w:val="212121"/>
          <w:sz w:val="18"/>
          <w:szCs w:val="18"/>
          <w:rtl w:val="0"/>
        </w:rPr>
        <w:t xml:space="preserve"> includes market research, quality control or routine testing, prospecting, style changes, routine data collection or commercial production of a new or improved material, device or product.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80" w:before="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It is not always evident whether certain activities fall within the purview of </w:t>
      </w:r>
      <w:r w:rsidDel="00000000" w:rsidR="00000000" w:rsidRPr="00000000">
        <w:rPr>
          <w:rFonts w:ascii="Verdana" w:cs="Verdana" w:eastAsia="Verdana" w:hAnsi="Verdana"/>
          <w:b w:val="1"/>
          <w:bCs w:val="1"/>
          <w:color w:val="212121"/>
          <w:sz w:val="18"/>
          <w:szCs w:val="18"/>
          <w:shd w:fill="fff099" w:val="clear"/>
          <w:rtl w:val="0"/>
        </w:rPr>
        <w:t xml:space="preserve">SR&amp;ED</w:t>
      </w:r>
      <w:r w:rsidDel="00000000" w:rsidR="00000000" w:rsidRPr="00000000">
        <w:rPr>
          <w:rFonts w:ascii="Verdana" w:cs="Verdana" w:eastAsia="Verdana" w:hAnsi="Verdana"/>
          <w:color w:val="212121"/>
          <w:sz w:val="18"/>
          <w:szCs w:val="18"/>
          <w:rtl w:val="0"/>
        </w:rPr>
        <w:t xml:space="preserve"> If the Purchaser expects to continue to apply for </w:t>
      </w:r>
      <w:r w:rsidDel="00000000" w:rsidR="00000000" w:rsidRPr="00000000">
        <w:rPr>
          <w:rFonts w:ascii="Verdana" w:cs="Verdana" w:eastAsia="Verdana" w:hAnsi="Verdana"/>
          <w:b w:val="1"/>
          <w:bCs w:val="1"/>
          <w:color w:val="212121"/>
          <w:sz w:val="18"/>
          <w:szCs w:val="18"/>
          <w:shd w:fill="fff099" w:val="clear"/>
          <w:rtl w:val="0"/>
        </w:rPr>
        <w:t xml:space="preserve">SR&amp;ED</w:t>
      </w:r>
      <w:r w:rsidDel="00000000" w:rsidR="00000000" w:rsidRPr="00000000">
        <w:rPr>
          <w:rFonts w:ascii="Verdana" w:cs="Verdana" w:eastAsia="Verdana" w:hAnsi="Verdana"/>
          <w:color w:val="212121"/>
          <w:sz w:val="18"/>
          <w:szCs w:val="18"/>
          <w:rtl w:val="0"/>
        </w:rPr>
        <w:t xml:space="preserve"> </w:t>
      </w:r>
      <w:r w:rsidDel="00000000" w:rsidR="00000000" w:rsidRPr="00000000">
        <w:rPr>
          <w:rFonts w:ascii="Verdana" w:cs="Verdana" w:eastAsia="Verdana" w:hAnsi="Verdana"/>
          <w:b w:val="1"/>
          <w:bCs w:val="1"/>
          <w:color w:val="212121"/>
          <w:sz w:val="18"/>
          <w:szCs w:val="18"/>
          <w:shd w:fill="fff099" w:val="clear"/>
          <w:rtl w:val="0"/>
        </w:rPr>
        <w:t xml:space="preserve">credits</w:t>
      </w:r>
      <w:r w:rsidDel="00000000" w:rsidR="00000000" w:rsidRPr="00000000">
        <w:rPr>
          <w:rFonts w:ascii="Verdana" w:cs="Verdana" w:eastAsia="Verdana" w:hAnsi="Verdana"/>
          <w:color w:val="212121"/>
          <w:sz w:val="18"/>
          <w:szCs w:val="18"/>
          <w:rtl w:val="0"/>
        </w:rPr>
        <w:t xml:space="preserve"> and has included the value of the </w:t>
      </w:r>
      <w:r w:rsidDel="00000000" w:rsidR="00000000" w:rsidRPr="00000000">
        <w:rPr>
          <w:rFonts w:ascii="Verdana" w:cs="Verdana" w:eastAsia="Verdana" w:hAnsi="Verdana"/>
          <w:b w:val="1"/>
          <w:bCs w:val="1"/>
          <w:color w:val="212121"/>
          <w:sz w:val="18"/>
          <w:szCs w:val="18"/>
          <w:shd w:fill="fff099" w:val="clear"/>
          <w:rtl w:val="0"/>
        </w:rPr>
        <w:t xml:space="preserve">credits</w:t>
      </w:r>
      <w:r w:rsidDel="00000000" w:rsidR="00000000" w:rsidRPr="00000000">
        <w:rPr>
          <w:rFonts w:ascii="Verdana" w:cs="Verdana" w:eastAsia="Verdana" w:hAnsi="Verdana"/>
          <w:color w:val="212121"/>
          <w:sz w:val="18"/>
          <w:szCs w:val="18"/>
          <w:rtl w:val="0"/>
        </w:rPr>
        <w:t xml:space="preserve"> as part of the purchase price, it is important that it conduct its own due diligence to confirm that the </w:t>
      </w:r>
      <w:r w:rsidDel="00000000" w:rsidR="00000000" w:rsidRPr="00000000">
        <w:rPr>
          <w:rFonts w:ascii="Verdana" w:cs="Verdana" w:eastAsia="Verdana" w:hAnsi="Verdana"/>
          <w:b w:val="1"/>
          <w:bCs w:val="1"/>
          <w:color w:val="212121"/>
          <w:sz w:val="18"/>
          <w:szCs w:val="18"/>
          <w:shd w:fill="fff099" w:val="clear"/>
          <w:rtl w:val="0"/>
        </w:rPr>
        <w:t xml:space="preserve">credits</w:t>
      </w:r>
      <w:r w:rsidDel="00000000" w:rsidR="00000000" w:rsidRPr="00000000">
        <w:rPr>
          <w:rFonts w:ascii="Verdana" w:cs="Verdana" w:eastAsia="Verdana" w:hAnsi="Verdana"/>
          <w:color w:val="212121"/>
          <w:sz w:val="18"/>
          <w:szCs w:val="18"/>
          <w:rtl w:val="0"/>
        </w:rPr>
        <w:t xml:space="preserve"> would be available. The Purchaser can get expert opinions to determine whether the Canada Revenue Agency (CRA) would consider the activities to be eligible for </w:t>
      </w:r>
      <w:r w:rsidDel="00000000" w:rsidR="00000000" w:rsidRPr="00000000">
        <w:rPr>
          <w:rFonts w:ascii="Verdana" w:cs="Verdana" w:eastAsia="Verdana" w:hAnsi="Verdana"/>
          <w:b w:val="1"/>
          <w:bCs w:val="1"/>
          <w:color w:val="212121"/>
          <w:sz w:val="18"/>
          <w:szCs w:val="18"/>
          <w:shd w:fill="fff099" w:val="clear"/>
          <w:rtl w:val="0"/>
        </w:rPr>
        <w:t xml:space="preserve">SR&amp;ED tax credits</w:t>
      </w:r>
      <w:r w:rsidDel="00000000" w:rsidR="00000000" w:rsidRPr="00000000">
        <w:rPr>
          <w:rFonts w:ascii="Verdana" w:cs="Verdana" w:eastAsia="Verdana" w:hAnsi="Verdana"/>
          <w:color w:val="212121"/>
          <w:sz w:val="18"/>
          <w:szCs w:val="18"/>
          <w:rtl w:val="0"/>
        </w:rPr>
        <w:t xml:space="preserve"> on an ongoing basis, especially if there will be changes to the work or operations of the target corporation after the sale. Due diligence should include reviewing any past letters or communication with CRA, and any reassessments or audits conducted with respect to the </w:t>
      </w:r>
      <w:r w:rsidDel="00000000" w:rsidR="00000000" w:rsidRPr="00000000">
        <w:rPr>
          <w:rFonts w:ascii="Verdana" w:cs="Verdana" w:eastAsia="Verdana" w:hAnsi="Verdana"/>
          <w:b w:val="1"/>
          <w:bCs w:val="1"/>
          <w:color w:val="212121"/>
          <w:sz w:val="18"/>
          <w:szCs w:val="18"/>
          <w:shd w:fill="fff099" w:val="clear"/>
          <w:rtl w:val="0"/>
        </w:rPr>
        <w:t xml:space="preserve">SR&amp;ED tax credits</w:t>
      </w:r>
      <w:r w:rsidDel="00000000" w:rsidR="00000000" w:rsidRPr="00000000">
        <w:rPr>
          <w:rFonts w:ascii="Verdana" w:cs="Verdana" w:eastAsia="Verdana" w:hAnsi="Verdana"/>
          <w:color w:val="212121"/>
          <w:sz w:val="18"/>
          <w:szCs w:val="18"/>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80" w:before="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 </w:t>
      </w:r>
      <w:r w:rsidDel="00000000" w:rsidR="00000000" w:rsidRPr="00000000">
        <w:rPr>
          <w:rFonts w:ascii="Verdana" w:cs="Verdana" w:eastAsia="Verdana" w:hAnsi="Verdana"/>
          <w:b w:val="1"/>
          <w:bCs w:val="1"/>
          <w:color w:val="212121"/>
          <w:sz w:val="18"/>
          <w:szCs w:val="18"/>
          <w:shd w:fill="fff099" w:val="clear"/>
          <w:rtl w:val="0"/>
        </w:rPr>
        <w:t xml:space="preserve">SR&amp;ED</w:t>
      </w:r>
      <w:r w:rsidDel="00000000" w:rsidR="00000000" w:rsidRPr="00000000">
        <w:rPr>
          <w:rFonts w:ascii="Verdana" w:cs="Verdana" w:eastAsia="Verdana" w:hAnsi="Verdana"/>
          <w:b w:val="1"/>
          <w:bCs w:val="1"/>
          <w:color w:val="212121"/>
          <w:sz w:val="18"/>
          <w:szCs w:val="18"/>
          <w:rtl w:val="0"/>
        </w:rPr>
        <w:t xml:space="preserve"> Benefit.</w:t>
      </w:r>
      <w:r w:rsidDel="00000000" w:rsidR="00000000" w:rsidRPr="00000000">
        <w:rPr>
          <w:rFonts w:ascii="Verdana" w:cs="Verdana" w:eastAsia="Verdana" w:hAnsi="Verdana"/>
          <w:color w:val="212121"/>
          <w:sz w:val="18"/>
          <w:szCs w:val="18"/>
          <w:rtl w:val="0"/>
        </w:rPr>
        <w:t xml:space="preserve"> The </w:t>
      </w:r>
      <w:r w:rsidDel="00000000" w:rsidR="00000000" w:rsidRPr="00000000">
        <w:rPr>
          <w:rFonts w:ascii="Verdana" w:cs="Verdana" w:eastAsia="Verdana" w:hAnsi="Verdana"/>
          <w:b w:val="1"/>
          <w:bCs w:val="1"/>
          <w:color w:val="212121"/>
          <w:sz w:val="18"/>
          <w:szCs w:val="18"/>
          <w:shd w:fill="fff099" w:val="clear"/>
          <w:rtl w:val="0"/>
        </w:rPr>
        <w:t xml:space="preserve">SR&amp;ED</w:t>
      </w:r>
      <w:r w:rsidDel="00000000" w:rsidR="00000000" w:rsidRPr="00000000">
        <w:rPr>
          <w:rFonts w:ascii="Verdana" w:cs="Verdana" w:eastAsia="Verdana" w:hAnsi="Verdana"/>
          <w:color w:val="212121"/>
          <w:sz w:val="18"/>
          <w:szCs w:val="18"/>
          <w:rtl w:val="0"/>
        </w:rPr>
        <w:t xml:space="preserve"> program enables a taxpayer to claim </w:t>
      </w:r>
      <w:r w:rsidDel="00000000" w:rsidR="00000000" w:rsidRPr="00000000">
        <w:rPr>
          <w:rFonts w:ascii="Verdana" w:cs="Verdana" w:eastAsia="Verdana" w:hAnsi="Verdana"/>
          <w:b w:val="1"/>
          <w:bCs w:val="1"/>
          <w:color w:val="212121"/>
          <w:sz w:val="18"/>
          <w:szCs w:val="18"/>
          <w:shd w:fill="fff099" w:val="clear"/>
          <w:rtl w:val="0"/>
        </w:rPr>
        <w:t xml:space="preserve">SR&amp;ED</w:t>
      </w:r>
      <w:r w:rsidDel="00000000" w:rsidR="00000000" w:rsidRPr="00000000">
        <w:rPr>
          <w:rFonts w:ascii="Verdana" w:cs="Verdana" w:eastAsia="Verdana" w:hAnsi="Verdana"/>
          <w:color w:val="212121"/>
          <w:sz w:val="18"/>
          <w:szCs w:val="18"/>
          <w:rtl w:val="0"/>
        </w:rPr>
        <w:t xml:space="preserve"> expenses as part of a pool and use that pool to reduce the income </w:t>
      </w:r>
      <w:r w:rsidDel="00000000" w:rsidR="00000000" w:rsidRPr="00000000">
        <w:rPr>
          <w:rFonts w:ascii="Verdana" w:cs="Verdana" w:eastAsia="Verdana" w:hAnsi="Verdana"/>
          <w:b w:val="1"/>
          <w:bCs w:val="1"/>
          <w:color w:val="212121"/>
          <w:sz w:val="18"/>
          <w:szCs w:val="18"/>
          <w:shd w:fill="fff099" w:val="clear"/>
          <w:rtl w:val="0"/>
        </w:rPr>
        <w:t xml:space="preserve">taxes</w:t>
      </w:r>
      <w:r w:rsidDel="00000000" w:rsidR="00000000" w:rsidRPr="00000000">
        <w:rPr>
          <w:rFonts w:ascii="Verdana" w:cs="Verdana" w:eastAsia="Verdana" w:hAnsi="Verdana"/>
          <w:color w:val="212121"/>
          <w:sz w:val="18"/>
          <w:szCs w:val="18"/>
          <w:rtl w:val="0"/>
        </w:rPr>
        <w:t xml:space="preserve"> in a current year or carry it forward. A taxpayer can also receive investment </w:t>
      </w:r>
      <w:r w:rsidDel="00000000" w:rsidR="00000000" w:rsidRPr="00000000">
        <w:rPr>
          <w:rFonts w:ascii="Verdana" w:cs="Verdana" w:eastAsia="Verdana" w:hAnsi="Verdana"/>
          <w:b w:val="1"/>
          <w:bCs w:val="1"/>
          <w:color w:val="212121"/>
          <w:sz w:val="18"/>
          <w:szCs w:val="18"/>
          <w:shd w:fill="fff099" w:val="clear"/>
          <w:rtl w:val="0"/>
        </w:rPr>
        <w:t xml:space="preserve">tax credits</w:t>
      </w:r>
      <w:r w:rsidDel="00000000" w:rsidR="00000000" w:rsidRPr="00000000">
        <w:rPr>
          <w:rFonts w:ascii="Verdana" w:cs="Verdana" w:eastAsia="Verdana" w:hAnsi="Verdana"/>
          <w:color w:val="212121"/>
          <w:sz w:val="18"/>
          <w:szCs w:val="18"/>
          <w:rtl w:val="0"/>
        </w:rPr>
        <w:t xml:space="preserve"> (ITCs) which can used to get a cash refund, a reduction in </w:t>
      </w:r>
      <w:r w:rsidDel="00000000" w:rsidR="00000000" w:rsidRPr="00000000">
        <w:rPr>
          <w:rFonts w:ascii="Verdana" w:cs="Verdana" w:eastAsia="Verdana" w:hAnsi="Verdana"/>
          <w:b w:val="1"/>
          <w:bCs w:val="1"/>
          <w:color w:val="212121"/>
          <w:sz w:val="18"/>
          <w:szCs w:val="18"/>
          <w:shd w:fill="fff099" w:val="clear"/>
          <w:rtl w:val="0"/>
        </w:rPr>
        <w:t xml:space="preserve">tax</w:t>
      </w:r>
      <w:r w:rsidDel="00000000" w:rsidR="00000000" w:rsidRPr="00000000">
        <w:rPr>
          <w:rFonts w:ascii="Verdana" w:cs="Verdana" w:eastAsia="Verdana" w:hAnsi="Verdana"/>
          <w:color w:val="212121"/>
          <w:sz w:val="18"/>
          <w:szCs w:val="18"/>
          <w:rtl w:val="0"/>
        </w:rPr>
        <w:t xml:space="preserve"> payable or both a reduction and refund, depending on the circumstances. The basic rate for ITCs for corporations, partnerships, sole proprietorships, and individuals is 15%. A Canadian controlled private corporation (CCPC) can earn ITCs at an enhanced rate of 35% up to a maximum threshold of $3 million. Taxpayers can use the </w:t>
      </w:r>
      <w:r w:rsidDel="00000000" w:rsidR="00000000" w:rsidRPr="00000000">
        <w:rPr>
          <w:rFonts w:ascii="Verdana" w:cs="Verdana" w:eastAsia="Verdana" w:hAnsi="Verdana"/>
          <w:b w:val="1"/>
          <w:bCs w:val="1"/>
          <w:color w:val="212121"/>
          <w:sz w:val="18"/>
          <w:szCs w:val="18"/>
          <w:shd w:fill="fff099" w:val="clear"/>
          <w:rtl w:val="0"/>
        </w:rPr>
        <w:t xml:space="preserve">credits</w:t>
      </w:r>
      <w:r w:rsidDel="00000000" w:rsidR="00000000" w:rsidRPr="00000000">
        <w:rPr>
          <w:rFonts w:ascii="Verdana" w:cs="Verdana" w:eastAsia="Verdana" w:hAnsi="Verdana"/>
          <w:color w:val="212121"/>
          <w:sz w:val="18"/>
          <w:szCs w:val="18"/>
          <w:rtl w:val="0"/>
        </w:rPr>
        <w:t xml:space="preserve"> to reduce their Part I </w:t>
      </w:r>
      <w:r w:rsidDel="00000000" w:rsidR="00000000" w:rsidRPr="00000000">
        <w:rPr>
          <w:rFonts w:ascii="Verdana" w:cs="Verdana" w:eastAsia="Verdana" w:hAnsi="Verdana"/>
          <w:b w:val="1"/>
          <w:bCs w:val="1"/>
          <w:color w:val="212121"/>
          <w:sz w:val="18"/>
          <w:szCs w:val="18"/>
          <w:shd w:fill="fff099" w:val="clear"/>
          <w:rtl w:val="0"/>
        </w:rPr>
        <w:t xml:space="preserve">tax</w:t>
      </w:r>
      <w:r w:rsidDel="00000000" w:rsidR="00000000" w:rsidRPr="00000000">
        <w:rPr>
          <w:rFonts w:ascii="Verdana" w:cs="Verdana" w:eastAsia="Verdana" w:hAnsi="Verdana"/>
          <w:color w:val="212121"/>
          <w:sz w:val="18"/>
          <w:szCs w:val="18"/>
          <w:rtl w:val="0"/>
        </w:rPr>
        <w:t xml:space="preserve"> payable to nil. Unused ITCs can be carried back for 3 years or forward for 20 years. Certain CCPCs can receive a cash refund on qualified </w:t>
      </w:r>
      <w:r w:rsidDel="00000000" w:rsidR="00000000" w:rsidRPr="00000000">
        <w:rPr>
          <w:rFonts w:ascii="Verdana" w:cs="Verdana" w:eastAsia="Verdana" w:hAnsi="Verdana"/>
          <w:b w:val="1"/>
          <w:bCs w:val="1"/>
          <w:color w:val="212121"/>
          <w:sz w:val="18"/>
          <w:szCs w:val="18"/>
          <w:shd w:fill="fff099" w:val="clear"/>
          <w:rtl w:val="0"/>
        </w:rPr>
        <w:t xml:space="preserve">SR&amp;ED</w:t>
      </w:r>
      <w:r w:rsidDel="00000000" w:rsidR="00000000" w:rsidRPr="00000000">
        <w:rPr>
          <w:rFonts w:ascii="Verdana" w:cs="Verdana" w:eastAsia="Verdana" w:hAnsi="Verdana"/>
          <w:color w:val="212121"/>
          <w:sz w:val="18"/>
          <w:szCs w:val="18"/>
          <w:rtl w:val="0"/>
        </w:rPr>
        <w:t xml:space="preserve">expenses. Some provinces also provide additional provincial </w:t>
      </w:r>
      <w:r w:rsidDel="00000000" w:rsidR="00000000" w:rsidRPr="00000000">
        <w:rPr>
          <w:rFonts w:ascii="Verdana" w:cs="Verdana" w:eastAsia="Verdana" w:hAnsi="Verdana"/>
          <w:b w:val="1"/>
          <w:bCs w:val="1"/>
          <w:color w:val="212121"/>
          <w:sz w:val="18"/>
          <w:szCs w:val="18"/>
          <w:shd w:fill="fff099" w:val="clear"/>
          <w:rtl w:val="0"/>
        </w:rPr>
        <w:t xml:space="preserve">tax credits</w:t>
      </w:r>
      <w:r w:rsidDel="00000000" w:rsidR="00000000" w:rsidRPr="00000000">
        <w:rPr>
          <w:rFonts w:ascii="Verdana" w:cs="Verdana" w:eastAsia="Verdana" w:hAnsi="Verdana"/>
          <w:color w:val="212121"/>
          <w:sz w:val="18"/>
          <w:szCs w:val="18"/>
          <w:rtl w:val="0"/>
        </w:rPr>
        <w:t xml:space="preserve"> that vary in rates and eligibility criteria.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80" w:before="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 </w:t>
      </w:r>
      <w:r w:rsidDel="00000000" w:rsidR="00000000" w:rsidRPr="00000000">
        <w:rPr>
          <w:rFonts w:ascii="Verdana" w:cs="Verdana" w:eastAsia="Verdana" w:hAnsi="Verdana"/>
          <w:b w:val="1"/>
          <w:bCs w:val="1"/>
          <w:color w:val="212121"/>
          <w:sz w:val="18"/>
          <w:szCs w:val="18"/>
          <w:rtl w:val="0"/>
        </w:rPr>
        <w:t xml:space="preserve">Filing Requirements.</w:t>
      </w:r>
      <w:r w:rsidDel="00000000" w:rsidR="00000000" w:rsidRPr="00000000">
        <w:rPr>
          <w:rFonts w:ascii="Verdana" w:cs="Verdana" w:eastAsia="Verdana" w:hAnsi="Verdana"/>
          <w:color w:val="212121"/>
          <w:sz w:val="18"/>
          <w:szCs w:val="18"/>
          <w:rtl w:val="0"/>
        </w:rPr>
        <w:t xml:space="preserve"> To claim the </w:t>
      </w:r>
      <w:r w:rsidDel="00000000" w:rsidR="00000000" w:rsidRPr="00000000">
        <w:rPr>
          <w:rFonts w:ascii="Verdana" w:cs="Verdana" w:eastAsia="Verdana" w:hAnsi="Verdana"/>
          <w:b w:val="1"/>
          <w:bCs w:val="1"/>
          <w:color w:val="212121"/>
          <w:sz w:val="18"/>
          <w:szCs w:val="18"/>
          <w:shd w:fill="fff099" w:val="clear"/>
          <w:rtl w:val="0"/>
        </w:rPr>
        <w:t xml:space="preserve">SR&amp;ED</w:t>
      </w:r>
      <w:r w:rsidDel="00000000" w:rsidR="00000000" w:rsidRPr="00000000">
        <w:rPr>
          <w:rFonts w:ascii="Verdana" w:cs="Verdana" w:eastAsia="Verdana" w:hAnsi="Verdana"/>
          <w:color w:val="212121"/>
          <w:sz w:val="18"/>
          <w:szCs w:val="18"/>
          <w:rtl w:val="0"/>
        </w:rPr>
        <w:t xml:space="preserve"> expenses, </w:t>
      </w:r>
      <w:hyperlink r:id="rId6">
        <w:r w:rsidDel="00000000" w:rsidR="00000000" w:rsidRPr="00000000">
          <w:rPr>
            <w:rFonts w:ascii="Verdana" w:cs="Verdana" w:eastAsia="Verdana" w:hAnsi="Verdana"/>
            <w:color w:val="006ebb"/>
            <w:sz w:val="18"/>
            <w:szCs w:val="18"/>
            <w:u w:val="single"/>
            <w:rtl w:val="0"/>
          </w:rPr>
          <w:t xml:space="preserve">Form T661, Scientific Research and Experimental Development (</w:t>
        </w:r>
      </w:hyperlink>
      <w:hyperlink r:id="rId7">
        <w:r w:rsidDel="00000000" w:rsidR="00000000" w:rsidRPr="00000000">
          <w:rPr>
            <w:rFonts w:ascii="Verdana" w:cs="Verdana" w:eastAsia="Verdana" w:hAnsi="Verdana"/>
            <w:b w:val="1"/>
            <w:bCs w:val="1"/>
            <w:color w:val="006ebb"/>
            <w:sz w:val="18"/>
            <w:szCs w:val="18"/>
            <w:u w:val="single"/>
            <w:shd w:fill="fff099" w:val="clear"/>
            <w:rtl w:val="0"/>
          </w:rPr>
          <w:t xml:space="preserve">SR &amp; ED</w:t>
        </w:r>
      </w:hyperlink>
      <w:hyperlink r:id="rId8">
        <w:r w:rsidDel="00000000" w:rsidR="00000000" w:rsidRPr="00000000">
          <w:rPr>
            <w:rFonts w:ascii="Verdana" w:cs="Verdana" w:eastAsia="Verdana" w:hAnsi="Verdana"/>
            <w:color w:val="006ebb"/>
            <w:sz w:val="18"/>
            <w:szCs w:val="18"/>
            <w:u w:val="single"/>
            <w:rtl w:val="0"/>
          </w:rPr>
          <w:t xml:space="preserve">) Expenditures Claim</w:t>
        </w:r>
      </w:hyperlink>
      <w:r w:rsidDel="00000000" w:rsidR="00000000" w:rsidRPr="00000000">
        <w:rPr>
          <w:rFonts w:ascii="Verdana" w:cs="Verdana" w:eastAsia="Verdana" w:hAnsi="Verdana"/>
          <w:color w:val="212121"/>
          <w:sz w:val="18"/>
          <w:szCs w:val="18"/>
          <w:rtl w:val="0"/>
        </w:rPr>
        <w:t xml:space="preserve"> must be completed within 12 months after the filing due date for the applicable </w:t>
      </w:r>
      <w:r w:rsidDel="00000000" w:rsidR="00000000" w:rsidRPr="00000000">
        <w:rPr>
          <w:rFonts w:ascii="Verdana" w:cs="Verdana" w:eastAsia="Verdana" w:hAnsi="Verdana"/>
          <w:b w:val="1"/>
          <w:bCs w:val="1"/>
          <w:color w:val="212121"/>
          <w:sz w:val="18"/>
          <w:szCs w:val="18"/>
          <w:shd w:fill="fff099" w:val="clear"/>
          <w:rtl w:val="0"/>
        </w:rPr>
        <w:t xml:space="preserve">tax</w:t>
      </w:r>
      <w:r w:rsidDel="00000000" w:rsidR="00000000" w:rsidRPr="00000000">
        <w:rPr>
          <w:rFonts w:ascii="Verdana" w:cs="Verdana" w:eastAsia="Verdana" w:hAnsi="Verdana"/>
          <w:color w:val="212121"/>
          <w:sz w:val="18"/>
          <w:szCs w:val="18"/>
          <w:rtl w:val="0"/>
        </w:rPr>
        <w:t xml:space="preserve"> return. To claim </w:t>
      </w:r>
      <w:r w:rsidDel="00000000" w:rsidR="00000000" w:rsidRPr="00000000">
        <w:rPr>
          <w:rFonts w:ascii="Verdana" w:cs="Verdana" w:eastAsia="Verdana" w:hAnsi="Verdana"/>
          <w:b w:val="1"/>
          <w:bCs w:val="1"/>
          <w:color w:val="212121"/>
          <w:sz w:val="18"/>
          <w:szCs w:val="18"/>
          <w:shd w:fill="fff099" w:val="clear"/>
          <w:rtl w:val="0"/>
        </w:rPr>
        <w:t xml:space="preserve">SR&amp;ED</w:t>
      </w:r>
      <w:r w:rsidDel="00000000" w:rsidR="00000000" w:rsidRPr="00000000">
        <w:rPr>
          <w:rFonts w:ascii="Verdana" w:cs="Verdana" w:eastAsia="Verdana" w:hAnsi="Verdana"/>
          <w:color w:val="212121"/>
          <w:sz w:val="18"/>
          <w:szCs w:val="18"/>
          <w:rtl w:val="0"/>
        </w:rPr>
        <w:t xml:space="preserve"> ITCs, the business must file a </w:t>
      </w:r>
      <w:hyperlink r:id="rId9">
        <w:r w:rsidDel="00000000" w:rsidR="00000000" w:rsidRPr="00000000">
          <w:rPr>
            <w:rFonts w:ascii="Verdana" w:cs="Verdana" w:eastAsia="Verdana" w:hAnsi="Verdana"/>
            <w:color w:val="006ebb"/>
            <w:sz w:val="18"/>
            <w:szCs w:val="18"/>
            <w:u w:val="single"/>
            <w:rtl w:val="0"/>
          </w:rPr>
          <w:t xml:space="preserve">Schedule T2SCH31, Investment </w:t>
        </w:r>
      </w:hyperlink>
      <w:hyperlink r:id="rId10">
        <w:r w:rsidDel="00000000" w:rsidR="00000000" w:rsidRPr="00000000">
          <w:rPr>
            <w:rFonts w:ascii="Verdana" w:cs="Verdana" w:eastAsia="Verdana" w:hAnsi="Verdana"/>
            <w:b w:val="1"/>
            <w:bCs w:val="1"/>
            <w:color w:val="006ebb"/>
            <w:sz w:val="18"/>
            <w:szCs w:val="18"/>
            <w:u w:val="single"/>
            <w:shd w:fill="fff099" w:val="clear"/>
            <w:rtl w:val="0"/>
          </w:rPr>
          <w:t xml:space="preserve">Tax Credit</w:t>
        </w:r>
      </w:hyperlink>
      <w:hyperlink r:id="rId11">
        <w:r w:rsidDel="00000000" w:rsidR="00000000" w:rsidRPr="00000000">
          <w:rPr>
            <w:rFonts w:ascii="Verdana" w:cs="Verdana" w:eastAsia="Verdana" w:hAnsi="Verdana"/>
            <w:color w:val="006ebb"/>
            <w:sz w:val="18"/>
            <w:szCs w:val="18"/>
            <w:u w:val="single"/>
            <w:rtl w:val="0"/>
          </w:rPr>
          <w:t xml:space="preserve"> – Corporations</w:t>
        </w:r>
      </w:hyperlink>
      <w:r w:rsidDel="00000000" w:rsidR="00000000" w:rsidRPr="00000000">
        <w:rPr>
          <w:rFonts w:ascii="Verdana" w:cs="Verdana" w:eastAsia="Verdana" w:hAnsi="Verdana"/>
          <w:color w:val="212121"/>
          <w:sz w:val="18"/>
          <w:szCs w:val="18"/>
          <w:rtl w:val="0"/>
        </w:rPr>
        <w:t xml:space="preserve">, with the CRA which is the prescribed form for corporations, as part of its annual </w:t>
      </w:r>
      <w:r w:rsidDel="00000000" w:rsidR="00000000" w:rsidRPr="00000000">
        <w:rPr>
          <w:rFonts w:ascii="Verdana" w:cs="Verdana" w:eastAsia="Verdana" w:hAnsi="Verdana"/>
          <w:b w:val="1"/>
          <w:bCs w:val="1"/>
          <w:color w:val="212121"/>
          <w:sz w:val="18"/>
          <w:szCs w:val="18"/>
          <w:shd w:fill="fff099" w:val="clear"/>
          <w:rtl w:val="0"/>
        </w:rPr>
        <w:t xml:space="preserve">tax</w:t>
      </w:r>
      <w:r w:rsidDel="00000000" w:rsidR="00000000" w:rsidRPr="00000000">
        <w:rPr>
          <w:rFonts w:ascii="Verdana" w:cs="Verdana" w:eastAsia="Verdana" w:hAnsi="Verdana"/>
          <w:color w:val="212121"/>
          <w:sz w:val="18"/>
          <w:szCs w:val="18"/>
          <w:rtl w:val="0"/>
        </w:rPr>
        <w:t xml:space="preserve"> return. The claim should include details of the </w:t>
      </w:r>
      <w:r w:rsidDel="00000000" w:rsidR="00000000" w:rsidRPr="00000000">
        <w:rPr>
          <w:rFonts w:ascii="Verdana" w:cs="Verdana" w:eastAsia="Verdana" w:hAnsi="Verdana"/>
          <w:b w:val="1"/>
          <w:bCs w:val="1"/>
          <w:color w:val="212121"/>
          <w:sz w:val="18"/>
          <w:szCs w:val="18"/>
          <w:shd w:fill="fff099" w:val="clear"/>
          <w:rtl w:val="0"/>
        </w:rPr>
        <w:t xml:space="preserve">SR&amp;ED</w:t>
      </w:r>
      <w:r w:rsidDel="00000000" w:rsidR="00000000" w:rsidRPr="00000000">
        <w:rPr>
          <w:rFonts w:ascii="Verdana" w:cs="Verdana" w:eastAsia="Verdana" w:hAnsi="Verdana"/>
          <w:color w:val="212121"/>
          <w:sz w:val="18"/>
          <w:szCs w:val="18"/>
          <w:rtl w:val="0"/>
        </w:rPr>
        <w:t xml:space="preserve"> projects, eligible expenditures, and supporting documentation to substantiate the </w:t>
      </w:r>
      <w:r w:rsidDel="00000000" w:rsidR="00000000" w:rsidRPr="00000000">
        <w:rPr>
          <w:rFonts w:ascii="Verdana" w:cs="Verdana" w:eastAsia="Verdana" w:hAnsi="Verdana"/>
          <w:b w:val="1"/>
          <w:bCs w:val="1"/>
          <w:color w:val="212121"/>
          <w:sz w:val="18"/>
          <w:szCs w:val="18"/>
          <w:shd w:fill="fff099" w:val="clear"/>
          <w:rtl w:val="0"/>
        </w:rPr>
        <w:t xml:space="preserve">SR&amp;ED</w:t>
      </w:r>
      <w:r w:rsidDel="00000000" w:rsidR="00000000" w:rsidRPr="00000000">
        <w:rPr>
          <w:rFonts w:ascii="Verdana" w:cs="Verdana" w:eastAsia="Verdana" w:hAnsi="Verdana"/>
          <w:color w:val="212121"/>
          <w:sz w:val="18"/>
          <w:szCs w:val="18"/>
          <w:rtl w:val="0"/>
        </w:rPr>
        <w:t xml:space="preserve"> activities.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80" w:before="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Even though the deadline for filing is 12 months after the </w:t>
      </w:r>
      <w:r w:rsidDel="00000000" w:rsidR="00000000" w:rsidRPr="00000000">
        <w:rPr>
          <w:rFonts w:ascii="Verdana" w:cs="Verdana" w:eastAsia="Verdana" w:hAnsi="Verdana"/>
          <w:b w:val="1"/>
          <w:bCs w:val="1"/>
          <w:color w:val="212121"/>
          <w:sz w:val="18"/>
          <w:szCs w:val="18"/>
          <w:shd w:fill="fff099" w:val="clear"/>
          <w:rtl w:val="0"/>
        </w:rPr>
        <w:t xml:space="preserve">tax</w:t>
      </w:r>
      <w:r w:rsidDel="00000000" w:rsidR="00000000" w:rsidRPr="00000000">
        <w:rPr>
          <w:rFonts w:ascii="Verdana" w:cs="Verdana" w:eastAsia="Verdana" w:hAnsi="Verdana"/>
          <w:color w:val="212121"/>
          <w:sz w:val="18"/>
          <w:szCs w:val="18"/>
          <w:rtl w:val="0"/>
        </w:rPr>
        <w:t xml:space="preserve"> return filing due date, it is recommended that the form be filed with the income </w:t>
      </w:r>
      <w:r w:rsidDel="00000000" w:rsidR="00000000" w:rsidRPr="00000000">
        <w:rPr>
          <w:rFonts w:ascii="Verdana" w:cs="Verdana" w:eastAsia="Verdana" w:hAnsi="Verdana"/>
          <w:b w:val="1"/>
          <w:bCs w:val="1"/>
          <w:color w:val="212121"/>
          <w:sz w:val="18"/>
          <w:szCs w:val="18"/>
          <w:shd w:fill="fff099" w:val="clear"/>
          <w:rtl w:val="0"/>
        </w:rPr>
        <w:t xml:space="preserve">tax</w:t>
      </w:r>
      <w:r w:rsidDel="00000000" w:rsidR="00000000" w:rsidRPr="00000000">
        <w:rPr>
          <w:rFonts w:ascii="Verdana" w:cs="Verdana" w:eastAsia="Verdana" w:hAnsi="Verdana"/>
          <w:color w:val="212121"/>
          <w:sz w:val="18"/>
          <w:szCs w:val="18"/>
          <w:rtl w:val="0"/>
        </w:rPr>
        <w:t xml:space="preserve"> return to avoid interest and penalties. Where the form is missing important information, the taxpayer has until the reporting deadline of 12 months from the </w:t>
      </w:r>
      <w:r w:rsidDel="00000000" w:rsidR="00000000" w:rsidRPr="00000000">
        <w:rPr>
          <w:rFonts w:ascii="Verdana" w:cs="Verdana" w:eastAsia="Verdana" w:hAnsi="Verdana"/>
          <w:b w:val="1"/>
          <w:bCs w:val="1"/>
          <w:color w:val="212121"/>
          <w:sz w:val="18"/>
          <w:szCs w:val="18"/>
          <w:shd w:fill="fff099" w:val="clear"/>
          <w:rtl w:val="0"/>
        </w:rPr>
        <w:t xml:space="preserve">tax</w:t>
      </w:r>
      <w:r w:rsidDel="00000000" w:rsidR="00000000" w:rsidRPr="00000000">
        <w:rPr>
          <w:rFonts w:ascii="Verdana" w:cs="Verdana" w:eastAsia="Verdana" w:hAnsi="Verdana"/>
          <w:color w:val="212121"/>
          <w:sz w:val="18"/>
          <w:szCs w:val="18"/>
          <w:rtl w:val="0"/>
        </w:rPr>
        <w:t xml:space="preserve"> filing due date to provide the missing information. If the form is still missing information by the reporting deadline, the CRA will not consider the filing requirements to be met. No additional time will be provided to complete the form. In such a case, the taxpayer will be precluded from using the </w:t>
      </w:r>
      <w:r w:rsidDel="00000000" w:rsidR="00000000" w:rsidRPr="00000000">
        <w:rPr>
          <w:rFonts w:ascii="Verdana" w:cs="Verdana" w:eastAsia="Verdana" w:hAnsi="Verdana"/>
          <w:b w:val="1"/>
          <w:bCs w:val="1"/>
          <w:color w:val="212121"/>
          <w:sz w:val="18"/>
          <w:szCs w:val="18"/>
          <w:shd w:fill="fff099" w:val="clear"/>
          <w:rtl w:val="0"/>
        </w:rPr>
        <w:t xml:space="preserve">SR&amp;ED</w:t>
      </w:r>
      <w:r w:rsidDel="00000000" w:rsidR="00000000" w:rsidRPr="00000000">
        <w:rPr>
          <w:rFonts w:ascii="Verdana" w:cs="Verdana" w:eastAsia="Verdana" w:hAnsi="Verdana"/>
          <w:color w:val="212121"/>
          <w:sz w:val="18"/>
          <w:szCs w:val="18"/>
          <w:rtl w:val="0"/>
        </w:rPr>
        <w:t xml:space="preserve"> expenses or claiming the ITCs.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80" w:before="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Once the notice of assessment is issued, the CRA generally does not claw back the refund unless it finds evidence of fraud. For the assessment, a CRA official will review whether the technologies claimed qualify for </w:t>
      </w:r>
      <w:r w:rsidDel="00000000" w:rsidR="00000000" w:rsidRPr="00000000">
        <w:rPr>
          <w:rFonts w:ascii="Verdana" w:cs="Verdana" w:eastAsia="Verdana" w:hAnsi="Verdana"/>
          <w:b w:val="1"/>
          <w:bCs w:val="1"/>
          <w:color w:val="212121"/>
          <w:sz w:val="18"/>
          <w:szCs w:val="18"/>
          <w:shd w:fill="fff099" w:val="clear"/>
          <w:rtl w:val="0"/>
        </w:rPr>
        <w:t xml:space="preserve">credit</w:t>
      </w:r>
      <w:r w:rsidDel="00000000" w:rsidR="00000000" w:rsidRPr="00000000">
        <w:rPr>
          <w:rFonts w:ascii="Verdana" w:cs="Verdana" w:eastAsia="Verdana" w:hAnsi="Verdana"/>
          <w:color w:val="212121"/>
          <w:sz w:val="18"/>
          <w:szCs w:val="18"/>
          <w:rtl w:val="0"/>
        </w:rPr>
        <w:t xml:space="preserve">. Assessing the </w:t>
      </w:r>
      <w:r w:rsidDel="00000000" w:rsidR="00000000" w:rsidRPr="00000000">
        <w:rPr>
          <w:rFonts w:ascii="Verdana" w:cs="Verdana" w:eastAsia="Verdana" w:hAnsi="Verdana"/>
          <w:b w:val="1"/>
          <w:bCs w:val="1"/>
          <w:color w:val="212121"/>
          <w:sz w:val="18"/>
          <w:szCs w:val="18"/>
          <w:shd w:fill="fff099" w:val="clear"/>
          <w:rtl w:val="0"/>
        </w:rPr>
        <w:t xml:space="preserve">SR&amp;ED</w:t>
      </w:r>
      <w:r w:rsidDel="00000000" w:rsidR="00000000" w:rsidRPr="00000000">
        <w:rPr>
          <w:rFonts w:ascii="Verdana" w:cs="Verdana" w:eastAsia="Verdana" w:hAnsi="Verdana"/>
          <w:color w:val="212121"/>
          <w:sz w:val="18"/>
          <w:szCs w:val="18"/>
          <w:rtl w:val="0"/>
        </w:rPr>
        <w:t xml:space="preserve"> claim depends on the technical expertise of the CRA auditor, which can vary. Having proper documentation and support for the qualifying expenses can help ease this assessment process.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80" w:before="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 </w:t>
      </w:r>
      <w:r w:rsidDel="00000000" w:rsidR="00000000" w:rsidRPr="00000000">
        <w:rPr>
          <w:rFonts w:ascii="Verdana" w:cs="Verdana" w:eastAsia="Verdana" w:hAnsi="Verdana"/>
          <w:b w:val="1"/>
          <w:bCs w:val="1"/>
          <w:color w:val="212121"/>
          <w:sz w:val="18"/>
          <w:szCs w:val="18"/>
          <w:rtl w:val="0"/>
        </w:rPr>
        <w:t xml:space="preserve">Due diligence.</w:t>
      </w:r>
      <w:r w:rsidDel="00000000" w:rsidR="00000000" w:rsidRPr="00000000">
        <w:rPr>
          <w:rFonts w:ascii="Verdana" w:cs="Verdana" w:eastAsia="Verdana" w:hAnsi="Verdana"/>
          <w:color w:val="212121"/>
          <w:sz w:val="18"/>
          <w:szCs w:val="18"/>
          <w:rtl w:val="0"/>
        </w:rPr>
        <w:t xml:space="preserve"> The Purchaser must know what to look for when conducting its due diligence. The target corporation should have complete and accurate records related to the </w:t>
      </w:r>
      <w:r w:rsidDel="00000000" w:rsidR="00000000" w:rsidRPr="00000000">
        <w:rPr>
          <w:rFonts w:ascii="Verdana" w:cs="Verdana" w:eastAsia="Verdana" w:hAnsi="Verdana"/>
          <w:b w:val="1"/>
          <w:bCs w:val="1"/>
          <w:color w:val="212121"/>
          <w:sz w:val="18"/>
          <w:szCs w:val="18"/>
          <w:shd w:fill="fff099" w:val="clear"/>
          <w:rtl w:val="0"/>
        </w:rPr>
        <w:t xml:space="preserve">SR&amp;ED</w:t>
      </w:r>
      <w:r w:rsidDel="00000000" w:rsidR="00000000" w:rsidRPr="00000000">
        <w:rPr>
          <w:rFonts w:ascii="Verdana" w:cs="Verdana" w:eastAsia="Verdana" w:hAnsi="Verdana"/>
          <w:color w:val="212121"/>
          <w:sz w:val="18"/>
          <w:szCs w:val="18"/>
          <w:rtl w:val="0"/>
        </w:rPr>
        <w:t xml:space="preserve"> projects. The Purchaser may want to review the accounting ledger, financial statements, records, journals, vouchers, invoices, and payroll records throughout the </w:t>
      </w:r>
      <w:r w:rsidDel="00000000" w:rsidR="00000000" w:rsidRPr="00000000">
        <w:rPr>
          <w:rFonts w:ascii="Verdana" w:cs="Verdana" w:eastAsia="Verdana" w:hAnsi="Verdana"/>
          <w:b w:val="1"/>
          <w:bCs w:val="1"/>
          <w:color w:val="212121"/>
          <w:sz w:val="18"/>
          <w:szCs w:val="18"/>
          <w:shd w:fill="fff099" w:val="clear"/>
          <w:rtl w:val="0"/>
        </w:rPr>
        <w:t xml:space="preserve">tax</w:t>
      </w:r>
      <w:r w:rsidDel="00000000" w:rsidR="00000000" w:rsidRPr="00000000">
        <w:rPr>
          <w:rFonts w:ascii="Verdana" w:cs="Verdana" w:eastAsia="Verdana" w:hAnsi="Verdana"/>
          <w:color w:val="212121"/>
          <w:sz w:val="18"/>
          <w:szCs w:val="18"/>
          <w:rtl w:val="0"/>
        </w:rPr>
        <w:t xml:space="preserve"> year. The Purchaser should keep note of any </w:t>
      </w:r>
      <w:r w:rsidDel="00000000" w:rsidR="00000000" w:rsidRPr="00000000">
        <w:rPr>
          <w:rFonts w:ascii="Verdana" w:cs="Verdana" w:eastAsia="Verdana" w:hAnsi="Verdana"/>
          <w:b w:val="1"/>
          <w:bCs w:val="1"/>
          <w:color w:val="212121"/>
          <w:sz w:val="18"/>
          <w:szCs w:val="18"/>
          <w:shd w:fill="fff099" w:val="clear"/>
          <w:rtl w:val="0"/>
        </w:rPr>
        <w:t xml:space="preserve">SR&amp;ED</w:t>
      </w:r>
      <w:r w:rsidDel="00000000" w:rsidR="00000000" w:rsidRPr="00000000">
        <w:rPr>
          <w:rFonts w:ascii="Verdana" w:cs="Verdana" w:eastAsia="Verdana" w:hAnsi="Verdana"/>
          <w:color w:val="212121"/>
          <w:sz w:val="18"/>
          <w:szCs w:val="18"/>
          <w:rtl w:val="0"/>
        </w:rPr>
        <w:t xml:space="preserve"> claims that are still outstanding and have not been assessed by the CRA at the time of purchase, and should review these documents with a view to understanding whether they contain the necessary proof the research activities were carried out using the staff and equipment claimed.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80" w:before="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The first step in the due diligence process is for the Purchaser to evaluate the </w:t>
      </w:r>
      <w:r w:rsidDel="00000000" w:rsidR="00000000" w:rsidRPr="00000000">
        <w:rPr>
          <w:rFonts w:ascii="Verdana" w:cs="Verdana" w:eastAsia="Verdana" w:hAnsi="Verdana"/>
          <w:b w:val="1"/>
          <w:bCs w:val="1"/>
          <w:color w:val="212121"/>
          <w:sz w:val="18"/>
          <w:szCs w:val="18"/>
          <w:shd w:fill="fff099" w:val="clear"/>
          <w:rtl w:val="0"/>
        </w:rPr>
        <w:t xml:space="preserve">SR&amp;ED</w:t>
      </w:r>
      <w:r w:rsidDel="00000000" w:rsidR="00000000" w:rsidRPr="00000000">
        <w:rPr>
          <w:rFonts w:ascii="Verdana" w:cs="Verdana" w:eastAsia="Verdana" w:hAnsi="Verdana"/>
          <w:color w:val="212121"/>
          <w:sz w:val="18"/>
          <w:szCs w:val="18"/>
          <w:rtl w:val="0"/>
        </w:rPr>
        <w:t xml:space="preserve"> history and to ensure that it has requested all the documentation and correspondence with the CRA. The target corporation may also have working papers with claims summaries that can be used to verify the legitimacy of past claims and assess the potential for future claims. Another important step for the Purchaser is to review the actual research and development activities of the target corporation. Having a deeper understanding of the details of the activities of the corporation can assist in determining if the activities align with the </w:t>
      </w:r>
      <w:r w:rsidDel="00000000" w:rsidR="00000000" w:rsidRPr="00000000">
        <w:rPr>
          <w:rFonts w:ascii="Verdana" w:cs="Verdana" w:eastAsia="Verdana" w:hAnsi="Verdana"/>
          <w:b w:val="1"/>
          <w:bCs w:val="1"/>
          <w:color w:val="212121"/>
          <w:sz w:val="18"/>
          <w:szCs w:val="18"/>
          <w:shd w:fill="fff099" w:val="clear"/>
          <w:rtl w:val="0"/>
        </w:rPr>
        <w:t xml:space="preserve">SR&amp;ED</w:t>
      </w:r>
      <w:r w:rsidDel="00000000" w:rsidR="00000000" w:rsidRPr="00000000">
        <w:rPr>
          <w:rFonts w:ascii="Verdana" w:cs="Verdana" w:eastAsia="Verdana" w:hAnsi="Verdana"/>
          <w:color w:val="212121"/>
          <w:sz w:val="18"/>
          <w:szCs w:val="18"/>
          <w:rtl w:val="0"/>
        </w:rPr>
        <w:t xml:space="preserve"> program requirements.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80" w:before="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Once the Purchaser understands the details of the activities, it can evaluate the risk profile of the target corporation to identify any potential issues, challenges, or uncertainties. If the Purchaser finds the documentation to be inadequate, it can require additional information or even obtain expert advice. The Purchaser must also review the prior </w:t>
      </w:r>
      <w:r w:rsidDel="00000000" w:rsidR="00000000" w:rsidRPr="00000000">
        <w:rPr>
          <w:rFonts w:ascii="Verdana" w:cs="Verdana" w:eastAsia="Verdana" w:hAnsi="Verdana"/>
          <w:b w:val="1"/>
          <w:bCs w:val="1"/>
          <w:color w:val="212121"/>
          <w:sz w:val="18"/>
          <w:szCs w:val="18"/>
          <w:shd w:fill="fff099" w:val="clear"/>
          <w:rtl w:val="0"/>
        </w:rPr>
        <w:t xml:space="preserve">SR&amp;ED</w:t>
      </w:r>
      <w:r w:rsidDel="00000000" w:rsidR="00000000" w:rsidRPr="00000000">
        <w:rPr>
          <w:rFonts w:ascii="Verdana" w:cs="Verdana" w:eastAsia="Verdana" w:hAnsi="Verdana"/>
          <w:color w:val="212121"/>
          <w:sz w:val="18"/>
          <w:szCs w:val="18"/>
          <w:rtl w:val="0"/>
        </w:rPr>
        <w:t xml:space="preserve"> claims from a compliance perspective to ensure deadlines were met, that the documentation is accurate and complete, and to confirm that the expenses are validated. Previous compliance issues and penalties can also give a sense of the future obligations. Expert assistance can help with these assessments, including providing an accurate valuation to help the Purchaser make an informed decision about the value of the </w:t>
      </w:r>
      <w:r w:rsidDel="00000000" w:rsidR="00000000" w:rsidRPr="00000000">
        <w:rPr>
          <w:rFonts w:ascii="Verdana" w:cs="Verdana" w:eastAsia="Verdana" w:hAnsi="Verdana"/>
          <w:b w:val="1"/>
          <w:bCs w:val="1"/>
          <w:color w:val="212121"/>
          <w:sz w:val="18"/>
          <w:szCs w:val="18"/>
          <w:shd w:fill="fff099" w:val="clear"/>
          <w:rtl w:val="0"/>
        </w:rPr>
        <w:t xml:space="preserve">SR&amp;ED</w:t>
      </w:r>
      <w:r w:rsidDel="00000000" w:rsidR="00000000" w:rsidRPr="00000000">
        <w:rPr>
          <w:rFonts w:ascii="Verdana" w:cs="Verdana" w:eastAsia="Verdana" w:hAnsi="Verdana"/>
          <w:color w:val="212121"/>
          <w:sz w:val="18"/>
          <w:szCs w:val="18"/>
          <w:rtl w:val="0"/>
        </w:rPr>
        <w:t xml:space="preserve"> </w:t>
      </w:r>
      <w:r w:rsidDel="00000000" w:rsidR="00000000" w:rsidRPr="00000000">
        <w:rPr>
          <w:rFonts w:ascii="Verdana" w:cs="Verdana" w:eastAsia="Verdana" w:hAnsi="Verdana"/>
          <w:b w:val="1"/>
          <w:bCs w:val="1"/>
          <w:color w:val="212121"/>
          <w:sz w:val="18"/>
          <w:szCs w:val="18"/>
          <w:shd w:fill="fff099" w:val="clear"/>
          <w:rtl w:val="0"/>
        </w:rPr>
        <w:t xml:space="preserve">credits</w:t>
      </w:r>
      <w:r w:rsidDel="00000000" w:rsidR="00000000" w:rsidRPr="00000000">
        <w:rPr>
          <w:rFonts w:ascii="Verdana" w:cs="Verdana" w:eastAsia="Verdana" w:hAnsi="Verdana"/>
          <w:color w:val="212121"/>
          <w:sz w:val="18"/>
          <w:szCs w:val="18"/>
          <w:rtl w:val="0"/>
        </w:rPr>
        <w:t xml:space="preserve"> as part of the overall acquisition.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80" w:before="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 </w:t>
      </w:r>
      <w:r w:rsidDel="00000000" w:rsidR="00000000" w:rsidRPr="00000000">
        <w:rPr>
          <w:rFonts w:ascii="Verdana" w:cs="Verdana" w:eastAsia="Verdana" w:hAnsi="Verdana"/>
          <w:b w:val="1"/>
          <w:bCs w:val="1"/>
          <w:color w:val="212121"/>
          <w:sz w:val="18"/>
          <w:szCs w:val="18"/>
          <w:rtl w:val="0"/>
        </w:rPr>
        <w:t xml:space="preserve">Acquisition of Control.</w:t>
      </w:r>
      <w:r w:rsidDel="00000000" w:rsidR="00000000" w:rsidRPr="00000000">
        <w:rPr>
          <w:rFonts w:ascii="Verdana" w:cs="Verdana" w:eastAsia="Verdana" w:hAnsi="Verdana"/>
          <w:color w:val="212121"/>
          <w:sz w:val="18"/>
          <w:szCs w:val="18"/>
          <w:rtl w:val="0"/>
        </w:rPr>
        <w:t xml:space="preserve"> As part of its due diligence, the Purchaser should review the </w:t>
      </w:r>
      <w:r w:rsidDel="00000000" w:rsidR="00000000" w:rsidRPr="00000000">
        <w:rPr>
          <w:rFonts w:ascii="Verdana" w:cs="Verdana" w:eastAsia="Verdana" w:hAnsi="Verdana"/>
          <w:b w:val="1"/>
          <w:bCs w:val="1"/>
          <w:color w:val="212121"/>
          <w:sz w:val="18"/>
          <w:szCs w:val="18"/>
          <w:shd w:fill="fff099" w:val="clear"/>
          <w:rtl w:val="0"/>
        </w:rPr>
        <w:t xml:space="preserve">tax</w:t>
      </w:r>
      <w:r w:rsidDel="00000000" w:rsidR="00000000" w:rsidRPr="00000000">
        <w:rPr>
          <w:rFonts w:ascii="Verdana" w:cs="Verdana" w:eastAsia="Verdana" w:hAnsi="Verdana"/>
          <w:color w:val="212121"/>
          <w:sz w:val="18"/>
          <w:szCs w:val="18"/>
          <w:rtl w:val="0"/>
        </w:rPr>
        <w:t xml:space="preserve"> implications on the transferability or continuity of the </w:t>
      </w:r>
      <w:r w:rsidDel="00000000" w:rsidR="00000000" w:rsidRPr="00000000">
        <w:rPr>
          <w:rFonts w:ascii="Verdana" w:cs="Verdana" w:eastAsia="Verdana" w:hAnsi="Verdana"/>
          <w:b w:val="1"/>
          <w:bCs w:val="1"/>
          <w:color w:val="212121"/>
          <w:sz w:val="18"/>
          <w:szCs w:val="18"/>
          <w:shd w:fill="fff099" w:val="clear"/>
          <w:rtl w:val="0"/>
        </w:rPr>
        <w:t xml:space="preserve">SR&amp;ED</w:t>
      </w:r>
      <w:r w:rsidDel="00000000" w:rsidR="00000000" w:rsidRPr="00000000">
        <w:rPr>
          <w:rFonts w:ascii="Verdana" w:cs="Verdana" w:eastAsia="Verdana" w:hAnsi="Verdana"/>
          <w:color w:val="212121"/>
          <w:sz w:val="18"/>
          <w:szCs w:val="18"/>
          <w:rtl w:val="0"/>
        </w:rPr>
        <w:t xml:space="preserve"> </w:t>
      </w:r>
      <w:r w:rsidDel="00000000" w:rsidR="00000000" w:rsidRPr="00000000">
        <w:rPr>
          <w:rFonts w:ascii="Verdana" w:cs="Verdana" w:eastAsia="Verdana" w:hAnsi="Verdana"/>
          <w:b w:val="1"/>
          <w:bCs w:val="1"/>
          <w:color w:val="212121"/>
          <w:sz w:val="18"/>
          <w:szCs w:val="18"/>
          <w:shd w:fill="fff099" w:val="clear"/>
          <w:rtl w:val="0"/>
        </w:rPr>
        <w:t xml:space="preserve">credits</w:t>
      </w:r>
      <w:r w:rsidDel="00000000" w:rsidR="00000000" w:rsidRPr="00000000">
        <w:rPr>
          <w:rFonts w:ascii="Verdana" w:cs="Verdana" w:eastAsia="Verdana" w:hAnsi="Verdana"/>
          <w:color w:val="212121"/>
          <w:sz w:val="18"/>
          <w:szCs w:val="18"/>
          <w:rtl w:val="0"/>
        </w:rPr>
        <w:t xml:space="preserve"> where there is an “acquisition of control”. Where the control of a corporation has been acquired by a person or group of persons, and the original business discontinues, it can result in an acquisition of control resulting in a deemed year-end, and restrictions on the availability of ITCs.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80" w:before="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Generally, the pool of </w:t>
      </w:r>
      <w:r w:rsidDel="00000000" w:rsidR="00000000" w:rsidRPr="00000000">
        <w:rPr>
          <w:rFonts w:ascii="Verdana" w:cs="Verdana" w:eastAsia="Verdana" w:hAnsi="Verdana"/>
          <w:b w:val="1"/>
          <w:bCs w:val="1"/>
          <w:color w:val="212121"/>
          <w:sz w:val="18"/>
          <w:szCs w:val="18"/>
          <w:shd w:fill="fff099" w:val="clear"/>
          <w:rtl w:val="0"/>
        </w:rPr>
        <w:t xml:space="preserve">SR&amp;ED</w:t>
      </w:r>
      <w:r w:rsidDel="00000000" w:rsidR="00000000" w:rsidRPr="00000000">
        <w:rPr>
          <w:rFonts w:ascii="Verdana" w:cs="Verdana" w:eastAsia="Verdana" w:hAnsi="Verdana"/>
          <w:color w:val="212121"/>
          <w:sz w:val="18"/>
          <w:szCs w:val="18"/>
          <w:rtl w:val="0"/>
        </w:rPr>
        <w:t xml:space="preserve"> expenses does not expire, and a positive balance can be carried forward. However, where there is an acquisition of control, the </w:t>
      </w:r>
      <w:r w:rsidDel="00000000" w:rsidR="00000000" w:rsidRPr="00000000">
        <w:rPr>
          <w:rFonts w:ascii="Verdana" w:cs="Verdana" w:eastAsia="Verdana" w:hAnsi="Verdana"/>
          <w:b w:val="1"/>
          <w:bCs w:val="1"/>
          <w:color w:val="212121"/>
          <w:sz w:val="18"/>
          <w:szCs w:val="18"/>
          <w:shd w:fill="fff099" w:val="clear"/>
          <w:rtl w:val="0"/>
        </w:rPr>
        <w:t xml:space="preserve">SR&amp;ED</w:t>
      </w:r>
      <w:r w:rsidDel="00000000" w:rsidR="00000000" w:rsidRPr="00000000">
        <w:rPr>
          <w:rFonts w:ascii="Verdana" w:cs="Verdana" w:eastAsia="Verdana" w:hAnsi="Verdana"/>
          <w:color w:val="212121"/>
          <w:sz w:val="18"/>
          <w:szCs w:val="18"/>
          <w:rtl w:val="0"/>
        </w:rPr>
        <w:t xml:space="preserve"> expenses are reduced to nil. In specific circumstances, the pool of </w:t>
      </w:r>
      <w:r w:rsidDel="00000000" w:rsidR="00000000" w:rsidRPr="00000000">
        <w:rPr>
          <w:rFonts w:ascii="Verdana" w:cs="Verdana" w:eastAsia="Verdana" w:hAnsi="Verdana"/>
          <w:b w:val="1"/>
          <w:bCs w:val="1"/>
          <w:color w:val="212121"/>
          <w:sz w:val="18"/>
          <w:szCs w:val="18"/>
          <w:shd w:fill="fff099" w:val="clear"/>
          <w:rtl w:val="0"/>
        </w:rPr>
        <w:t xml:space="preserve">SR&amp;ED</w:t>
      </w:r>
      <w:r w:rsidDel="00000000" w:rsidR="00000000" w:rsidRPr="00000000">
        <w:rPr>
          <w:rFonts w:ascii="Verdana" w:cs="Verdana" w:eastAsia="Verdana" w:hAnsi="Verdana"/>
          <w:color w:val="212121"/>
          <w:sz w:val="18"/>
          <w:szCs w:val="18"/>
          <w:rtl w:val="0"/>
        </w:rPr>
        <w:t xml:space="preserve"> expenses can be reinstated and carried forward:</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80" w:before="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o When the business to which the expenses relate to is continued for profit or reasonable expectation of profit, and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80" w:before="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o All or substantially all of the income for the </w:t>
      </w:r>
      <w:r w:rsidDel="00000000" w:rsidR="00000000" w:rsidRPr="00000000">
        <w:rPr>
          <w:rFonts w:ascii="Verdana" w:cs="Verdana" w:eastAsia="Verdana" w:hAnsi="Verdana"/>
          <w:b w:val="1"/>
          <w:bCs w:val="1"/>
          <w:color w:val="212121"/>
          <w:sz w:val="18"/>
          <w:szCs w:val="18"/>
          <w:shd w:fill="fff099" w:val="clear"/>
          <w:rtl w:val="0"/>
        </w:rPr>
        <w:t xml:space="preserve">tax</w:t>
      </w:r>
      <w:r w:rsidDel="00000000" w:rsidR="00000000" w:rsidRPr="00000000">
        <w:rPr>
          <w:rFonts w:ascii="Verdana" w:cs="Verdana" w:eastAsia="Verdana" w:hAnsi="Verdana"/>
          <w:color w:val="212121"/>
          <w:sz w:val="18"/>
          <w:szCs w:val="18"/>
          <w:rtl w:val="0"/>
        </w:rPr>
        <w:t xml:space="preserve"> year is from that same or similar business. The CRA generally interprets similar business to mean “of the same general nature or character”. There is substantial case law in this area and the analysis depends on the facts and circumstances of each particular situation.</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80" w:before="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 </w:t>
      </w:r>
      <w:r w:rsidDel="00000000" w:rsidR="00000000" w:rsidRPr="00000000">
        <w:rPr>
          <w:rFonts w:ascii="Verdana" w:cs="Verdana" w:eastAsia="Verdana" w:hAnsi="Verdana"/>
          <w:b w:val="1"/>
          <w:bCs w:val="1"/>
          <w:color w:val="212121"/>
          <w:sz w:val="18"/>
          <w:szCs w:val="18"/>
          <w:rtl w:val="0"/>
        </w:rPr>
        <w:t xml:space="preserve">Indemnity.</w:t>
      </w:r>
      <w:r w:rsidDel="00000000" w:rsidR="00000000" w:rsidRPr="00000000">
        <w:rPr>
          <w:rFonts w:ascii="Verdana" w:cs="Verdana" w:eastAsia="Verdana" w:hAnsi="Verdana"/>
          <w:color w:val="212121"/>
          <w:sz w:val="18"/>
          <w:szCs w:val="18"/>
          <w:rtl w:val="0"/>
        </w:rPr>
        <w:t xml:space="preserve"> Where purchasing </w:t>
      </w:r>
      <w:r w:rsidDel="00000000" w:rsidR="00000000" w:rsidRPr="00000000">
        <w:rPr>
          <w:rFonts w:ascii="Verdana" w:cs="Verdana" w:eastAsia="Verdana" w:hAnsi="Verdana"/>
          <w:b w:val="1"/>
          <w:bCs w:val="1"/>
          <w:color w:val="212121"/>
          <w:sz w:val="18"/>
          <w:szCs w:val="18"/>
          <w:shd w:fill="fff099" w:val="clear"/>
          <w:rtl w:val="0"/>
        </w:rPr>
        <w:t xml:space="preserve">SR&amp;ED tax credits</w:t>
      </w:r>
      <w:r w:rsidDel="00000000" w:rsidR="00000000" w:rsidRPr="00000000">
        <w:rPr>
          <w:rFonts w:ascii="Verdana" w:cs="Verdana" w:eastAsia="Verdana" w:hAnsi="Verdana"/>
          <w:color w:val="212121"/>
          <w:sz w:val="18"/>
          <w:szCs w:val="18"/>
          <w:rtl w:val="0"/>
        </w:rPr>
        <w:t xml:space="preserve"> is an essential element of the transaction, the Purchaser should be aware that </w:t>
      </w:r>
      <w:r w:rsidDel="00000000" w:rsidR="00000000" w:rsidRPr="00000000">
        <w:rPr>
          <w:rFonts w:ascii="Verdana" w:cs="Verdana" w:eastAsia="Verdana" w:hAnsi="Verdana"/>
          <w:b w:val="1"/>
          <w:bCs w:val="1"/>
          <w:color w:val="212121"/>
          <w:sz w:val="18"/>
          <w:szCs w:val="18"/>
          <w:shd w:fill="fff099" w:val="clear"/>
          <w:rtl w:val="0"/>
        </w:rPr>
        <w:t xml:space="preserve">SR&amp;ED</w:t>
      </w:r>
      <w:r w:rsidDel="00000000" w:rsidR="00000000" w:rsidRPr="00000000">
        <w:rPr>
          <w:rFonts w:ascii="Verdana" w:cs="Verdana" w:eastAsia="Verdana" w:hAnsi="Verdana"/>
          <w:color w:val="212121"/>
          <w:sz w:val="18"/>
          <w:szCs w:val="18"/>
          <w:rtl w:val="0"/>
        </w:rPr>
        <w:t xml:space="preserve"> claims and activities involve inherent risks such as uncertainties about the research and development, compliance issues and potential legal claims. To allocate these risks between the Vendor and Purchaser, specific representation, warranties, and indemnification clauses should be considered.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80" w:before="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Most sale agreements contain general indemnity clauses. A specific indemnity is preferable to any general representation that all </w:t>
      </w:r>
      <w:r w:rsidDel="00000000" w:rsidR="00000000" w:rsidRPr="00000000">
        <w:rPr>
          <w:rFonts w:ascii="Verdana" w:cs="Verdana" w:eastAsia="Verdana" w:hAnsi="Verdana"/>
          <w:b w:val="1"/>
          <w:bCs w:val="1"/>
          <w:color w:val="212121"/>
          <w:sz w:val="18"/>
          <w:szCs w:val="18"/>
          <w:shd w:fill="fff099" w:val="clear"/>
          <w:rtl w:val="0"/>
        </w:rPr>
        <w:t xml:space="preserve">tax</w:t>
      </w:r>
      <w:r w:rsidDel="00000000" w:rsidR="00000000" w:rsidRPr="00000000">
        <w:rPr>
          <w:rFonts w:ascii="Verdana" w:cs="Verdana" w:eastAsia="Verdana" w:hAnsi="Verdana"/>
          <w:color w:val="212121"/>
          <w:sz w:val="18"/>
          <w:szCs w:val="18"/>
          <w:rtl w:val="0"/>
        </w:rPr>
        <w:t xml:space="preserve">returns have been correctly completed (see the alternate section for a specific indemnity relating to </w:t>
      </w:r>
      <w:r w:rsidDel="00000000" w:rsidR="00000000" w:rsidRPr="00000000">
        <w:rPr>
          <w:rFonts w:ascii="Verdana" w:cs="Verdana" w:eastAsia="Verdana" w:hAnsi="Verdana"/>
          <w:b w:val="1"/>
          <w:bCs w:val="1"/>
          <w:color w:val="212121"/>
          <w:sz w:val="18"/>
          <w:szCs w:val="18"/>
          <w:shd w:fill="fff099" w:val="clear"/>
          <w:rtl w:val="0"/>
        </w:rPr>
        <w:t xml:space="preserve">SR&amp;ED</w:t>
      </w:r>
      <w:r w:rsidDel="00000000" w:rsidR="00000000" w:rsidRPr="00000000">
        <w:rPr>
          <w:rFonts w:ascii="Verdana" w:cs="Verdana" w:eastAsia="Verdana" w:hAnsi="Verdana"/>
          <w:color w:val="212121"/>
          <w:sz w:val="18"/>
          <w:szCs w:val="18"/>
          <w:rtl w:val="0"/>
        </w:rPr>
        <w:t xml:space="preserve">). The Purchaser can also negotiate for a clause requiring the Vendor to provide a representation regarding the minimum amount in the </w:t>
      </w:r>
      <w:r w:rsidDel="00000000" w:rsidR="00000000" w:rsidRPr="00000000">
        <w:rPr>
          <w:rFonts w:ascii="Verdana" w:cs="Verdana" w:eastAsia="Verdana" w:hAnsi="Verdana"/>
          <w:b w:val="1"/>
          <w:bCs w:val="1"/>
          <w:color w:val="212121"/>
          <w:sz w:val="18"/>
          <w:szCs w:val="18"/>
          <w:shd w:fill="fff099" w:val="clear"/>
          <w:rtl w:val="0"/>
        </w:rPr>
        <w:t xml:space="preserve">SR&amp;ED</w:t>
      </w:r>
      <w:r w:rsidDel="00000000" w:rsidR="00000000" w:rsidRPr="00000000">
        <w:rPr>
          <w:rFonts w:ascii="Verdana" w:cs="Verdana" w:eastAsia="Verdana" w:hAnsi="Verdana"/>
          <w:color w:val="212121"/>
          <w:sz w:val="18"/>
          <w:szCs w:val="18"/>
          <w:rtl w:val="0"/>
        </w:rPr>
        <w:t xml:space="preserve"> expenses pool. An indemnity clause will then address any issues that may arise in the future if the amount in the </w:t>
      </w:r>
      <w:r w:rsidDel="00000000" w:rsidR="00000000" w:rsidRPr="00000000">
        <w:rPr>
          <w:rFonts w:ascii="Verdana" w:cs="Verdana" w:eastAsia="Verdana" w:hAnsi="Verdana"/>
          <w:b w:val="1"/>
          <w:bCs w:val="1"/>
          <w:color w:val="212121"/>
          <w:sz w:val="18"/>
          <w:szCs w:val="18"/>
          <w:shd w:fill="fff099" w:val="clear"/>
          <w:rtl w:val="0"/>
        </w:rPr>
        <w:t xml:space="preserve">SR&amp;ED</w:t>
      </w:r>
      <w:r w:rsidDel="00000000" w:rsidR="00000000" w:rsidRPr="00000000">
        <w:rPr>
          <w:rFonts w:ascii="Verdana" w:cs="Verdana" w:eastAsia="Verdana" w:hAnsi="Verdana"/>
          <w:color w:val="212121"/>
          <w:sz w:val="18"/>
          <w:szCs w:val="18"/>
          <w:rtl w:val="0"/>
        </w:rPr>
        <w:t xml:space="preserve"> pool is lower than agreed upon at the time of sale. The Purchaser may also require a clause determining a mutually agreed upon methodology to value the reduction in the </w:t>
      </w:r>
      <w:r w:rsidDel="00000000" w:rsidR="00000000" w:rsidRPr="00000000">
        <w:rPr>
          <w:rFonts w:ascii="Verdana" w:cs="Verdana" w:eastAsia="Verdana" w:hAnsi="Verdana"/>
          <w:b w:val="1"/>
          <w:bCs w:val="1"/>
          <w:color w:val="212121"/>
          <w:sz w:val="18"/>
          <w:szCs w:val="18"/>
          <w:shd w:fill="fff099" w:val="clear"/>
          <w:rtl w:val="0"/>
        </w:rPr>
        <w:t xml:space="preserve">SR&amp;ED</w:t>
      </w:r>
      <w:r w:rsidDel="00000000" w:rsidR="00000000" w:rsidRPr="00000000">
        <w:rPr>
          <w:rFonts w:ascii="Verdana" w:cs="Verdana" w:eastAsia="Verdana" w:hAnsi="Verdana"/>
          <w:color w:val="212121"/>
          <w:sz w:val="18"/>
          <w:szCs w:val="18"/>
          <w:rtl w:val="0"/>
        </w:rPr>
        <w:t xml:space="preserve"> pool.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80" w:before="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 </w:t>
      </w:r>
      <w:r w:rsidDel="00000000" w:rsidR="00000000" w:rsidRPr="00000000">
        <w:rPr>
          <w:rFonts w:ascii="Verdana" w:cs="Verdana" w:eastAsia="Verdana" w:hAnsi="Verdana"/>
          <w:b w:val="1"/>
          <w:bCs w:val="1"/>
          <w:color w:val="212121"/>
          <w:sz w:val="18"/>
          <w:szCs w:val="18"/>
          <w:rtl w:val="0"/>
        </w:rPr>
        <w:t xml:space="preserve">Non-</w:t>
      </w:r>
      <w:r w:rsidDel="00000000" w:rsidR="00000000" w:rsidRPr="00000000">
        <w:rPr>
          <w:rFonts w:ascii="Verdana" w:cs="Verdana" w:eastAsia="Verdana" w:hAnsi="Verdana"/>
          <w:b w:val="1"/>
          <w:bCs w:val="1"/>
          <w:color w:val="212121"/>
          <w:sz w:val="18"/>
          <w:szCs w:val="18"/>
          <w:shd w:fill="fff099" w:val="clear"/>
          <w:rtl w:val="0"/>
        </w:rPr>
        <w:t xml:space="preserve">tax</w:t>
      </w:r>
      <w:r w:rsidDel="00000000" w:rsidR="00000000" w:rsidRPr="00000000">
        <w:rPr>
          <w:rFonts w:ascii="Verdana" w:cs="Verdana" w:eastAsia="Verdana" w:hAnsi="Verdana"/>
          <w:b w:val="1"/>
          <w:bCs w:val="1"/>
          <w:color w:val="212121"/>
          <w:sz w:val="18"/>
          <w:szCs w:val="18"/>
          <w:rtl w:val="0"/>
        </w:rPr>
        <w:t xml:space="preserve"> Considerations.</w:t>
      </w:r>
      <w:r w:rsidDel="00000000" w:rsidR="00000000" w:rsidRPr="00000000">
        <w:rPr>
          <w:rFonts w:ascii="Verdana" w:cs="Verdana" w:eastAsia="Verdana" w:hAnsi="Verdana"/>
          <w:color w:val="212121"/>
          <w:sz w:val="18"/>
          <w:szCs w:val="18"/>
          <w:rtl w:val="0"/>
        </w:rPr>
        <w:t xml:space="preserve"> Where the target corporation engages in a great deal of research and development, the Purchaser will be interested in the resulting intellectual property rights, and will look to value and assess patents, copyrights, or trade secrets. The value of these assets can form a substantial part of the purchase price and needs to be assessed accordingly. It is important to consider whether the intellectual property is tied to any particular officer or employee of the target corporation. If so, additional negotiations and agreements need to be entered into to require ongoing cooperation.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80" w:before="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If the Purchaser is considering potential future revenue streams as part of the value of the target corporation, it will want to obtain information supporting the projected revenue as part of the valuation process. Note that eligibility for </w:t>
      </w:r>
      <w:r w:rsidDel="00000000" w:rsidR="00000000" w:rsidRPr="00000000">
        <w:rPr>
          <w:rFonts w:ascii="Verdana" w:cs="Verdana" w:eastAsia="Verdana" w:hAnsi="Verdana"/>
          <w:b w:val="1"/>
          <w:bCs w:val="1"/>
          <w:color w:val="212121"/>
          <w:sz w:val="18"/>
          <w:szCs w:val="18"/>
          <w:shd w:fill="fff099" w:val="clear"/>
          <w:rtl w:val="0"/>
        </w:rPr>
        <w:t xml:space="preserve">SR&amp;ED</w:t>
      </w:r>
      <w:r w:rsidDel="00000000" w:rsidR="00000000" w:rsidRPr="00000000">
        <w:rPr>
          <w:rFonts w:ascii="Verdana" w:cs="Verdana" w:eastAsia="Verdana" w:hAnsi="Verdana"/>
          <w:color w:val="212121"/>
          <w:sz w:val="18"/>
          <w:szCs w:val="18"/>
          <w:rtl w:val="0"/>
        </w:rPr>
        <w:t xml:space="preserve"> </w:t>
      </w:r>
      <w:r w:rsidDel="00000000" w:rsidR="00000000" w:rsidRPr="00000000">
        <w:rPr>
          <w:rFonts w:ascii="Verdana" w:cs="Verdana" w:eastAsia="Verdana" w:hAnsi="Verdana"/>
          <w:b w:val="1"/>
          <w:bCs w:val="1"/>
          <w:color w:val="212121"/>
          <w:sz w:val="18"/>
          <w:szCs w:val="18"/>
          <w:shd w:fill="fff099" w:val="clear"/>
          <w:rtl w:val="0"/>
        </w:rPr>
        <w:t xml:space="preserve">credits</w:t>
      </w:r>
      <w:r w:rsidDel="00000000" w:rsidR="00000000" w:rsidRPr="00000000">
        <w:rPr>
          <w:rFonts w:ascii="Verdana" w:cs="Verdana" w:eastAsia="Verdana" w:hAnsi="Verdana"/>
          <w:color w:val="212121"/>
          <w:sz w:val="18"/>
          <w:szCs w:val="18"/>
          <w:rtl w:val="0"/>
        </w:rPr>
        <w:t xml:space="preserve"> does not imply that the research is successful, as success or failure is not relevant in the CRA’s determination of whether the corporation is eligible for the </w:t>
      </w:r>
      <w:r w:rsidDel="00000000" w:rsidR="00000000" w:rsidRPr="00000000">
        <w:rPr>
          <w:rFonts w:ascii="Verdana" w:cs="Verdana" w:eastAsia="Verdana" w:hAnsi="Verdana"/>
          <w:b w:val="1"/>
          <w:bCs w:val="1"/>
          <w:color w:val="212121"/>
          <w:sz w:val="18"/>
          <w:szCs w:val="18"/>
          <w:shd w:fill="fff099" w:val="clear"/>
          <w:rtl w:val="0"/>
        </w:rPr>
        <w:t xml:space="preserve">tax </w:t>
      </w:r>
      <w:r w:rsidDel="00000000" w:rsidR="00000000" w:rsidRPr="00000000">
        <w:rPr>
          <w:rFonts w:ascii="Verdana" w:cs="Verdana" w:eastAsia="Verdana" w:hAnsi="Verdana"/>
          <w:color w:val="212121"/>
          <w:sz w:val="18"/>
          <w:szCs w:val="18"/>
          <w:rtl w:val="0"/>
        </w:rPr>
        <w:t xml:space="preserve">benefit.</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80" w:before="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 </w:t>
      </w:r>
      <w:r w:rsidDel="00000000" w:rsidR="00000000" w:rsidRPr="00000000">
        <w:rPr>
          <w:rFonts w:ascii="Verdana" w:cs="Verdana" w:eastAsia="Verdana" w:hAnsi="Verdana"/>
          <w:b w:val="1"/>
          <w:bCs w:val="1"/>
          <w:color w:val="212121"/>
          <w:sz w:val="18"/>
          <w:szCs w:val="18"/>
          <w:rtl w:val="0"/>
        </w:rPr>
        <w:t xml:space="preserve">Recent Changes.</w:t>
      </w:r>
      <w:r w:rsidDel="00000000" w:rsidR="00000000" w:rsidRPr="00000000">
        <w:rPr>
          <w:rFonts w:ascii="Verdana" w:cs="Verdana" w:eastAsia="Verdana" w:hAnsi="Verdana"/>
          <w:color w:val="212121"/>
          <w:sz w:val="18"/>
          <w:szCs w:val="18"/>
          <w:rtl w:val="0"/>
        </w:rPr>
        <w:t xml:space="preserve"> The </w:t>
      </w:r>
      <w:r w:rsidDel="00000000" w:rsidR="00000000" w:rsidRPr="00000000">
        <w:rPr>
          <w:rFonts w:ascii="Verdana" w:cs="Verdana" w:eastAsia="Verdana" w:hAnsi="Verdana"/>
          <w:b w:val="1"/>
          <w:bCs w:val="1"/>
          <w:color w:val="212121"/>
          <w:sz w:val="18"/>
          <w:szCs w:val="18"/>
          <w:shd w:fill="fff099" w:val="clear"/>
          <w:rtl w:val="0"/>
        </w:rPr>
        <w:t xml:space="preserve">SR&amp;ED</w:t>
      </w:r>
      <w:r w:rsidDel="00000000" w:rsidR="00000000" w:rsidRPr="00000000">
        <w:rPr>
          <w:rFonts w:ascii="Verdana" w:cs="Verdana" w:eastAsia="Verdana" w:hAnsi="Verdana"/>
          <w:color w:val="212121"/>
          <w:sz w:val="18"/>
          <w:szCs w:val="18"/>
          <w:rtl w:val="0"/>
        </w:rPr>
        <w:t xml:space="preserve"> legislation has been in place since 1987 but has been amended numerous times. Parties should review the legislation and ensure that they are looking at the current version of the program. In the 2022 federal budget, the government announced its intention to review the </w:t>
      </w:r>
      <w:r w:rsidDel="00000000" w:rsidR="00000000" w:rsidRPr="00000000">
        <w:rPr>
          <w:rFonts w:ascii="Verdana" w:cs="Verdana" w:eastAsia="Verdana" w:hAnsi="Verdana"/>
          <w:b w:val="1"/>
          <w:bCs w:val="1"/>
          <w:color w:val="212121"/>
          <w:sz w:val="18"/>
          <w:szCs w:val="18"/>
          <w:shd w:fill="fff099" w:val="clear"/>
          <w:rtl w:val="0"/>
        </w:rPr>
        <w:t xml:space="preserve">SR&amp;ED</w:t>
      </w:r>
      <w:r w:rsidDel="00000000" w:rsidR="00000000" w:rsidRPr="00000000">
        <w:rPr>
          <w:rFonts w:ascii="Verdana" w:cs="Verdana" w:eastAsia="Verdana" w:hAnsi="Verdana"/>
          <w:color w:val="212121"/>
          <w:sz w:val="18"/>
          <w:szCs w:val="18"/>
          <w:rtl w:val="0"/>
        </w:rPr>
        <w:t xml:space="preserve"> program to ensure that it provides adequate support to the development, retention, and commercialization of intellectual property. The government confirmed its intention to engage with stakeholders on the next steps. Purchasers should review any changes that may arise as a result of these engagements.]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8">
      <w:pPr>
        <w:pStyle w:val="Title"/>
        <w:rPr/>
      </w:pPr>
      <w:bookmarkStart w:colFirst="0" w:colLast="0" w:name="_cbin1nv5pqgs" w:id="5"/>
      <w:bookmarkEnd w:id="5"/>
      <w:r w:rsidDel="00000000" w:rsidR="00000000" w:rsidRPr="00000000">
        <w:rPr>
          <w:rtl w:val="0"/>
        </w:rPr>
        <w:t xml:space="preserve">—--</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his practice note discusses the tax considerations for a Canadian corporation that has a non-resident shareholder/investor, including the corporation's status as a Canadian-Controlled Private Corporation ("CCPC"), the implications of cross-border financing and the disposition of shares.</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There are many significant tax-related implications for a Canadian corporation when it has (or may have) a non-resident shareholder/investor. Such implications may relate to maintaining its status as a Canadian-Controlled Private Corporation ("CCPC"), implementing efficient methods of financing, payment of dividends and withholding tax obligations and the sale of shares. For information on a wide range of compliance-related practice area topics, see the </w:t>
      </w:r>
      <w:hyperlink r:id="rId12">
        <w:r w:rsidDel="00000000" w:rsidR="00000000" w:rsidRPr="00000000">
          <w:rPr>
            <w:rFonts w:ascii="Verdana" w:cs="Verdana" w:eastAsia="Verdana" w:hAnsi="Verdana"/>
            <w:color w:val="006ebb"/>
            <w:sz w:val="18"/>
            <w:szCs w:val="18"/>
            <w:u w:val="single"/>
            <w:rtl w:val="0"/>
          </w:rPr>
          <w:t xml:space="preserve">Legal Compliance Resource Kit</w:t>
        </w:r>
      </w:hyperlink>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Before delving into the tax considerations related to a non-resident shareholder, it would be prudent for an advisor to first conclude whether the subject shareholder is indeed a non-resident for tax purposes. Residency for tax purposes is distinct from residency for immigration purposes; the former is based on a basket of factors which include social and economic ties to Canada. Such a determination is beyond the scope of this practice note; however, once it is established that the shareholder is a non-resident for tax purposes, the following is a brief overview of some key tax considerations.</w:t>
      </w:r>
    </w:p>
    <w:p w:rsidR="00000000" w:rsidDel="00000000" w:rsidP="00000000" w:rsidRDefault="00000000" w:rsidRPr="00000000" w14:paraId="0000002E">
      <w:pPr>
        <w:spacing w:before="0" w:line="408" w:lineRule="auto"/>
        <w:rPr>
          <w:rFonts w:ascii="Verdana" w:cs="Verdana" w:eastAsia="Verdana" w:hAnsi="Verdana"/>
          <w:b w:val="1"/>
          <w:bCs w:val="1"/>
          <w:color w:val="212121"/>
          <w:sz w:val="18"/>
          <w:szCs w:val="18"/>
        </w:rPr>
      </w:pPr>
      <w:r w:rsidDel="00000000" w:rsidR="00000000" w:rsidRPr="00000000">
        <w:rPr>
          <w:rFonts w:ascii="Verdana" w:cs="Verdana" w:eastAsia="Verdana" w:hAnsi="Verdana"/>
          <w:b w:val="1"/>
          <w:bCs w:val="1"/>
          <w:color w:val="212121"/>
          <w:sz w:val="18"/>
          <w:szCs w:val="18"/>
          <w:rtl w:val="0"/>
        </w:rPr>
        <w:t xml:space="preserve">CCPC Status</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 CCPC is a defined term in the </w:t>
      </w:r>
      <w:r w:rsidDel="00000000" w:rsidR="00000000" w:rsidRPr="00000000">
        <w:rPr>
          <w:rFonts w:ascii="Verdana" w:cs="Verdana" w:eastAsia="Verdana" w:hAnsi="Verdana"/>
          <w:i w:val="1"/>
          <w:iCs w:val="1"/>
          <w:color w:val="212121"/>
          <w:sz w:val="18"/>
          <w:szCs w:val="18"/>
          <w:rtl w:val="0"/>
        </w:rPr>
        <w:t xml:space="preserve">Income Tax Act </w:t>
      </w:r>
      <w:r w:rsidDel="00000000" w:rsidR="00000000" w:rsidRPr="00000000">
        <w:rPr>
          <w:rFonts w:ascii="Verdana" w:cs="Verdana" w:eastAsia="Verdana" w:hAnsi="Verdana"/>
          <w:color w:val="212121"/>
          <w:sz w:val="18"/>
          <w:szCs w:val="18"/>
          <w:rtl w:val="0"/>
        </w:rPr>
        <w:t xml:space="preserve">(Canada), R.S.C. 1985, c. 1 (5th Supp.) ("Act"). The term refers to a private corporation, other than those that fall into one of the exceptions in the definition. These exceptions are, in basic terms, corporations controlled by non-residents and/or public or listed companies. In particular, s. 125(7)(a) of the definition states that a CCPC does not include:</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60" w:before="460" w:line="408" w:lineRule="auto"/>
        <w:ind w:left="600" w:right="600" w:firstLine="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 a corporation controlled, directly or indirectly in any manner whatever, by one or more non-resident persons, by one or more public corporations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In other words, a corporation's CCPC status may be in question if it is controlled by a non-resident shareholder(s) and/or director(s).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CCPC status is important because it provides certain tax benefits:</w:t>
      </w:r>
    </w:p>
    <w:p w:rsidR="00000000" w:rsidDel="00000000" w:rsidP="00000000" w:rsidRDefault="00000000" w:rsidRPr="00000000" w14:paraId="00000033">
      <w:pPr>
        <w:numPr>
          <w:ilvl w:val="0"/>
          <w:numId w:val="1"/>
        </w:numPr>
        <w:pBdr>
          <w:top w:color="auto" w:space="0" w:sz="0" w:val="none"/>
          <w:bottom w:color="auto" w:space="0" w:sz="0" w:val="none"/>
          <w:right w:color="auto" w:space="0" w:sz="0" w:val="none"/>
          <w:between w:color="auto" w:space="0" w:sz="0" w:val="none"/>
        </w:pBdr>
        <w:spacing w:after="0" w:afterAutospacing="0" w:before="280" w:lineRule="auto"/>
        <w:ind w:left="720" w:hanging="360"/>
      </w:pPr>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34">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a CCPC may benefit from the small business deduction ("SBD"). In Ontario, the SBD reduces corporate taxes on the first $500,000 of active business income to 12.2% (2023);</w:t>
      </w:r>
    </w:p>
    <w:p w:rsidR="00000000" w:rsidDel="00000000" w:rsidP="00000000" w:rsidRDefault="00000000" w:rsidRPr="00000000" w14:paraId="00000035">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36">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a CCPC may benefit from enhanced investment tax credits on Scientific Research and Experimental Development Credit ("</w:t>
      </w:r>
      <w:r w:rsidDel="00000000" w:rsidR="00000000" w:rsidRPr="00000000">
        <w:rPr>
          <w:rFonts w:ascii="Verdana" w:cs="Verdana" w:eastAsia="Verdana" w:hAnsi="Verdana"/>
          <w:b w:val="1"/>
          <w:bCs w:val="1"/>
          <w:color w:val="212121"/>
          <w:sz w:val="18"/>
          <w:szCs w:val="18"/>
          <w:shd w:fill="fff099" w:val="clear"/>
          <w:rtl w:val="0"/>
        </w:rPr>
        <w:t xml:space="preserve">SR&amp;ED</w:t>
      </w:r>
      <w:r w:rsidDel="00000000" w:rsidR="00000000" w:rsidRPr="00000000">
        <w:rPr>
          <w:rFonts w:ascii="Verdana" w:cs="Verdana" w:eastAsia="Verdana" w:hAnsi="Verdana"/>
          <w:color w:val="212121"/>
          <w:sz w:val="18"/>
          <w:szCs w:val="18"/>
          <w:rtl w:val="0"/>
        </w:rPr>
        <w:t xml:space="preserve">") eligible expenses; and</w:t>
      </w:r>
    </w:p>
    <w:p w:rsidR="00000000" w:rsidDel="00000000" w:rsidP="00000000" w:rsidRDefault="00000000" w:rsidRPr="00000000" w14:paraId="00000037">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38">
      <w:pPr>
        <w:numPr>
          <w:ilvl w:val="0"/>
          <w:numId w:val="1"/>
        </w:numPr>
        <w:pBdr>
          <w:top w:color="auto" w:space="0" w:sz="0" w:val="none"/>
          <w:bottom w:color="auto" w:space="0" w:sz="0" w:val="none"/>
          <w:right w:color="auto" w:space="0" w:sz="0" w:val="none"/>
          <w:between w:color="auto" w:space="0" w:sz="0" w:val="none"/>
        </w:pBdr>
        <w:spacing w:after="280" w:before="0" w:beforeAutospacing="0" w:lineRule="auto"/>
        <w:ind w:left="720" w:hanging="360"/>
      </w:pPr>
      <w:r w:rsidDel="00000000" w:rsidR="00000000" w:rsidRPr="00000000">
        <w:rPr>
          <w:rFonts w:ascii="Verdana" w:cs="Verdana" w:eastAsia="Verdana" w:hAnsi="Verdana"/>
          <w:color w:val="212121"/>
          <w:sz w:val="18"/>
          <w:szCs w:val="18"/>
          <w:rtl w:val="0"/>
        </w:rPr>
        <w:t xml:space="preserve">only a CCPC can recover taxes paid on "aggregate investment income" (as defined in s. 129(4) of the Act).</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As such, it is crucial to be mindful of any non-resident shareholder in a corporation, as this may disrupt the corporation's CCPC status.</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Control for purposes of the definition of CCPC is determined with reference to both </w:t>
      </w:r>
      <w:r w:rsidDel="00000000" w:rsidR="00000000" w:rsidRPr="00000000">
        <w:rPr>
          <w:rFonts w:ascii="Verdana" w:cs="Verdana" w:eastAsia="Verdana" w:hAnsi="Verdana"/>
          <w:i w:val="1"/>
          <w:iCs w:val="1"/>
          <w:color w:val="212121"/>
          <w:sz w:val="18"/>
          <w:szCs w:val="18"/>
          <w:rtl w:val="0"/>
        </w:rPr>
        <w:t xml:space="preserve">de jure control</w:t>
      </w:r>
      <w:r w:rsidDel="00000000" w:rsidR="00000000" w:rsidRPr="00000000">
        <w:rPr>
          <w:rFonts w:ascii="Verdana" w:cs="Verdana" w:eastAsia="Verdana" w:hAnsi="Verdana"/>
          <w:color w:val="212121"/>
          <w:sz w:val="18"/>
          <w:szCs w:val="18"/>
          <w:rtl w:val="0"/>
        </w:rPr>
        <w:t xml:space="preserve"> and </w:t>
      </w:r>
      <w:r w:rsidDel="00000000" w:rsidR="00000000" w:rsidRPr="00000000">
        <w:rPr>
          <w:rFonts w:ascii="Verdana" w:cs="Verdana" w:eastAsia="Verdana" w:hAnsi="Verdana"/>
          <w:i w:val="1"/>
          <w:iCs w:val="1"/>
          <w:color w:val="212121"/>
          <w:sz w:val="18"/>
          <w:szCs w:val="18"/>
          <w:rtl w:val="0"/>
        </w:rPr>
        <w:t xml:space="preserve">de facto control</w:t>
      </w:r>
      <w:r w:rsidDel="00000000" w:rsidR="00000000" w:rsidRPr="00000000">
        <w:rPr>
          <w:rFonts w:ascii="Verdana" w:cs="Verdana" w:eastAsia="Verdana" w:hAnsi="Verdana"/>
          <w:color w:val="212121"/>
          <w:sz w:val="18"/>
          <w:szCs w:val="18"/>
          <w:rtl w:val="0"/>
        </w:rPr>
        <w:t xml:space="preserve">. This means that a non-resident will be deemed to control a corporation where it can elect the majority of the directors (</w:t>
      </w:r>
      <w:r w:rsidDel="00000000" w:rsidR="00000000" w:rsidRPr="00000000">
        <w:rPr>
          <w:rFonts w:ascii="Verdana" w:cs="Verdana" w:eastAsia="Verdana" w:hAnsi="Verdana"/>
          <w:i w:val="1"/>
          <w:iCs w:val="1"/>
          <w:color w:val="212121"/>
          <w:sz w:val="18"/>
          <w:szCs w:val="18"/>
          <w:rtl w:val="0"/>
        </w:rPr>
        <w:t xml:space="preserve">de jure control</w:t>
      </w:r>
      <w:r w:rsidDel="00000000" w:rsidR="00000000" w:rsidRPr="00000000">
        <w:rPr>
          <w:rFonts w:ascii="Verdana" w:cs="Verdana" w:eastAsia="Verdana" w:hAnsi="Verdana"/>
          <w:color w:val="212121"/>
          <w:sz w:val="18"/>
          <w:szCs w:val="18"/>
          <w:rtl w:val="0"/>
        </w:rPr>
        <w:t xml:space="preserve">) or if it is determined that control may be exercised as a matter of fact, irrespective of the shareholder's ability to elect the majority of directors (</w:t>
      </w:r>
      <w:r w:rsidDel="00000000" w:rsidR="00000000" w:rsidRPr="00000000">
        <w:rPr>
          <w:rFonts w:ascii="Verdana" w:cs="Verdana" w:eastAsia="Verdana" w:hAnsi="Verdana"/>
          <w:i w:val="1"/>
          <w:iCs w:val="1"/>
          <w:color w:val="212121"/>
          <w:sz w:val="18"/>
          <w:szCs w:val="18"/>
          <w:rtl w:val="0"/>
        </w:rPr>
        <w:t xml:space="preserve">de facto control</w:t>
      </w:r>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For purposes of determining control, it is important to note that s. 125(7)(b) of the definition of CCPC combines all non-resident shareholders into a single "particular person" when assessing control, where it states:</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60" w:before="460" w:line="408" w:lineRule="auto"/>
        <w:ind w:left="600" w:right="600" w:firstLine="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(b) a corporation that would, if each share of the capital stock of a corporation that is owned by a non-resident person, by a public corporation (other than a prescribed venture capital corporation), or by a corporation described in paragraph (c) were owned by a particular person, be controlled by the particular person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Counsel should be cognizant of unanimous shareholder agreements, as the terms may affect control. In circumstances where the voting is split 50/50 between resident and non-resident shareholders, the court may look to </w:t>
      </w:r>
      <w:r w:rsidDel="00000000" w:rsidR="00000000" w:rsidRPr="00000000">
        <w:rPr>
          <w:rFonts w:ascii="Verdana" w:cs="Verdana" w:eastAsia="Verdana" w:hAnsi="Verdana"/>
          <w:i w:val="1"/>
          <w:iCs w:val="1"/>
          <w:color w:val="212121"/>
          <w:sz w:val="18"/>
          <w:szCs w:val="18"/>
          <w:rtl w:val="0"/>
        </w:rPr>
        <w:t xml:space="preserve">de facto</w:t>
      </w:r>
      <w:r w:rsidDel="00000000" w:rsidR="00000000" w:rsidRPr="00000000">
        <w:rPr>
          <w:rFonts w:ascii="Verdana" w:cs="Verdana" w:eastAsia="Verdana" w:hAnsi="Verdana"/>
          <w:color w:val="212121"/>
          <w:sz w:val="18"/>
          <w:szCs w:val="18"/>
          <w:rtl w:val="0"/>
        </w:rPr>
        <w:t xml:space="preserve"> control (see </w:t>
      </w:r>
      <w:r w:rsidDel="00000000" w:rsidR="00000000" w:rsidRPr="00000000">
        <w:rPr>
          <w:rFonts w:ascii="Verdana" w:cs="Verdana" w:eastAsia="Verdana" w:hAnsi="Verdana"/>
          <w:i w:val="1"/>
          <w:iCs w:val="1"/>
          <w:color w:val="212121"/>
          <w:sz w:val="18"/>
          <w:szCs w:val="18"/>
          <w:rtl w:val="0"/>
        </w:rPr>
        <w:t xml:space="preserve">Mimetix Pharmaceuticals Inc. v. Canada</w:t>
      </w:r>
      <w:r w:rsidDel="00000000" w:rsidR="00000000" w:rsidRPr="00000000">
        <w:rPr>
          <w:rFonts w:ascii="Verdana" w:cs="Verdana" w:eastAsia="Verdana" w:hAnsi="Verdana"/>
          <w:color w:val="212121"/>
          <w:sz w:val="18"/>
          <w:szCs w:val="18"/>
          <w:rtl w:val="0"/>
        </w:rPr>
        <w:t xml:space="preserve">., [2003] F.C.J. No. 335 (C.A.)).</w:t>
      </w:r>
    </w:p>
    <w:p w:rsidR="00000000" w:rsidDel="00000000" w:rsidP="00000000" w:rsidRDefault="00000000" w:rsidRPr="00000000" w14:paraId="0000003E">
      <w:pPr>
        <w:spacing w:before="0" w:line="408" w:lineRule="auto"/>
        <w:rPr>
          <w:rFonts w:ascii="Verdana" w:cs="Verdana" w:eastAsia="Verdana" w:hAnsi="Verdana"/>
          <w:b w:val="1"/>
          <w:bCs w:val="1"/>
          <w:color w:val="212121"/>
          <w:sz w:val="18"/>
          <w:szCs w:val="18"/>
        </w:rPr>
      </w:pPr>
      <w:r w:rsidDel="00000000" w:rsidR="00000000" w:rsidRPr="00000000">
        <w:rPr>
          <w:rFonts w:ascii="Verdana" w:cs="Verdana" w:eastAsia="Verdana" w:hAnsi="Verdana"/>
          <w:b w:val="1"/>
          <w:bCs w:val="1"/>
          <w:color w:val="212121"/>
          <w:sz w:val="18"/>
          <w:szCs w:val="18"/>
          <w:rtl w:val="0"/>
        </w:rPr>
        <w:t xml:space="preserve">Financing</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The cross-border financing implications of a non-resident shareholder can also be significant. This is a complicated issue, but the following considerations are noteworthy.</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b w:val="1"/>
          <w:bCs w:val="1"/>
          <w:color w:val="212121"/>
          <w:sz w:val="18"/>
          <w:szCs w:val="18"/>
        </w:rPr>
      </w:pPr>
      <w:r w:rsidDel="00000000" w:rsidR="00000000" w:rsidRPr="00000000">
        <w:rPr>
          <w:rFonts w:ascii="Verdana" w:cs="Verdana" w:eastAsia="Verdana" w:hAnsi="Verdana"/>
          <w:b w:val="1"/>
          <w:bCs w:val="1"/>
          <w:color w:val="212121"/>
          <w:sz w:val="18"/>
          <w:szCs w:val="18"/>
          <w:rtl w:val="0"/>
        </w:rPr>
        <w:t xml:space="preserve">Thin-Cap Rules</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Some investors will inject equity and/or debt into the Canadian corporation, and the balance between the two may touch on the thin capitalization rules that limit a person's ability to deduct interest expenses. In the case of a U.S. investor, the debt-to-equity ratio invested cannot exceed 1.5 to 1 without limiting the deductibility of interest payments by the non-resident investor. The ability to deduct interest is significant in optimizing the after-tax return on investment for a non-resident investor, and any limitation on this ability will have a significant impact on an investor. Note that the "equity amount" (in basic terms) includes a number of components such as retained earnings for the year, contributed surplus and paid-up capital of the non-resident shareholder.</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b w:val="1"/>
          <w:bCs w:val="1"/>
          <w:color w:val="212121"/>
          <w:sz w:val="18"/>
          <w:szCs w:val="18"/>
        </w:rPr>
      </w:pPr>
      <w:r w:rsidDel="00000000" w:rsidR="00000000" w:rsidRPr="00000000">
        <w:rPr>
          <w:rFonts w:ascii="Verdana" w:cs="Verdana" w:eastAsia="Verdana" w:hAnsi="Verdana"/>
          <w:b w:val="1"/>
          <w:bCs w:val="1"/>
          <w:color w:val="212121"/>
          <w:sz w:val="18"/>
          <w:szCs w:val="18"/>
          <w:rtl w:val="0"/>
        </w:rPr>
        <w:t xml:space="preserve">Withholding Taxes</w:t>
      </w:r>
    </w:p>
    <w:p w:rsidR="00000000" w:rsidDel="00000000" w:rsidP="00000000" w:rsidRDefault="00000000" w:rsidRPr="00000000" w14:paraId="00000043">
      <w:pPr>
        <w:spacing w:before="0" w:lineRule="auto"/>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13" w:type="default"/>
      <w:headerReference r:id="rId14" w:type="first"/>
      <w:footerReference r:id="rId15" w:type="default"/>
      <w:footerReference r:id="rId16"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Verdan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ind w:left="0" w:firstLine="0"/>
      <w:jc w:val="left"/>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Pr>
      <w:drawing>
        <wp:inline distB="114300" distT="114300" distL="114300" distR="114300">
          <wp:extent cx="1820862" cy="182086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20862" cy="182086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1" Type="http://schemas.openxmlformats.org/officeDocument/2006/relationships/hyperlink" Target="https://www.canada.ca/en/revenue-agency/services/forms-publications/forms/t2sch31.html" TargetMode="External"/><Relationship Id="rId10" Type="http://schemas.openxmlformats.org/officeDocument/2006/relationships/hyperlink" Target="https://www.canada.ca/en/revenue-agency/services/forms-publications/forms/t2sch31.html" TargetMode="External"/><Relationship Id="rId13" Type="http://schemas.openxmlformats.org/officeDocument/2006/relationships/header" Target="header1.xml"/><Relationship Id="rId12" Type="http://schemas.openxmlformats.org/officeDocument/2006/relationships/hyperlink" Target="https://advance.lexis.com/document/lpadocument/?pdmfid=1518425&amp;crid=abcae4a6-b234-45f8-8945-c357b66731e1&amp;pddocfullpath=%2Fshared%2Fdocument%2Fanalytical-materials-lpa-ca%2Furn%3AcontentItem%3A5W0W-D0Y1-F2MB-S2VV-00000-00&amp;pdcontentcomponentid=402959&amp;pdteaserkey=sr2&amp;pditab=allpods&amp;ecomp=L75g&amp;earg=sr2&amp;prid=f1a2d03b-8e39-42fa-89c3-54b62920a76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anada.ca/en/revenue-agency/services/forms-publications/forms/t2sch31.html" TargetMode="External"/><Relationship Id="rId15" Type="http://schemas.openxmlformats.org/officeDocument/2006/relationships/footer" Target="footer2.xml"/><Relationship Id="rId14" Type="http://schemas.openxmlformats.org/officeDocument/2006/relationships/header" Target="head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canada.ca/en/revenue-agency/services/forms-publications/forms/t661.html" TargetMode="External"/><Relationship Id="rId7" Type="http://schemas.openxmlformats.org/officeDocument/2006/relationships/hyperlink" Target="https://www.canada.ca/en/revenue-agency/services/forms-publications/forms/t661.html" TargetMode="External"/><Relationship Id="rId8" Type="http://schemas.openxmlformats.org/officeDocument/2006/relationships/hyperlink" Target="https://www.canada.ca/en/revenue-agency/services/forms-publications/forms/t661.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