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line="312" w:lineRule="auto"/>
        <w:jc w:val="center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bookmarkStart w:colFirst="0" w:colLast="0" w:name="_xf7d5f5adjae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Term Sheet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340" w:line="408" w:lineRule="auto"/>
        <w:ind w:left="720" w:hanging="36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408" w:lineRule="auto"/>
        <w:ind w:left="720" w:hanging="36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[Name of Corporation]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20" w:before="0" w:beforeAutospacing="0" w:line="408" w:lineRule="auto"/>
        <w:ind w:left="720" w:hanging="360"/>
        <w:jc w:val="center"/>
        <w:rPr>
          <w:b w:val="1"/>
          <w:bCs w:val="1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  <w:rtl w:val="0"/>
        </w:rPr>
        <w:t xml:space="preserve">$[AMOUNT] PRIVATE PLACEMENT OF TEAM LICENSES</w:t>
      </w: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7515"/>
        <w:tblGridChange w:id="0">
          <w:tblGrid>
            <w:gridCol w:w="1620"/>
            <w:gridCol w:w="75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Issuer: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[Name of Corporation] (the "Corporation")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Gross Proceeds: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$[amount]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League: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The cricket league to be organized by the Corporation (“League”) subject to  the concession agreement between the Corporation and Cricket Canada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Issue: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Private placement of team licenses in the League of the Corporation ("Team Licenses")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Issue Price: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$[amount] per Team License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Type of Transaction: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Best efforts private placement (the "Offering")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Agents: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[Name of Agent] is the lead agent (together with the other agents in the syndicate, the "Agents")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Selling Jurisdictions: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The Team Licenses will be offered by way of the "accredited investor" exemption under National Instrument 45-106: Prospectus Exemptions ("NI 45–106") in the Provinces of [specify], and any other Canadian provinces as agreed upon by the Corporation and the Agents.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Use of Proceeds: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The net proceeds raised through the issue of Team Licenses will be for [specify] [of the League].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Resale Restrictions: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The securities to be issued in the offering will be subject to certain resale restrictions, including a restricted period of two (2) years following the distribution date, under applicable Canadian securities legislation. Purchasers are advised to consult their own legal advisors in this regard.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Commission: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The Corporation shall pay to the Agents an aggregate cash commission equal to not less than [10]% of the gross proceeds raised under the Offering.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12121"/>
                <w:sz w:val="18"/>
                <w:szCs w:val="18"/>
                <w:highlight w:val="white"/>
                <w:rtl w:val="0"/>
              </w:rPr>
              <w:t xml:space="preserve">Closing 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before="0" w:line="408" w:lineRule="auto"/>
              <w:jc w:val="both"/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33333"/>
                <w:sz w:val="18"/>
                <w:szCs w:val="18"/>
                <w:highlight w:val="white"/>
                <w:rtl w:val="0"/>
              </w:rPr>
              <w:t xml:space="preserve">On or about [date] or such earlier or later date as may be agreed upon by the Corporation and the Agents.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20" w:before="340" w:line="408" w:lineRule="auto"/>
        <w:ind w:left="0" w:firstLine="0"/>
        <w:jc w:val="both"/>
        <w:rPr>
          <w:rFonts w:ascii="Verdana" w:cs="Verdana" w:eastAsia="Verdana" w:hAnsi="Verdana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Verdana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Verdana" w:cs="Verdana" w:eastAsia="Verdana" w:hAnsi="Verdana"/>
        <w:color w:val="212121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