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before="0" w:line="240" w:lineRule="auto"/>
        <w:rPr>
          <w:rFonts w:ascii="Times New Roman" w:cs="Times New Roman" w:eastAsia="Times New Roman" w:hAnsi="Times New Roman"/>
          <w:b w:val="1"/>
          <w:bCs w:val="1"/>
          <w:color w:val="08122b"/>
          <w:u w:val="none"/>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u w:val="none"/>
          <w:rtl w:val="0"/>
        </w:rPr>
        <w:t xml:space="preserve">Matthew AJ Levine </w:t>
      </w:r>
    </w:p>
    <w:p w:rsidR="00000000" w:rsidDel="00000000" w:rsidP="00000000" w:rsidRDefault="00000000" w:rsidRPr="00000000" w14:paraId="00000002">
      <w:pPr>
        <w:pStyle w:val="Heading4"/>
        <w:spacing w:before="0" w:line="240" w:lineRule="auto"/>
        <w:rPr>
          <w:rFonts w:ascii="Times New Roman" w:cs="Times New Roman" w:eastAsia="Times New Roman" w:hAnsi="Times New Roman"/>
          <w:b w:val="1"/>
          <w:bCs w:val="1"/>
          <w:color w:val="08122b"/>
          <w:u w:val="none"/>
        </w:rPr>
      </w:pPr>
      <w:bookmarkStart w:colFirst="0" w:colLast="0" w:name="_paiv2oq3e778" w:id="1"/>
      <w:bookmarkEnd w:id="1"/>
      <w:r w:rsidDel="00000000" w:rsidR="00000000" w:rsidRPr="00000000">
        <w:rPr>
          <w:rFonts w:ascii="Times New Roman" w:cs="Times New Roman" w:eastAsia="Times New Roman" w:hAnsi="Times New Roman"/>
          <w:b w:val="1"/>
          <w:bCs w:val="1"/>
          <w:color w:val="08122b"/>
          <w:u w:val="none"/>
          <w:rtl w:val="0"/>
        </w:rPr>
        <w:t xml:space="preserve">Professional Corporation</w:t>
      </w:r>
    </w:p>
    <w:p w:rsidR="00000000" w:rsidDel="00000000" w:rsidP="00000000" w:rsidRDefault="00000000" w:rsidRPr="00000000" w14:paraId="00000003">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4">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5">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6">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7">
      <w:pPr>
        <w:spacing w:before="0"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8">
      <w:pPr>
        <w:spacing w:before="0" w:line="240" w:lineRule="auto"/>
        <w:rPr/>
      </w:pPr>
      <w:r w:rsidDel="00000000" w:rsidR="00000000" w:rsidRPr="00000000">
        <w:rPr>
          <w:rtl w:val="0"/>
        </w:rPr>
      </w:r>
    </w:p>
    <w:p w:rsidR="00000000" w:rsidDel="00000000" w:rsidP="00000000" w:rsidRDefault="00000000" w:rsidRPr="00000000" w14:paraId="00000009">
      <w:pPr>
        <w:pStyle w:val="Title"/>
        <w:jc w:val="both"/>
        <w:rPr/>
      </w:pPr>
      <w:bookmarkStart w:colFirst="0" w:colLast="0" w:name="_ajkbc8tn9asw" w:id="2"/>
      <w:bookmarkEnd w:id="2"/>
      <w:r w:rsidDel="00000000" w:rsidR="00000000" w:rsidRPr="00000000">
        <w:rPr>
          <w:rtl w:val="0"/>
        </w:rPr>
        <w:t xml:space="preserve">Deal [1]</w:t>
      </w:r>
      <w:r w:rsidDel="00000000" w:rsidR="00000000" w:rsidRPr="00000000">
        <w:rPr>
          <w:rtl w:val="0"/>
        </w:rPr>
        <w:t xml:space="preserve"> - Accounting</w:t>
      </w:r>
    </w:p>
    <w:p w:rsidR="00000000" w:rsidDel="00000000" w:rsidP="00000000" w:rsidRDefault="00000000" w:rsidRPr="00000000" w14:paraId="0000000A">
      <w:pPr>
        <w:pStyle w:val="Subtitle"/>
        <w:rPr/>
      </w:pPr>
      <w:bookmarkStart w:colFirst="0" w:colLast="0" w:name="_nqibd0adg555" w:id="3"/>
      <w:bookmarkEnd w:id="3"/>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2024</w:t>
      </w:r>
      <w:r w:rsidDel="00000000" w:rsidR="00000000" w:rsidRPr="00000000">
        <w:rPr>
          <w:rtl w:val="0"/>
        </w:rPr>
      </w:r>
    </w:p>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0x2tf3yklo3" w:id="4"/>
      <w:bookmarkEnd w:id="4"/>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spacing w:after="240" w:before="240" w:lineRule="auto"/>
        <w:rPr/>
      </w:pPr>
      <w:bookmarkStart w:colFirst="0" w:colLast="0" w:name="_pr212mt1oyil" w:id="5"/>
      <w:bookmarkEnd w:id="5"/>
      <w:r w:rsidDel="00000000" w:rsidR="00000000" w:rsidRPr="00000000">
        <w:rPr>
          <w:rtl w:val="0"/>
        </w:rPr>
        <w:t xml:space="preserve">Overview</w:t>
      </w:r>
    </w:p>
    <w:p w:rsidR="00000000" w:rsidDel="00000000" w:rsidP="00000000" w:rsidRDefault="00000000" w:rsidRPr="00000000" w14:paraId="0000000F">
      <w:pPr>
        <w:rPr/>
      </w:pPr>
      <w:r w:rsidDel="00000000" w:rsidR="00000000" w:rsidRPr="00000000">
        <w:rPr>
          <w:rtl w:val="0"/>
        </w:rPr>
        <w:t xml:space="preserve">Client is 50% owner of Corporation and former business partner (“Co-Founder”) owns remaining 50%. (Client and Co Founder are the Parties.) Client will pay Co-Founder $2 million (“Purchase Price”) for acquisition of Co-Founder’s shares.  </w:t>
      </w:r>
    </w:p>
    <w:p w:rsidR="00000000" w:rsidDel="00000000" w:rsidP="00000000" w:rsidRDefault="00000000" w:rsidRPr="00000000" w14:paraId="00000010">
      <w:pPr>
        <w:rPr/>
      </w:pPr>
      <w:r w:rsidDel="00000000" w:rsidR="00000000" w:rsidRPr="00000000">
        <w:rPr>
          <w:rtl w:val="0"/>
        </w:rPr>
        <w:t xml:space="preserve">Client has persistent disagreement with Co-Founder over many matters, which center on management and valuation of Corporation. Parties hired a professional valuator who came back with a valuation of 4.2 - 4.7 million (“Valuation”) subject to certain issues listed below (the “Issues”). Parties have come to a commercial deal whereby Client pays (“Purchase Price”). </w:t>
      </w:r>
    </w:p>
    <w:p w:rsidR="00000000" w:rsidDel="00000000" w:rsidP="00000000" w:rsidRDefault="00000000" w:rsidRPr="00000000" w14:paraId="00000011">
      <w:pPr>
        <w:rPr/>
      </w:pPr>
      <w:r w:rsidDel="00000000" w:rsidR="00000000" w:rsidRPr="00000000">
        <w:rPr>
          <w:rtl w:val="0"/>
        </w:rPr>
        <w:t xml:space="preserve">As part of closing this deal, and in connection with Client’s need to finance most of Purchase Price, Client needs to take certain steps that may appear to confirm the Valuation.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spacing w:after="240" w:before="240" w:lineRule="auto"/>
        <w:rPr/>
      </w:pPr>
      <w:bookmarkStart w:colFirst="0" w:colLast="0" w:name="_ly1asnlntkn5" w:id="6"/>
      <w:bookmarkEnd w:id="6"/>
      <w:r w:rsidDel="00000000" w:rsidR="00000000" w:rsidRPr="00000000">
        <w:rPr>
          <w:rtl w:val="0"/>
        </w:rPr>
        <w:t xml:space="preserve">Events between Signing and Closing</w:t>
      </w:r>
    </w:p>
    <w:p w:rsidR="00000000" w:rsidDel="00000000" w:rsidP="00000000" w:rsidRDefault="00000000" w:rsidRPr="00000000" w14:paraId="00000014">
      <w:pPr>
        <w:rPr/>
      </w:pPr>
      <w:r w:rsidDel="00000000" w:rsidR="00000000" w:rsidRPr="00000000">
        <w:rPr>
          <w:rtl w:val="0"/>
        </w:rPr>
        <w:t xml:space="preserve">The share purchase agreement (“SPA”) has yet to be finalized. As is customary, after signing the SPA and after a period of time, there will be a formal closing and at that time the preponderance of the Purchase Price will be transferred. The period between the SPA and closing can be called the “Pre-Closing Period”. During this Pre-Closing Period, Parties need to attend to below matters,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1"/>
        </w:numPr>
        <w:spacing w:after="0" w:afterAutospacing="0"/>
        <w:ind w:left="720" w:hanging="360"/>
        <w:rPr>
          <w:u w:val="none"/>
        </w:rPr>
      </w:pPr>
      <w:r w:rsidDel="00000000" w:rsidR="00000000" w:rsidRPr="00000000">
        <w:rPr>
          <w:rtl w:val="0"/>
        </w:rPr>
        <w:t xml:space="preserve">Re-opening financial statements for 2021 and 2022 in order to re-allocate losses and then re-file corporate income tax statement (“T1”) 2021 and 2022;</w:t>
      </w:r>
    </w:p>
    <w:p w:rsidR="00000000" w:rsidDel="00000000" w:rsidP="00000000" w:rsidRDefault="00000000" w:rsidRPr="00000000" w14:paraId="00000017">
      <w:pPr>
        <w:numPr>
          <w:ilvl w:val="0"/>
          <w:numId w:val="1"/>
        </w:numPr>
        <w:spacing w:after="0" w:afterAutospacing="0" w:before="0" w:beforeAutospacing="0"/>
        <w:ind w:left="720" w:hanging="360"/>
      </w:pPr>
      <w:r w:rsidDel="00000000" w:rsidR="00000000" w:rsidRPr="00000000">
        <w:rPr>
          <w:rtl w:val="0"/>
        </w:rPr>
        <w:t xml:space="preserve">finalizing financial statements for 2023 in order to file taxes for 2023 and in order to finalize the Valuation;</w:t>
      </w:r>
    </w:p>
    <w:p w:rsidR="00000000" w:rsidDel="00000000" w:rsidP="00000000" w:rsidRDefault="00000000" w:rsidRPr="00000000" w14:paraId="00000018">
      <w:pPr>
        <w:numPr>
          <w:ilvl w:val="0"/>
          <w:numId w:val="1"/>
        </w:numPr>
        <w:spacing w:before="0" w:beforeAutospacing="0"/>
        <w:ind w:left="720" w:hanging="360"/>
        <w:rPr>
          <w:u w:val="none"/>
        </w:rPr>
      </w:pPr>
      <w:r w:rsidDel="00000000" w:rsidR="00000000" w:rsidRPr="00000000">
        <w:rPr>
          <w:rtl w:val="0"/>
        </w:rPr>
        <w:t xml:space="preserve">Finalizing the Valuation in order to secure financing of the Purchase Price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spacing w:after="240" w:before="240" w:lineRule="auto"/>
        <w:rPr/>
      </w:pPr>
      <w:bookmarkStart w:colFirst="0" w:colLast="0" w:name="_rq4iapgsgrsc" w:id="7"/>
      <w:bookmarkEnd w:id="7"/>
      <w:r w:rsidDel="00000000" w:rsidR="00000000" w:rsidRPr="00000000">
        <w:rPr>
          <w:rtl w:val="0"/>
        </w:rPr>
        <w:t xml:space="preserve">Issue 1</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Valuation will be based on allocating inventory to the three most recent years (2021-2023) (the “Allocation Period”). Client does not agree that inventory was actually accrued only during the Allocation Period and instead takes the position that the inventory was accrued over nine (9) years.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rPr/>
      </w:pPr>
      <w:bookmarkStart w:colFirst="0" w:colLast="0" w:name="_v9zlbatjwvzy" w:id="8"/>
      <w:bookmarkEnd w:id="8"/>
      <w:r w:rsidDel="00000000" w:rsidR="00000000" w:rsidRPr="00000000">
        <w:rPr>
          <w:rtl w:val="0"/>
        </w:rPr>
        <w:t xml:space="preserve">1.a financial consequences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I believe that Allocation Period determines “net profit” -  does this makes sense?]</w:t>
      </w:r>
    </w:p>
    <w:p w:rsidR="00000000" w:rsidDel="00000000" w:rsidP="00000000" w:rsidRDefault="00000000" w:rsidRPr="00000000" w14:paraId="00000025">
      <w:pPr>
        <w:pStyle w:val="Heading3"/>
        <w:rPr/>
      </w:pPr>
      <w:bookmarkStart w:colFirst="0" w:colLast="0" w:name="_5z5gjkwu2kou" w:id="9"/>
      <w:bookmarkEnd w:id="9"/>
      <w:r w:rsidDel="00000000" w:rsidR="00000000" w:rsidRPr="00000000">
        <w:rPr>
          <w:rtl w:val="0"/>
        </w:rPr>
        <w:t xml:space="preserve">1.b financial consequences </w:t>
      </w:r>
    </w:p>
    <w:p w:rsidR="00000000" w:rsidDel="00000000" w:rsidP="00000000" w:rsidRDefault="00000000" w:rsidRPr="00000000" w14:paraId="00000026">
      <w:pPr>
        <w:rPr/>
      </w:pPr>
      <w:r w:rsidDel="00000000" w:rsidR="00000000" w:rsidRPr="00000000">
        <w:rPr>
          <w:rtl w:val="0"/>
        </w:rPr>
        <w:t xml:space="preserve">which would result in … [i dont get  it. I believe Client is saying that tax liability would then be lower [?] and valuation would be lower; but its not clear.]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rPr/>
      </w:pPr>
      <w:bookmarkStart w:colFirst="0" w:colLast="0" w:name="_qght28hih9no" w:id="10"/>
      <w:bookmarkEnd w:id="10"/>
      <w:r w:rsidDel="00000000" w:rsidR="00000000" w:rsidRPr="00000000">
        <w:rPr>
          <w:rtl w:val="0"/>
        </w:rPr>
        <w:t xml:space="preserve">1.c legal / price consequences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Client is concerned that higher Valuation will be used against him by the Co-Founder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spacing w:after="240" w:before="240" w:lineRule="auto"/>
        <w:rPr/>
      </w:pPr>
      <w:bookmarkStart w:colFirst="0" w:colLast="0" w:name="_gndxqrpv8z72" w:id="11"/>
      <w:bookmarkEnd w:id="11"/>
      <w:r w:rsidDel="00000000" w:rsidR="00000000" w:rsidRPr="00000000">
        <w:rPr>
          <w:rtl w:val="0"/>
        </w:rPr>
        <w:t xml:space="preserve">Issue 2</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spacing w:after="240" w:before="240" w:lineRule="auto"/>
        <w:rPr/>
      </w:pPr>
      <w:bookmarkStart w:colFirst="0" w:colLast="0" w:name="_u3tk6lpintb7" w:id="12"/>
      <w:bookmarkEnd w:id="12"/>
      <w:r w:rsidDel="00000000" w:rsidR="00000000" w:rsidRPr="00000000">
        <w:rPr>
          <w:rtl w:val="0"/>
        </w:rPr>
        <w:t xml:space="preserve">Issue 3</w:t>
      </w:r>
    </w:p>
    <w:sectPr>
      <w:headerReference r:id="rId6" w:type="default"/>
      <w:headerReference r:id="rId7" w:type="first"/>
      <w:footerReference r:id="rId8" w:type="default"/>
      <w:footerReference r:id="rId9"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ind w:left="5760" w:hanging="5760"/>
      <w:rPr/>
    </w:pPr>
    <w:r w:rsidDel="00000000" w:rsidR="00000000" w:rsidRPr="00000000">
      <w:rPr/>
      <w:drawing>
        <wp:inline distB="114300" distT="114300" distL="114300" distR="114300">
          <wp:extent cx="1485900" cy="800100"/>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485900" cy="800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