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Law - Deal - Payment - VTB</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July 2024</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pStyle w:val="Heading1"/>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bookmarkStart w:colFirst="0" w:colLast="0" w:name="_2bxoqovyh11c" w:id="3"/>
      <w:bookmarkEnd w:id="3"/>
      <w:r w:rsidDel="00000000" w:rsidR="00000000" w:rsidRPr="00000000">
        <w:rPr>
          <w:b w:val="1"/>
          <w:bCs w:val="1"/>
          <w:sz w:val="26"/>
          <w:szCs w:val="26"/>
          <w:rtl w:val="0"/>
        </w:rPr>
        <w:t xml:space="preserve">Vendor Take-Back (VTB)</w:t>
      </w: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0" w:line="408" w:lineRule="auto"/>
        <w:jc w:val="both"/>
        <w:rPr/>
      </w:pPr>
      <w:r w:rsidDel="00000000" w:rsidR="00000000" w:rsidRPr="00000000">
        <w:rPr>
          <w:rtl w:val="0"/>
        </w:rPr>
        <w:t xml:space="preserve">A </w:t>
      </w:r>
      <w:r w:rsidDel="00000000" w:rsidR="00000000" w:rsidRPr="00000000">
        <w:rPr>
          <w:b w:val="1"/>
          <w:bCs w:val="1"/>
          <w:rtl w:val="0"/>
        </w:rPr>
        <w:t xml:space="preserve">Vendor Take-Back (VTB)</w:t>
      </w:r>
      <w:r w:rsidDel="00000000" w:rsidR="00000000" w:rsidRPr="00000000">
        <w:rPr>
          <w:rtl w:val="0"/>
        </w:rPr>
        <w:t xml:space="preserve"> is a form of payment where the seller effectively lends part of the purchase price to the buyer, which is documented by a </w:t>
      </w:r>
      <w:r w:rsidDel="00000000" w:rsidR="00000000" w:rsidRPr="00000000">
        <w:rPr>
          <w:b w:val="1"/>
          <w:bCs w:val="1"/>
          <w:rtl w:val="0"/>
        </w:rPr>
        <w:t xml:space="preserve">promissory note</w:t>
      </w:r>
      <w:r w:rsidDel="00000000" w:rsidR="00000000" w:rsidRPr="00000000">
        <w:rPr>
          <w:rtl w:val="0"/>
        </w:rPr>
        <w:t xml:space="preserve">, and this is Transaction 1</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0" w:line="408" w:lineRule="auto"/>
        <w:jc w:val="both"/>
        <w:rPr>
          <w:b w:val="1"/>
          <w:bCs w:val="1"/>
        </w:rPr>
      </w:pPr>
      <w:r w:rsidDel="00000000" w:rsidR="00000000" w:rsidRPr="00000000">
        <w:rPr>
          <w:rtl w:val="0"/>
        </w:rPr>
        <w:t xml:space="preserve">Once the VTB is in place, key aspects like </w:t>
      </w:r>
      <w:r w:rsidDel="00000000" w:rsidR="00000000" w:rsidRPr="00000000">
        <w:rPr>
          <w:b w:val="1"/>
          <w:bCs w:val="1"/>
          <w:rtl w:val="0"/>
        </w:rPr>
        <w:t xml:space="preserve">loan security</w:t>
      </w:r>
      <w:r w:rsidDel="00000000" w:rsidR="00000000" w:rsidRPr="00000000">
        <w:rPr>
          <w:rtl w:val="0"/>
        </w:rPr>
        <w:t xml:space="preserve"> and </w:t>
      </w:r>
      <w:r w:rsidDel="00000000" w:rsidR="00000000" w:rsidRPr="00000000">
        <w:rPr>
          <w:b w:val="1"/>
          <w:bCs w:val="1"/>
          <w:rtl w:val="0"/>
        </w:rPr>
        <w:t xml:space="preserve">repayment terms</w:t>
      </w:r>
      <w:r w:rsidDel="00000000" w:rsidR="00000000" w:rsidRPr="00000000">
        <w:rPr>
          <w:rtl w:val="0"/>
        </w:rPr>
        <w:t xml:space="preserve"> need to be considered, which constitute Transaction 2.</w:t>
      </w:r>
      <w:r w:rsidDel="00000000" w:rsidR="00000000" w:rsidRPr="00000000">
        <w:rPr>
          <w:rtl w:val="0"/>
        </w:rPr>
      </w:r>
    </w:p>
    <w:p w:rsidR="00000000" w:rsidDel="00000000" w:rsidP="00000000" w:rsidRDefault="00000000" w:rsidRPr="00000000" w14:paraId="0000000C">
      <w:pPr>
        <w:pStyle w:val="Heading3"/>
        <w:spacing w:after="80" w:before="280" w:line="312" w:lineRule="auto"/>
        <w:rPr>
          <w:b w:val="1"/>
          <w:bCs w:val="1"/>
        </w:rPr>
      </w:pPr>
      <w:bookmarkStart w:colFirst="0" w:colLast="0" w:name="_vgj6v2oeferb" w:id="4"/>
      <w:bookmarkEnd w:id="4"/>
      <w:r w:rsidDel="00000000" w:rsidR="00000000" w:rsidRPr="00000000">
        <w:rPr>
          <w:b w:val="1"/>
          <w:bCs w:val="1"/>
          <w:rtl w:val="0"/>
        </w:rPr>
        <w:t xml:space="preserve">Vendor Take-Back (VTB) Financing</w:t>
      </w:r>
    </w:p>
    <w:p w:rsidR="00000000" w:rsidDel="00000000" w:rsidP="00000000" w:rsidRDefault="00000000" w:rsidRPr="00000000" w14:paraId="0000000D">
      <w:pPr>
        <w:spacing w:after="240" w:before="240" w:lineRule="auto"/>
        <w:jc w:val="both"/>
        <w:rPr/>
      </w:pPr>
      <w:r w:rsidDel="00000000" w:rsidR="00000000" w:rsidRPr="00000000">
        <w:rPr>
          <w:b w:val="1"/>
          <w:bCs w:val="1"/>
          <w:rtl w:val="0"/>
        </w:rPr>
        <w:t xml:space="preserve">Vendor take-back (VTB) financing</w:t>
      </w:r>
      <w:r w:rsidDel="00000000" w:rsidR="00000000" w:rsidRPr="00000000">
        <w:rPr>
          <w:rtl w:val="0"/>
        </w:rPr>
        <w:t xml:space="preserve"> is a form of financing where the seller of a business provides a portion of the purchase price as a loan to the buyer. This loan typically ranks as a subordinated debt behind other secured creditors and can help close the gap between what a buyer can finance through third-party sources and the total purchase price.</w:t>
      </w:r>
    </w:p>
    <w:p w:rsidR="00000000" w:rsidDel="00000000" w:rsidP="00000000" w:rsidRDefault="00000000" w:rsidRPr="00000000" w14:paraId="0000000E">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ltijmv4gt70x" w:id="5"/>
      <w:bookmarkEnd w:id="5"/>
      <w:r w:rsidDel="00000000" w:rsidR="00000000" w:rsidRPr="00000000">
        <w:rPr>
          <w:rFonts w:ascii="Proxima Nova" w:cs="Proxima Nova" w:eastAsia="Proxima Nova" w:hAnsi="Proxima Nova"/>
          <w:b w:val="1"/>
          <w:bCs w:val="1"/>
          <w:color w:val="353744"/>
          <w:u w:val="none"/>
          <w:rtl w:val="0"/>
        </w:rPr>
        <w:t xml:space="preserve">Key Elements of VTB Financing:</w:t>
      </w:r>
    </w:p>
    <w:p w:rsidR="00000000" w:rsidDel="00000000" w:rsidP="00000000" w:rsidRDefault="00000000" w:rsidRPr="00000000" w14:paraId="0000000F">
      <w:pPr>
        <w:numPr>
          <w:ilvl w:val="0"/>
          <w:numId w:val="2"/>
        </w:numPr>
        <w:spacing w:after="0" w:afterAutospacing="0" w:before="240" w:lineRule="auto"/>
        <w:ind w:left="720" w:hanging="360"/>
        <w:jc w:val="both"/>
      </w:pPr>
      <w:r w:rsidDel="00000000" w:rsidR="00000000" w:rsidRPr="00000000">
        <w:rPr>
          <w:b w:val="1"/>
          <w:bCs w:val="1"/>
          <w:rtl w:val="0"/>
        </w:rPr>
        <w:t xml:space="preserve">Seller as the Lender</w:t>
      </w:r>
      <w:r w:rsidDel="00000000" w:rsidR="00000000" w:rsidRPr="00000000">
        <w:rPr>
          <w:rtl w:val="0"/>
        </w:rPr>
        <w:t xml:space="preserve">: The seller agrees to finance part of the purchase by extending credit to the buyer. Instead of receiving the entire purchase price upfront, the seller accepts a promissory note or other debt instruments from the buyer.</w:t>
      </w:r>
    </w:p>
    <w:p w:rsidR="00000000" w:rsidDel="00000000" w:rsidP="00000000" w:rsidRDefault="00000000" w:rsidRPr="00000000" w14:paraId="00000010">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Subordination</w:t>
      </w:r>
      <w:r w:rsidDel="00000000" w:rsidR="00000000" w:rsidRPr="00000000">
        <w:rPr>
          <w:rtl w:val="0"/>
        </w:rPr>
        <w:t xml:space="preserve">: VTB financing is often subordinate to any senior loans obtained by the buyer from banks or other financial institutions. The seller takes on additional risk because senior creditors are paid first in the event of liquidation or bankruptcy.</w:t>
      </w:r>
    </w:p>
    <w:p w:rsidR="00000000" w:rsidDel="00000000" w:rsidP="00000000" w:rsidRDefault="00000000" w:rsidRPr="00000000" w14:paraId="00000011">
      <w:pPr>
        <w:numPr>
          <w:ilvl w:val="0"/>
          <w:numId w:val="2"/>
        </w:numPr>
        <w:spacing w:after="0" w:afterAutospacing="0" w:before="0" w:beforeAutospacing="0" w:lineRule="auto"/>
        <w:ind w:left="720" w:hanging="360"/>
        <w:jc w:val="both"/>
        <w:rPr/>
      </w:pPr>
      <w:r w:rsidDel="00000000" w:rsidR="00000000" w:rsidRPr="00000000">
        <w:rPr>
          <w:b w:val="1"/>
          <w:bCs w:val="1"/>
          <w:u w:val="single"/>
          <w:rtl w:val="0"/>
        </w:rPr>
        <w:t xml:space="preserve">Repayment Terms</w:t>
      </w:r>
      <w:r w:rsidDel="00000000" w:rsidR="00000000" w:rsidRPr="00000000">
        <w:rPr>
          <w:u w:val="single"/>
          <w:rtl w:val="0"/>
        </w:rPr>
        <w:t xml:space="preserve">: The VTB note will contain repayment terms similar to any other debt instrument. These include interest rates, repayment schedules (amortizing, bullet payment, or balloon payments), maturity dates, and prepayment rights.</w:t>
      </w:r>
    </w:p>
    <w:p w:rsidR="00000000" w:rsidDel="00000000" w:rsidP="00000000" w:rsidRDefault="00000000" w:rsidRPr="00000000" w14:paraId="00000012">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Security/Collateral</w:t>
      </w:r>
      <w:r w:rsidDel="00000000" w:rsidR="00000000" w:rsidRPr="00000000">
        <w:rPr>
          <w:rtl w:val="0"/>
        </w:rPr>
        <w:t xml:space="preserve">: In many cases, the seller will want security for the VTB loan, often taking a secondary lien on the assets of the business being sold. The level of security provided and the seller’s enforcement rights will depend on the buyer's ability to negotiate and on the senior lenders' willingness to allow subordinate liens.</w:t>
      </w:r>
    </w:p>
    <w:p w:rsidR="00000000" w:rsidDel="00000000" w:rsidP="00000000" w:rsidRDefault="00000000" w:rsidRPr="00000000" w14:paraId="0000001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Interest Rates</w:t>
      </w:r>
      <w:r w:rsidDel="00000000" w:rsidR="00000000" w:rsidRPr="00000000">
        <w:rPr>
          <w:rtl w:val="0"/>
        </w:rPr>
        <w:t xml:space="preserve">: Since VTBs carry a higher risk than senior debt, the interest rates may be higher than bank financing but typically lower than third-party subordinated debt or mezzanine financing.</w:t>
      </w:r>
    </w:p>
    <w:p w:rsidR="00000000" w:rsidDel="00000000" w:rsidP="00000000" w:rsidRDefault="00000000" w:rsidRPr="00000000" w14:paraId="00000014">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Purpose of VTB Financing</w:t>
      </w:r>
      <w:r w:rsidDel="00000000" w:rsidR="00000000" w:rsidRPr="00000000">
        <w:rPr>
          <w:rtl w:val="0"/>
        </w:rPr>
        <w:t xml:space="preserve">: VTB financing is used to:</w:t>
      </w:r>
    </w:p>
    <w:p w:rsidR="00000000" w:rsidDel="00000000" w:rsidP="00000000" w:rsidRDefault="00000000" w:rsidRPr="00000000" w14:paraId="00000015">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Facilitate Deal Closure</w:t>
      </w:r>
      <w:r w:rsidDel="00000000" w:rsidR="00000000" w:rsidRPr="00000000">
        <w:rPr>
          <w:rtl w:val="0"/>
        </w:rPr>
        <w:t xml:space="preserve">: It allows buyers to structure deals with less upfront capital, making it easier to finance the transaction.</w:t>
      </w:r>
    </w:p>
    <w:p w:rsidR="00000000" w:rsidDel="00000000" w:rsidP="00000000" w:rsidRDefault="00000000" w:rsidRPr="00000000" w14:paraId="00000016">
      <w:pPr>
        <w:numPr>
          <w:ilvl w:val="1"/>
          <w:numId w:val="2"/>
        </w:numPr>
        <w:spacing w:after="240" w:before="0" w:beforeAutospacing="0" w:lineRule="auto"/>
        <w:ind w:left="1440" w:hanging="360"/>
        <w:jc w:val="both"/>
      </w:pPr>
      <w:r w:rsidDel="00000000" w:rsidR="00000000" w:rsidRPr="00000000">
        <w:rPr>
          <w:b w:val="1"/>
          <w:bCs w:val="1"/>
          <w:rtl w:val="0"/>
        </w:rPr>
        <w:t xml:space="preserve">Mitigate Risk for the Seller</w:t>
      </w:r>
      <w:r w:rsidDel="00000000" w:rsidR="00000000" w:rsidRPr="00000000">
        <w:rPr>
          <w:rtl w:val="0"/>
        </w:rPr>
        <w:t xml:space="preserve">: Since sellers remain financially involved in the business via the VTB, they have some leverage if the buyer defaults on payments.</w:t>
      </w:r>
    </w:p>
    <w:p w:rsidR="00000000" w:rsidDel="00000000" w:rsidP="00000000" w:rsidRDefault="00000000" w:rsidRPr="00000000" w14:paraId="00000017">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7c8a7gqndda1" w:id="6"/>
      <w:bookmarkEnd w:id="6"/>
      <w:r w:rsidDel="00000000" w:rsidR="00000000" w:rsidRPr="00000000">
        <w:rPr>
          <w:rFonts w:ascii="Proxima Nova" w:cs="Proxima Nova" w:eastAsia="Proxima Nova" w:hAnsi="Proxima Nova"/>
          <w:b w:val="1"/>
          <w:bCs w:val="1"/>
          <w:color w:val="353744"/>
          <w:u w:val="none"/>
          <w:rtl w:val="0"/>
        </w:rPr>
        <w:t xml:space="preserve">Advantages of VTB for Both Parties:</w:t>
      </w:r>
    </w:p>
    <w:p w:rsidR="00000000" w:rsidDel="00000000" w:rsidP="00000000" w:rsidRDefault="00000000" w:rsidRPr="00000000" w14:paraId="00000018">
      <w:pPr>
        <w:numPr>
          <w:ilvl w:val="0"/>
          <w:numId w:val="1"/>
        </w:numPr>
        <w:spacing w:after="0" w:afterAutospacing="0" w:before="240" w:lineRule="auto"/>
        <w:ind w:left="720" w:hanging="360"/>
        <w:jc w:val="both"/>
      </w:pPr>
      <w:r w:rsidDel="00000000" w:rsidR="00000000" w:rsidRPr="00000000">
        <w:rPr>
          <w:b w:val="1"/>
          <w:bCs w:val="1"/>
          <w:rtl w:val="0"/>
        </w:rPr>
        <w:t xml:space="preserve">For the Buyer</w:t>
      </w:r>
      <w:r w:rsidDel="00000000" w:rsidR="00000000" w:rsidRPr="00000000">
        <w:rPr>
          <w:rtl w:val="0"/>
        </w:rPr>
        <w:t xml:space="preserve">:</w:t>
      </w:r>
    </w:p>
    <w:p w:rsidR="00000000" w:rsidDel="00000000" w:rsidP="00000000" w:rsidRDefault="00000000" w:rsidRPr="00000000" w14:paraId="00000019">
      <w:pPr>
        <w:numPr>
          <w:ilvl w:val="1"/>
          <w:numId w:val="1"/>
        </w:numPr>
        <w:spacing w:after="0" w:afterAutospacing="0" w:before="0" w:beforeAutospacing="0" w:lineRule="auto"/>
        <w:ind w:left="1440" w:hanging="360"/>
        <w:jc w:val="both"/>
      </w:pPr>
      <w:r w:rsidDel="00000000" w:rsidR="00000000" w:rsidRPr="00000000">
        <w:rPr>
          <w:rtl w:val="0"/>
        </w:rPr>
        <w:t xml:space="preserve">Enables the buyer to purchase a business with less immediate capital outlay.</w:t>
      </w:r>
    </w:p>
    <w:p w:rsidR="00000000" w:rsidDel="00000000" w:rsidP="00000000" w:rsidRDefault="00000000" w:rsidRPr="00000000" w14:paraId="0000001A">
      <w:pPr>
        <w:numPr>
          <w:ilvl w:val="1"/>
          <w:numId w:val="1"/>
        </w:numPr>
        <w:spacing w:after="0" w:afterAutospacing="0" w:before="0" w:beforeAutospacing="0" w:lineRule="auto"/>
        <w:ind w:left="1440" w:hanging="360"/>
        <w:jc w:val="both"/>
      </w:pPr>
      <w:r w:rsidDel="00000000" w:rsidR="00000000" w:rsidRPr="00000000">
        <w:rPr>
          <w:rtl w:val="0"/>
        </w:rPr>
        <w:t xml:space="preserve">Can avoid dilution of ownership if compared to equity financing.</w:t>
      </w:r>
    </w:p>
    <w:p w:rsidR="00000000" w:rsidDel="00000000" w:rsidP="00000000" w:rsidRDefault="00000000" w:rsidRPr="00000000" w14:paraId="0000001B">
      <w:pPr>
        <w:numPr>
          <w:ilvl w:val="1"/>
          <w:numId w:val="1"/>
        </w:numPr>
        <w:spacing w:after="0" w:afterAutospacing="0" w:before="0" w:beforeAutospacing="0" w:lineRule="auto"/>
        <w:ind w:left="1440" w:hanging="360"/>
        <w:jc w:val="both"/>
      </w:pPr>
      <w:r w:rsidDel="00000000" w:rsidR="00000000" w:rsidRPr="00000000">
        <w:rPr>
          <w:rtl w:val="0"/>
        </w:rPr>
        <w:t xml:space="preserve">Allows buyers to focus third-party financing on working capital and growth, rather than spending it all on acquisition.</w:t>
      </w:r>
    </w:p>
    <w:p w:rsidR="00000000" w:rsidDel="00000000" w:rsidP="00000000" w:rsidRDefault="00000000" w:rsidRPr="00000000" w14:paraId="0000001C">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For the Seller</w:t>
      </w:r>
      <w:r w:rsidDel="00000000" w:rsidR="00000000" w:rsidRPr="00000000">
        <w:rPr>
          <w:rtl w:val="0"/>
        </w:rPr>
        <w:t xml:space="preserve">:</w:t>
      </w:r>
    </w:p>
    <w:p w:rsidR="00000000" w:rsidDel="00000000" w:rsidP="00000000" w:rsidRDefault="00000000" w:rsidRPr="00000000" w14:paraId="0000001D">
      <w:pPr>
        <w:numPr>
          <w:ilvl w:val="1"/>
          <w:numId w:val="1"/>
        </w:numPr>
        <w:spacing w:after="0" w:afterAutospacing="0" w:before="0" w:beforeAutospacing="0" w:lineRule="auto"/>
        <w:ind w:left="1440" w:hanging="360"/>
        <w:jc w:val="both"/>
      </w:pPr>
      <w:r w:rsidDel="00000000" w:rsidR="00000000" w:rsidRPr="00000000">
        <w:rPr>
          <w:rtl w:val="0"/>
        </w:rPr>
        <w:t xml:space="preserve">Creates a market for the sale of the business, particularly when buyers lack full access to financing.</w:t>
      </w:r>
    </w:p>
    <w:p w:rsidR="00000000" w:rsidDel="00000000" w:rsidP="00000000" w:rsidRDefault="00000000" w:rsidRPr="00000000" w14:paraId="0000001E">
      <w:pPr>
        <w:numPr>
          <w:ilvl w:val="1"/>
          <w:numId w:val="1"/>
        </w:numPr>
        <w:spacing w:after="0" w:afterAutospacing="0" w:before="0" w:beforeAutospacing="0" w:lineRule="auto"/>
        <w:ind w:left="1440" w:hanging="360"/>
        <w:jc w:val="both"/>
      </w:pPr>
      <w:r w:rsidDel="00000000" w:rsidR="00000000" w:rsidRPr="00000000">
        <w:rPr>
          <w:rtl w:val="0"/>
        </w:rPr>
        <w:t xml:space="preserve">Provides the seller with ongoing income in the form of interest on the VTB.</w:t>
      </w:r>
    </w:p>
    <w:p w:rsidR="00000000" w:rsidDel="00000000" w:rsidP="00000000" w:rsidRDefault="00000000" w:rsidRPr="00000000" w14:paraId="0000001F">
      <w:pPr>
        <w:numPr>
          <w:ilvl w:val="1"/>
          <w:numId w:val="1"/>
        </w:numPr>
        <w:spacing w:after="240" w:before="0" w:beforeAutospacing="0" w:lineRule="auto"/>
        <w:ind w:left="1440" w:hanging="360"/>
        <w:jc w:val="both"/>
      </w:pPr>
      <w:r w:rsidDel="00000000" w:rsidR="00000000" w:rsidRPr="00000000">
        <w:rPr>
          <w:rtl w:val="0"/>
        </w:rPr>
        <w:t xml:space="preserve">Can potentially allow for better tax planning by spreading the income from the sale over multiple years.</w:t>
      </w:r>
    </w:p>
    <w:p w:rsidR="00000000" w:rsidDel="00000000" w:rsidP="00000000" w:rsidRDefault="00000000" w:rsidRPr="00000000" w14:paraId="00000020">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emoaoev0tvri" w:id="7"/>
      <w:bookmarkEnd w:id="7"/>
      <w:r w:rsidDel="00000000" w:rsidR="00000000" w:rsidRPr="00000000">
        <w:rPr>
          <w:rFonts w:ascii="Proxima Nova" w:cs="Proxima Nova" w:eastAsia="Proxima Nova" w:hAnsi="Proxima Nova"/>
          <w:b w:val="1"/>
          <w:bCs w:val="1"/>
          <w:color w:val="353744"/>
          <w:u w:val="none"/>
          <w:rtl w:val="0"/>
        </w:rPr>
        <w:t xml:space="preserve">Risks and Considerations:</w:t>
      </w:r>
    </w:p>
    <w:p w:rsidR="00000000" w:rsidDel="00000000" w:rsidP="00000000" w:rsidRDefault="00000000" w:rsidRPr="00000000" w14:paraId="00000021">
      <w:pPr>
        <w:numPr>
          <w:ilvl w:val="0"/>
          <w:numId w:val="3"/>
        </w:numPr>
        <w:spacing w:after="0" w:afterAutospacing="0" w:before="240" w:lineRule="auto"/>
        <w:ind w:left="720" w:hanging="360"/>
        <w:jc w:val="both"/>
      </w:pPr>
      <w:r w:rsidDel="00000000" w:rsidR="00000000" w:rsidRPr="00000000">
        <w:rPr>
          <w:b w:val="1"/>
          <w:bCs w:val="1"/>
          <w:rtl w:val="0"/>
        </w:rPr>
        <w:t xml:space="preserve">Default Risk</w:t>
      </w:r>
      <w:r w:rsidDel="00000000" w:rsidR="00000000" w:rsidRPr="00000000">
        <w:rPr>
          <w:rtl w:val="0"/>
        </w:rPr>
        <w:t xml:space="preserve">: The seller is effectively lending money to the buyer and faces default risk, especially if the business underperforms post-acquisition.</w:t>
      </w:r>
    </w:p>
    <w:p w:rsidR="00000000" w:rsidDel="00000000" w:rsidP="00000000" w:rsidRDefault="00000000" w:rsidRPr="00000000" w14:paraId="0000002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Subordination</w:t>
      </w:r>
      <w:r w:rsidDel="00000000" w:rsidR="00000000" w:rsidRPr="00000000">
        <w:rPr>
          <w:rtl w:val="0"/>
        </w:rPr>
        <w:t xml:space="preserve">: The seller is usually in a subordinate position in case of liquidation, making the VTB riskier than senior loans.</w:t>
      </w:r>
    </w:p>
    <w:p w:rsidR="00000000" w:rsidDel="00000000" w:rsidP="00000000" w:rsidRDefault="00000000" w:rsidRPr="00000000" w14:paraId="00000023">
      <w:pPr>
        <w:numPr>
          <w:ilvl w:val="0"/>
          <w:numId w:val="3"/>
        </w:numPr>
        <w:spacing w:after="240" w:before="0" w:beforeAutospacing="0" w:lineRule="auto"/>
        <w:ind w:left="720" w:hanging="360"/>
        <w:jc w:val="both"/>
      </w:pPr>
      <w:r w:rsidDel="00000000" w:rsidR="00000000" w:rsidRPr="00000000">
        <w:rPr>
          <w:b w:val="1"/>
          <w:bCs w:val="1"/>
          <w:rtl w:val="0"/>
        </w:rPr>
        <w:t xml:space="preserve">Ongoing Involvement</w:t>
      </w:r>
      <w:r w:rsidDel="00000000" w:rsidR="00000000" w:rsidRPr="00000000">
        <w:rPr>
          <w:rtl w:val="0"/>
        </w:rPr>
        <w:t xml:space="preserve">: The seller remains involved financially in the business post-sale, which can be a double-edged sword depending on the relationship and the buyer's ability to make timely payments.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