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71C8D" w14:textId="77777777" w:rsidR="009A5BB3" w:rsidRPr="00442251" w:rsidRDefault="00442251">
      <w:pPr>
        <w:pStyle w:val="Standard"/>
        <w:jc w:val="center"/>
        <w:rPr>
          <w:rFonts w:asciiTheme="minorHAnsi" w:hAnsiTheme="minorHAnsi" w:cstheme="minorHAnsi"/>
          <w:b/>
          <w:bCs/>
          <w:color w:val="000000"/>
          <w:sz w:val="28"/>
          <w:szCs w:val="28"/>
          <w:u w:val="single"/>
        </w:rPr>
      </w:pPr>
      <w:r w:rsidRPr="00442251">
        <w:rPr>
          <w:rFonts w:asciiTheme="minorHAnsi" w:hAnsiTheme="minorHAnsi" w:cstheme="minorHAnsi"/>
          <w:b/>
          <w:bCs/>
          <w:color w:val="000000"/>
          <w:sz w:val="28"/>
          <w:szCs w:val="28"/>
          <w:u w:val="single"/>
        </w:rPr>
        <w:t>Anti-Money Laundering Support Sheet</w:t>
      </w:r>
    </w:p>
    <w:p w14:paraId="5D4F0724" w14:textId="77777777" w:rsidR="009A5BB3" w:rsidRPr="00BB7548" w:rsidRDefault="009A5BB3">
      <w:pPr>
        <w:pStyle w:val="Standard"/>
        <w:jc w:val="center"/>
        <w:rPr>
          <w:rFonts w:asciiTheme="minorHAnsi" w:hAnsiTheme="minorHAnsi" w:cstheme="minorHAnsi"/>
          <w:b/>
          <w:bCs/>
          <w:color w:val="000000"/>
          <w:sz w:val="14"/>
          <w:szCs w:val="14"/>
          <w:u w:val="single"/>
        </w:rPr>
      </w:pPr>
    </w:p>
    <w:p w14:paraId="3BD1D994" w14:textId="77777777" w:rsidR="009A5BB3" w:rsidRPr="00442251" w:rsidRDefault="009A5BB3">
      <w:pPr>
        <w:pStyle w:val="Standard"/>
        <w:jc w:val="center"/>
        <w:rPr>
          <w:rFonts w:asciiTheme="minorHAnsi" w:eastAsia="Arial" w:hAnsiTheme="minorHAnsi" w:cstheme="minorHAnsi"/>
          <w:color w:val="000000"/>
        </w:rPr>
      </w:pPr>
    </w:p>
    <w:p w14:paraId="7C94E166" w14:textId="77777777" w:rsidR="009A5BB3" w:rsidRPr="00442251" w:rsidRDefault="00442251">
      <w:pPr>
        <w:pStyle w:val="Standard"/>
        <w:rPr>
          <w:rFonts w:asciiTheme="minorHAnsi" w:eastAsia="Arial" w:hAnsiTheme="minorHAnsi" w:cstheme="minorHAnsi"/>
          <w:i/>
          <w:iCs/>
          <w:color w:val="000000"/>
        </w:rPr>
      </w:pPr>
      <w:r w:rsidRPr="00442251">
        <w:rPr>
          <w:rFonts w:asciiTheme="minorHAnsi" w:eastAsia="Arial" w:hAnsiTheme="minorHAnsi" w:cstheme="minorHAnsi"/>
          <w:color w:val="000000"/>
        </w:rPr>
        <w:t xml:space="preserve">Money Laundering is </w:t>
      </w:r>
      <w:r w:rsidRPr="00442251">
        <w:rPr>
          <w:rFonts w:asciiTheme="minorHAnsi" w:eastAsia="Arial" w:hAnsiTheme="minorHAnsi" w:cstheme="minorHAnsi"/>
          <w:i/>
          <w:iCs/>
          <w:color w:val="000000"/>
        </w:rPr>
        <w:t>“The concealment of the origins of illegally obtained money, typically by means of transfers involving foreign banks or legitimate businesses”.</w:t>
      </w:r>
    </w:p>
    <w:p w14:paraId="7697EFB3" w14:textId="77777777" w:rsidR="009A5BB3" w:rsidRPr="00442251" w:rsidRDefault="00442251">
      <w:pPr>
        <w:pStyle w:val="Standard"/>
        <w:rPr>
          <w:rFonts w:asciiTheme="minorHAnsi" w:hAnsiTheme="minorHAnsi" w:cstheme="minorHAnsi"/>
          <w:color w:val="000000"/>
        </w:rPr>
      </w:pPr>
      <w:r w:rsidRPr="00442251">
        <w:rPr>
          <w:rFonts w:asciiTheme="minorHAnsi" w:hAnsiTheme="minorHAnsi" w:cstheme="minorHAnsi"/>
          <w:color w:val="000000"/>
        </w:rPr>
        <w:t>______________________________________________________________________________</w:t>
      </w:r>
    </w:p>
    <w:p w14:paraId="3DD3AABA" w14:textId="77777777" w:rsidR="009A5BB3" w:rsidRPr="00442251" w:rsidRDefault="009A5BB3">
      <w:pPr>
        <w:pStyle w:val="Standard"/>
        <w:rPr>
          <w:rFonts w:asciiTheme="minorHAnsi" w:eastAsia="Arial" w:hAnsiTheme="minorHAnsi" w:cstheme="minorHAnsi"/>
          <w:color w:val="000000"/>
        </w:rPr>
      </w:pPr>
    </w:p>
    <w:p w14:paraId="7C496F6B" w14:textId="77777777" w:rsidR="009A5BB3" w:rsidRPr="00442251" w:rsidRDefault="00442251">
      <w:pPr>
        <w:pStyle w:val="Standard"/>
        <w:rPr>
          <w:rFonts w:asciiTheme="minorHAnsi" w:hAnsiTheme="minorHAnsi" w:cstheme="minorHAnsi"/>
          <w:color w:val="000000"/>
        </w:rPr>
      </w:pPr>
      <w:r w:rsidRPr="00442251">
        <w:rPr>
          <w:rFonts w:asciiTheme="minorHAnsi" w:hAnsiTheme="minorHAnsi" w:cstheme="minorHAnsi"/>
          <w:color w:val="000000"/>
        </w:rPr>
        <w:t xml:space="preserve">The UK has four Acts that govern money laundering and terrorist funding. </w:t>
      </w:r>
      <w:r w:rsidRPr="00442251">
        <w:rPr>
          <w:rFonts w:asciiTheme="minorHAnsi" w:hAnsiTheme="minorHAnsi" w:cstheme="minorHAnsi"/>
          <w:b/>
          <w:bCs/>
          <w:i/>
          <w:iCs/>
          <w:color w:val="000000"/>
        </w:rPr>
        <w:t xml:space="preserve">These </w:t>
      </w:r>
      <w:r w:rsidR="009D261D" w:rsidRPr="00442251">
        <w:rPr>
          <w:rFonts w:asciiTheme="minorHAnsi" w:hAnsiTheme="minorHAnsi" w:cstheme="minorHAnsi"/>
          <w:b/>
          <w:bCs/>
          <w:i/>
          <w:iCs/>
          <w:color w:val="000000"/>
        </w:rPr>
        <w:t>are: -</w:t>
      </w:r>
    </w:p>
    <w:p w14:paraId="28445183" w14:textId="77777777" w:rsidR="009A5BB3" w:rsidRPr="00442251" w:rsidRDefault="00442251">
      <w:pPr>
        <w:pStyle w:val="Standard"/>
        <w:numPr>
          <w:ilvl w:val="0"/>
          <w:numId w:val="1"/>
        </w:numPr>
        <w:rPr>
          <w:rFonts w:asciiTheme="minorHAnsi" w:hAnsiTheme="minorHAnsi" w:cstheme="minorHAnsi"/>
          <w:color w:val="000000"/>
        </w:rPr>
      </w:pPr>
      <w:r w:rsidRPr="00442251">
        <w:rPr>
          <w:rFonts w:asciiTheme="minorHAnsi" w:hAnsiTheme="minorHAnsi" w:cstheme="minorHAnsi"/>
          <w:color w:val="000000"/>
        </w:rPr>
        <w:t>The Proceeds of Crime Act 2002 (POCA)</w:t>
      </w:r>
    </w:p>
    <w:p w14:paraId="5FF7C8F5" w14:textId="77777777" w:rsidR="009A5BB3" w:rsidRPr="00442251" w:rsidRDefault="00442251">
      <w:pPr>
        <w:pStyle w:val="Standard"/>
        <w:numPr>
          <w:ilvl w:val="0"/>
          <w:numId w:val="1"/>
        </w:numPr>
        <w:rPr>
          <w:rFonts w:asciiTheme="minorHAnsi" w:hAnsiTheme="minorHAnsi" w:cstheme="minorHAnsi"/>
          <w:color w:val="000000"/>
        </w:rPr>
      </w:pPr>
      <w:r w:rsidRPr="00442251">
        <w:rPr>
          <w:rFonts w:asciiTheme="minorHAnsi" w:hAnsiTheme="minorHAnsi" w:cstheme="minorHAnsi"/>
          <w:color w:val="000000"/>
        </w:rPr>
        <w:t>Terrorism Act 2000</w:t>
      </w:r>
    </w:p>
    <w:p w14:paraId="3FE54BF3" w14:textId="77777777" w:rsidR="009A5BB3" w:rsidRPr="00442251" w:rsidRDefault="00442251">
      <w:pPr>
        <w:pStyle w:val="Standard"/>
        <w:numPr>
          <w:ilvl w:val="0"/>
          <w:numId w:val="1"/>
        </w:numPr>
        <w:rPr>
          <w:rFonts w:asciiTheme="minorHAnsi" w:hAnsiTheme="minorHAnsi" w:cstheme="minorHAnsi"/>
          <w:color w:val="000000"/>
        </w:rPr>
      </w:pPr>
      <w:r w:rsidRPr="00442251">
        <w:rPr>
          <w:rFonts w:asciiTheme="minorHAnsi" w:hAnsiTheme="minorHAnsi" w:cstheme="minorHAnsi"/>
          <w:color w:val="000000"/>
        </w:rPr>
        <w:t>Serious Organised Crime &amp; Police Act 2005</w:t>
      </w:r>
    </w:p>
    <w:p w14:paraId="5A9F8729" w14:textId="77777777" w:rsidR="009A5BB3" w:rsidRPr="00442251" w:rsidRDefault="00442251">
      <w:pPr>
        <w:pStyle w:val="Standard"/>
        <w:numPr>
          <w:ilvl w:val="0"/>
          <w:numId w:val="1"/>
        </w:numPr>
        <w:rPr>
          <w:rFonts w:asciiTheme="minorHAnsi" w:hAnsiTheme="minorHAnsi" w:cstheme="minorHAnsi"/>
          <w:color w:val="000000"/>
        </w:rPr>
      </w:pPr>
      <w:r w:rsidRPr="00442251">
        <w:rPr>
          <w:rFonts w:asciiTheme="minorHAnsi" w:hAnsiTheme="minorHAnsi" w:cstheme="minorHAnsi"/>
          <w:color w:val="000000"/>
        </w:rPr>
        <w:t>Anti-Terrorism, Crime &amp; Security Act 2001</w:t>
      </w:r>
    </w:p>
    <w:p w14:paraId="59231C02" w14:textId="46A7C713" w:rsidR="00C658F4" w:rsidRDefault="00442251">
      <w:pPr>
        <w:pStyle w:val="Textbody"/>
        <w:spacing w:before="120"/>
        <w:rPr>
          <w:rFonts w:asciiTheme="minorHAnsi" w:hAnsiTheme="minorHAnsi" w:cstheme="minorHAnsi"/>
          <w:color w:val="000000"/>
        </w:rPr>
      </w:pPr>
      <w:r w:rsidRPr="00442251">
        <w:rPr>
          <w:rFonts w:asciiTheme="minorHAnsi" w:hAnsiTheme="minorHAnsi" w:cstheme="minorHAnsi"/>
          <w:color w:val="000000"/>
        </w:rPr>
        <w:t xml:space="preserve">In June 2015, the European Union’s </w:t>
      </w:r>
      <w:r w:rsidRPr="00442251">
        <w:rPr>
          <w:rFonts w:asciiTheme="minorHAnsi" w:hAnsiTheme="minorHAnsi" w:cstheme="minorHAnsi"/>
          <w:b/>
          <w:color w:val="000000"/>
        </w:rPr>
        <w:t>Fourth Anti-Money Laundering Directive</w:t>
      </w:r>
      <w:r w:rsidRPr="00442251">
        <w:rPr>
          <w:rFonts w:asciiTheme="minorHAnsi" w:hAnsiTheme="minorHAnsi" w:cstheme="minorHAnsi"/>
          <w:color w:val="000000"/>
        </w:rPr>
        <w:t xml:space="preserve"> (EU) (2015/849) (MLD4) came into force, requiring member states to update their current money laundering regulations and transpose the changes into local law. </w:t>
      </w:r>
      <w:r>
        <w:rPr>
          <w:rFonts w:asciiTheme="minorHAnsi" w:hAnsiTheme="minorHAnsi" w:cstheme="minorHAnsi"/>
          <w:color w:val="000000"/>
        </w:rPr>
        <w:t xml:space="preserve">The </w:t>
      </w:r>
      <w:r w:rsidRPr="00442251">
        <w:rPr>
          <w:rFonts w:asciiTheme="minorHAnsi" w:hAnsiTheme="minorHAnsi" w:cstheme="minorHAnsi"/>
          <w:color w:val="000000"/>
        </w:rPr>
        <w:t>UK</w:t>
      </w:r>
      <w:r w:rsidR="00C658F4">
        <w:rPr>
          <w:rFonts w:asciiTheme="minorHAnsi" w:hAnsiTheme="minorHAnsi" w:cstheme="minorHAnsi"/>
          <w:color w:val="000000"/>
        </w:rPr>
        <w:t xml:space="preserve"> transposed the 4MLD into UK law through the </w:t>
      </w:r>
      <w:r w:rsidRPr="00442251">
        <w:rPr>
          <w:rFonts w:asciiTheme="minorHAnsi" w:hAnsiTheme="minorHAnsi" w:cstheme="minorHAnsi"/>
          <w:b/>
          <w:color w:val="000000"/>
        </w:rPr>
        <w:t xml:space="preserve">Money Laundering, Terrorist Financing and Transfer of Funds </w:t>
      </w:r>
      <w:r w:rsidRPr="00442251">
        <w:rPr>
          <w:rFonts w:asciiTheme="minorHAnsi" w:hAnsiTheme="minorHAnsi" w:cstheme="minorHAnsi"/>
          <w:b/>
          <w:i/>
          <w:color w:val="000000"/>
        </w:rPr>
        <w:t>(Information on the Payer)</w:t>
      </w:r>
      <w:r w:rsidRPr="00442251">
        <w:rPr>
          <w:rFonts w:asciiTheme="minorHAnsi" w:hAnsiTheme="minorHAnsi" w:cstheme="minorHAnsi"/>
          <w:b/>
          <w:color w:val="000000"/>
        </w:rPr>
        <w:t xml:space="preserve"> Regulations 2017</w:t>
      </w:r>
      <w:r w:rsidR="00C658F4">
        <w:rPr>
          <w:rFonts w:asciiTheme="minorHAnsi" w:hAnsiTheme="minorHAnsi" w:cstheme="minorHAnsi"/>
          <w:b/>
          <w:color w:val="000000"/>
        </w:rPr>
        <w:t xml:space="preserve"> (MLR17)</w:t>
      </w:r>
      <w:r w:rsidRPr="00442251">
        <w:rPr>
          <w:rFonts w:asciiTheme="minorHAnsi" w:hAnsiTheme="minorHAnsi" w:cstheme="minorHAnsi"/>
          <w:color w:val="000000"/>
        </w:rPr>
        <w:t xml:space="preserve"> </w:t>
      </w:r>
      <w:r w:rsidR="00C658F4">
        <w:rPr>
          <w:rFonts w:asciiTheme="minorHAnsi" w:hAnsiTheme="minorHAnsi" w:cstheme="minorHAnsi"/>
          <w:color w:val="000000"/>
        </w:rPr>
        <w:t xml:space="preserve">which </w:t>
      </w:r>
      <w:r w:rsidRPr="00442251">
        <w:rPr>
          <w:rFonts w:asciiTheme="minorHAnsi" w:hAnsiTheme="minorHAnsi" w:cstheme="minorHAnsi"/>
          <w:color w:val="000000"/>
        </w:rPr>
        <w:t>c</w:t>
      </w:r>
      <w:r>
        <w:rPr>
          <w:rFonts w:asciiTheme="minorHAnsi" w:hAnsiTheme="minorHAnsi" w:cstheme="minorHAnsi"/>
          <w:color w:val="000000"/>
        </w:rPr>
        <w:t>a</w:t>
      </w:r>
      <w:r w:rsidRPr="00442251">
        <w:rPr>
          <w:rFonts w:asciiTheme="minorHAnsi" w:hAnsiTheme="minorHAnsi" w:cstheme="minorHAnsi"/>
          <w:color w:val="000000"/>
        </w:rPr>
        <w:t>me into effect on 26th June 2017</w:t>
      </w:r>
      <w:r w:rsidR="00C658F4">
        <w:rPr>
          <w:rFonts w:asciiTheme="minorHAnsi" w:hAnsiTheme="minorHAnsi" w:cstheme="minorHAnsi"/>
          <w:color w:val="000000"/>
        </w:rPr>
        <w:t xml:space="preserve"> (</w:t>
      </w:r>
      <w:r w:rsidR="00C658F4" w:rsidRPr="00C658F4">
        <w:rPr>
          <w:rFonts w:asciiTheme="minorHAnsi" w:hAnsiTheme="minorHAnsi" w:cstheme="minorHAnsi"/>
          <w:i/>
          <w:iCs/>
          <w:color w:val="000000"/>
        </w:rPr>
        <w:t>with subsequent amendments in 2019 for the 5MLD</w:t>
      </w:r>
      <w:r w:rsidR="00C658F4">
        <w:rPr>
          <w:rFonts w:asciiTheme="minorHAnsi" w:hAnsiTheme="minorHAnsi" w:cstheme="minorHAnsi"/>
          <w:color w:val="000000"/>
        </w:rPr>
        <w:t>).</w:t>
      </w:r>
    </w:p>
    <w:p w14:paraId="32F65F28" w14:textId="77777777" w:rsidR="00C658F4" w:rsidRPr="00C658F4" w:rsidRDefault="00C658F4" w:rsidP="00C658F4">
      <w:pPr>
        <w:rPr>
          <w:rFonts w:asciiTheme="minorHAnsi" w:hAnsiTheme="minorHAnsi" w:cstheme="minorHAnsi"/>
          <w:b/>
          <w:bCs/>
          <w:i/>
          <w:iCs/>
        </w:rPr>
      </w:pPr>
      <w:r w:rsidRPr="00C906BA">
        <w:rPr>
          <w:rFonts w:asciiTheme="minorHAnsi" w:hAnsiTheme="minorHAnsi" w:cstheme="minorHAnsi"/>
        </w:rPr>
        <w:t xml:space="preserve">As the UK is no longer a member of the EU, the MLR17 was further amended to ensure that the Money Laundering Regulations fit the UK’s financial crime approach and framework. The amendments have been enforced under </w:t>
      </w:r>
      <w:r w:rsidRPr="00C658F4">
        <w:rPr>
          <w:rFonts w:asciiTheme="minorHAnsi" w:hAnsiTheme="minorHAnsi" w:cstheme="minorHAnsi"/>
          <w:b/>
          <w:bCs/>
          <w:i/>
          <w:iCs/>
        </w:rPr>
        <w:t>The Money Laundering and Transfer of Funds (Information) (Amendment) (EU Exit) Regulations 2019.</w:t>
      </w:r>
    </w:p>
    <w:p w14:paraId="658D2622" w14:textId="77777777" w:rsidR="009A5BB3" w:rsidRPr="00442251" w:rsidRDefault="00442251">
      <w:pPr>
        <w:pStyle w:val="Standard"/>
        <w:rPr>
          <w:rFonts w:asciiTheme="minorHAnsi" w:hAnsiTheme="minorHAnsi" w:cstheme="minorHAnsi"/>
          <w:color w:val="000000"/>
        </w:rPr>
      </w:pPr>
      <w:r w:rsidRPr="00442251">
        <w:rPr>
          <w:rFonts w:asciiTheme="minorHAnsi" w:hAnsiTheme="minorHAnsi" w:cstheme="minorHAnsi"/>
          <w:color w:val="000000"/>
        </w:rPr>
        <w:t>______________________________________________________________________________</w:t>
      </w:r>
    </w:p>
    <w:p w14:paraId="72FCDA43" w14:textId="77777777" w:rsidR="009A5BB3" w:rsidRPr="00442251" w:rsidRDefault="009A5BB3">
      <w:pPr>
        <w:pStyle w:val="Standard"/>
        <w:rPr>
          <w:rFonts w:asciiTheme="minorHAnsi" w:hAnsiTheme="minorHAnsi" w:cstheme="minorHAnsi"/>
          <w:color w:val="000000"/>
        </w:rPr>
      </w:pPr>
    </w:p>
    <w:p w14:paraId="694E3C77" w14:textId="77777777" w:rsidR="009A5BB3" w:rsidRPr="00442251" w:rsidRDefault="00442251">
      <w:pPr>
        <w:pStyle w:val="Standard"/>
        <w:rPr>
          <w:rFonts w:asciiTheme="minorHAnsi" w:hAnsiTheme="minorHAnsi" w:cstheme="minorHAnsi"/>
          <w:b/>
          <w:bCs/>
          <w:i/>
          <w:iCs/>
          <w:color w:val="000000"/>
        </w:rPr>
      </w:pPr>
      <w:r w:rsidRPr="00442251">
        <w:rPr>
          <w:rFonts w:asciiTheme="minorHAnsi" w:hAnsiTheme="minorHAnsi" w:cstheme="minorHAnsi"/>
          <w:b/>
          <w:bCs/>
          <w:i/>
          <w:iCs/>
          <w:color w:val="000000"/>
        </w:rPr>
        <w:t>POCA suggests that most sophisticated money laundering schemes involve 3 stages: -</w:t>
      </w:r>
    </w:p>
    <w:p w14:paraId="79729272" w14:textId="77777777" w:rsidR="009A5BB3" w:rsidRPr="00442251" w:rsidRDefault="009A5BB3">
      <w:pPr>
        <w:pStyle w:val="Standard"/>
        <w:rPr>
          <w:rFonts w:asciiTheme="minorHAnsi" w:hAnsiTheme="minorHAnsi" w:cstheme="minorHAnsi"/>
          <w:b/>
          <w:bCs/>
          <w:i/>
          <w:iCs/>
          <w:color w:val="000000"/>
        </w:rPr>
      </w:pPr>
    </w:p>
    <w:p w14:paraId="3B690ADD" w14:textId="77777777" w:rsidR="009A5BB3" w:rsidRPr="00442251" w:rsidRDefault="00442251">
      <w:pPr>
        <w:pStyle w:val="Standard"/>
        <w:numPr>
          <w:ilvl w:val="0"/>
          <w:numId w:val="2"/>
        </w:numPr>
        <w:spacing w:before="57" w:after="57"/>
        <w:rPr>
          <w:rFonts w:asciiTheme="minorHAnsi" w:hAnsiTheme="minorHAnsi" w:cstheme="minorHAnsi"/>
          <w:color w:val="000000"/>
        </w:rPr>
      </w:pPr>
      <w:r w:rsidRPr="00442251">
        <w:rPr>
          <w:rFonts w:asciiTheme="minorHAnsi" w:hAnsiTheme="minorHAnsi" w:cstheme="minorHAnsi"/>
          <w:b/>
          <w:bCs/>
          <w:color w:val="000000"/>
        </w:rPr>
        <w:t xml:space="preserve">Placement </w:t>
      </w:r>
      <w:r w:rsidRPr="00442251">
        <w:rPr>
          <w:rFonts w:asciiTheme="minorHAnsi" w:hAnsiTheme="minorHAnsi" w:cstheme="minorHAnsi"/>
          <w:color w:val="000000"/>
        </w:rPr>
        <w:t xml:space="preserve">- the process of getting criminal money into the financial system. This is where the </w:t>
      </w:r>
      <w:r w:rsidRPr="00442251">
        <w:rPr>
          <w:rFonts w:asciiTheme="minorHAnsi" w:hAnsiTheme="minorHAnsi" w:cstheme="minorHAnsi"/>
          <w:i/>
          <w:iCs/>
          <w:color w:val="000000"/>
        </w:rPr>
        <w:t>'dirty'</w:t>
      </w:r>
      <w:r w:rsidRPr="00442251">
        <w:rPr>
          <w:rFonts w:asciiTheme="minorHAnsi" w:hAnsiTheme="minorHAnsi" w:cstheme="minorHAnsi"/>
          <w:color w:val="000000"/>
        </w:rPr>
        <w:t xml:space="preserve"> money enters the financial system, enabling it to transfer from the hands of the criminals and into legitimate businesses.</w:t>
      </w:r>
    </w:p>
    <w:p w14:paraId="47D2860B" w14:textId="77777777" w:rsidR="009A5BB3" w:rsidRPr="00442251" w:rsidRDefault="00442251">
      <w:pPr>
        <w:pStyle w:val="Standard"/>
        <w:numPr>
          <w:ilvl w:val="0"/>
          <w:numId w:val="2"/>
        </w:numPr>
        <w:spacing w:before="57" w:after="57"/>
        <w:rPr>
          <w:rFonts w:asciiTheme="minorHAnsi" w:hAnsiTheme="minorHAnsi" w:cstheme="minorHAnsi"/>
          <w:color w:val="000000"/>
        </w:rPr>
      </w:pPr>
      <w:r w:rsidRPr="00442251">
        <w:rPr>
          <w:rFonts w:asciiTheme="minorHAnsi" w:hAnsiTheme="minorHAnsi" w:cstheme="minorHAnsi"/>
          <w:b/>
          <w:bCs/>
          <w:color w:val="000000"/>
        </w:rPr>
        <w:t>Layering –</w:t>
      </w:r>
      <w:r w:rsidRPr="00442251">
        <w:rPr>
          <w:rFonts w:asciiTheme="minorHAnsi" w:hAnsiTheme="minorHAnsi" w:cstheme="minorHAnsi"/>
          <w:color w:val="000000"/>
        </w:rPr>
        <w:t xml:space="preserve"> where large and/or complex laundering schemes are involved, layering is often essential due to the large quantities of money being placed and moved. Layering is the process of moving money in to the financial system through complex webs of transactions. This involves multiple purchases and transactions as oppose to using the illegal funds in just one placement.</w:t>
      </w:r>
    </w:p>
    <w:p w14:paraId="726D31F4" w14:textId="77777777" w:rsidR="009A5BB3" w:rsidRPr="00442251" w:rsidRDefault="00442251">
      <w:pPr>
        <w:pStyle w:val="Standard"/>
        <w:numPr>
          <w:ilvl w:val="0"/>
          <w:numId w:val="2"/>
        </w:numPr>
        <w:spacing w:before="57" w:after="57"/>
        <w:rPr>
          <w:rFonts w:asciiTheme="minorHAnsi" w:hAnsiTheme="minorHAnsi" w:cstheme="minorHAnsi"/>
          <w:color w:val="000000"/>
        </w:rPr>
      </w:pPr>
      <w:r w:rsidRPr="00442251">
        <w:rPr>
          <w:rFonts w:asciiTheme="minorHAnsi" w:hAnsiTheme="minorHAnsi" w:cstheme="minorHAnsi"/>
          <w:b/>
          <w:bCs/>
          <w:color w:val="000000"/>
        </w:rPr>
        <w:t>Integration</w:t>
      </w:r>
      <w:r w:rsidRPr="00442251">
        <w:rPr>
          <w:rFonts w:asciiTheme="minorHAnsi" w:hAnsiTheme="minorHAnsi" w:cstheme="minorHAnsi"/>
          <w:color w:val="000000"/>
        </w:rPr>
        <w:t xml:space="preserve"> – the final stage in the process where the money is either returned to the source and/or criminal or to the end recipient (</w:t>
      </w:r>
      <w:r w:rsidRPr="00442251">
        <w:rPr>
          <w:rFonts w:asciiTheme="minorHAnsi" w:hAnsiTheme="minorHAnsi" w:cstheme="minorHAnsi"/>
          <w:i/>
          <w:iCs/>
          <w:color w:val="000000"/>
        </w:rPr>
        <w:t>such as a creditor when the funds have been used to pay off debts or loans.)</w:t>
      </w:r>
      <w:r w:rsidRPr="00442251">
        <w:rPr>
          <w:rFonts w:asciiTheme="minorHAnsi" w:hAnsiTheme="minorHAnsi" w:cstheme="minorHAnsi"/>
          <w:color w:val="000000"/>
        </w:rPr>
        <w:t xml:space="preserve"> This is when the money becomes absorbed into the economy and can get lost in the system as legitimate funds.</w:t>
      </w:r>
    </w:p>
    <w:p w14:paraId="6222554D" w14:textId="77777777" w:rsidR="009A5BB3" w:rsidRPr="00442251" w:rsidRDefault="00442251">
      <w:pPr>
        <w:pStyle w:val="Standard"/>
        <w:rPr>
          <w:rFonts w:asciiTheme="minorHAnsi" w:eastAsia="Arial" w:hAnsiTheme="minorHAnsi" w:cstheme="minorHAnsi"/>
          <w:color w:val="000000"/>
        </w:rPr>
      </w:pPr>
      <w:r w:rsidRPr="00442251">
        <w:rPr>
          <w:rFonts w:asciiTheme="minorHAnsi" w:eastAsia="Arial" w:hAnsiTheme="minorHAnsi" w:cstheme="minorHAnsi"/>
          <w:color w:val="000000"/>
        </w:rPr>
        <w:t>______________________________________________________________________________</w:t>
      </w:r>
    </w:p>
    <w:p w14:paraId="62E86BCD" w14:textId="77777777" w:rsidR="009A5BB3" w:rsidRPr="00442251" w:rsidRDefault="00442251">
      <w:pPr>
        <w:pStyle w:val="Standard"/>
        <w:rPr>
          <w:rFonts w:asciiTheme="minorHAnsi" w:eastAsia="Arial" w:hAnsiTheme="minorHAnsi" w:cstheme="minorHAnsi"/>
          <w:b/>
          <w:bCs/>
          <w:i/>
          <w:iCs/>
          <w:color w:val="000000"/>
        </w:rPr>
      </w:pPr>
      <w:r>
        <w:rPr>
          <w:rFonts w:asciiTheme="minorHAnsi" w:eastAsia="Arial" w:hAnsiTheme="minorHAnsi" w:cstheme="minorHAnsi"/>
          <w:b/>
          <w:bCs/>
          <w:i/>
          <w:iCs/>
          <w:color w:val="000000"/>
        </w:rPr>
        <w:t>A</w:t>
      </w:r>
      <w:r w:rsidRPr="00442251">
        <w:rPr>
          <w:rFonts w:asciiTheme="minorHAnsi" w:eastAsia="Arial" w:hAnsiTheme="minorHAnsi" w:cstheme="minorHAnsi"/>
          <w:b/>
          <w:bCs/>
          <w:i/>
          <w:iCs/>
          <w:color w:val="000000"/>
        </w:rPr>
        <w:t xml:space="preserve"> firm’s records should cover: -</w:t>
      </w:r>
    </w:p>
    <w:p w14:paraId="097C8399" w14:textId="77777777" w:rsidR="009A5BB3" w:rsidRPr="00442251" w:rsidRDefault="00442251">
      <w:pPr>
        <w:pStyle w:val="Standard"/>
        <w:spacing w:before="57" w:after="57"/>
        <w:rPr>
          <w:rFonts w:asciiTheme="minorHAnsi" w:eastAsia="Arial" w:hAnsiTheme="minorHAnsi" w:cstheme="minorHAnsi"/>
          <w:color w:val="000000"/>
        </w:rPr>
      </w:pPr>
      <w:r w:rsidRPr="00442251">
        <w:rPr>
          <w:rFonts w:asciiTheme="minorHAnsi" w:eastAsia="Arial" w:hAnsiTheme="minorHAnsi" w:cstheme="minorHAnsi"/>
          <w:color w:val="000000"/>
        </w:rPr>
        <w:t>Customer information &amp; Transactions</w:t>
      </w:r>
      <w:r w:rsidRPr="00442251">
        <w:rPr>
          <w:rFonts w:asciiTheme="minorHAnsi" w:eastAsia="Arial" w:hAnsiTheme="minorHAnsi" w:cstheme="minorHAnsi"/>
          <w:color w:val="000000"/>
        </w:rPr>
        <w:tab/>
      </w:r>
      <w:r w:rsidRPr="00442251">
        <w:rPr>
          <w:rFonts w:asciiTheme="minorHAnsi" w:eastAsia="Arial" w:hAnsiTheme="minorHAnsi" w:cstheme="minorHAnsi"/>
          <w:color w:val="000000"/>
        </w:rPr>
        <w:tab/>
        <w:t>Internal and external suspicion reports</w:t>
      </w:r>
    </w:p>
    <w:p w14:paraId="08D13C2F" w14:textId="77777777" w:rsidR="009A5BB3" w:rsidRPr="00442251" w:rsidRDefault="00442251">
      <w:pPr>
        <w:pStyle w:val="Standard"/>
        <w:spacing w:before="57" w:after="57"/>
        <w:rPr>
          <w:rFonts w:asciiTheme="minorHAnsi" w:eastAsia="Arial" w:hAnsiTheme="minorHAnsi" w:cstheme="minorHAnsi"/>
          <w:color w:val="000000"/>
        </w:rPr>
      </w:pPr>
      <w:r w:rsidRPr="00442251">
        <w:rPr>
          <w:rFonts w:asciiTheme="minorHAnsi" w:eastAsia="Arial" w:hAnsiTheme="minorHAnsi" w:cstheme="minorHAnsi"/>
          <w:color w:val="000000"/>
        </w:rPr>
        <w:t>MLRO annual (and other) reports</w:t>
      </w:r>
      <w:r w:rsidRPr="00442251">
        <w:rPr>
          <w:rFonts w:asciiTheme="minorHAnsi" w:eastAsia="Arial" w:hAnsiTheme="minorHAnsi" w:cstheme="minorHAnsi"/>
          <w:color w:val="000000"/>
        </w:rPr>
        <w:tab/>
      </w:r>
      <w:r w:rsidRPr="00442251">
        <w:rPr>
          <w:rFonts w:asciiTheme="minorHAnsi" w:eastAsia="Arial" w:hAnsiTheme="minorHAnsi" w:cstheme="minorHAnsi"/>
          <w:color w:val="000000"/>
        </w:rPr>
        <w:tab/>
      </w:r>
      <w:r w:rsidRPr="00442251">
        <w:rPr>
          <w:rFonts w:asciiTheme="minorHAnsi" w:eastAsia="Arial" w:hAnsiTheme="minorHAnsi" w:cstheme="minorHAnsi"/>
          <w:color w:val="000000"/>
        </w:rPr>
        <w:tab/>
        <w:t>Information not acted upon</w:t>
      </w:r>
    </w:p>
    <w:p w14:paraId="5DFE8202" w14:textId="77777777" w:rsidR="009A5BB3" w:rsidRPr="00442251" w:rsidRDefault="00442251">
      <w:pPr>
        <w:pStyle w:val="Standard"/>
        <w:spacing w:before="57" w:after="57"/>
        <w:rPr>
          <w:rFonts w:asciiTheme="minorHAnsi" w:eastAsia="Arial" w:hAnsiTheme="minorHAnsi" w:cstheme="minorHAnsi"/>
          <w:color w:val="000000"/>
        </w:rPr>
      </w:pPr>
      <w:r w:rsidRPr="00442251">
        <w:rPr>
          <w:rFonts w:asciiTheme="minorHAnsi" w:eastAsia="Arial" w:hAnsiTheme="minorHAnsi" w:cstheme="minorHAnsi"/>
          <w:color w:val="000000"/>
        </w:rPr>
        <w:t>Training and compliance monitoring</w:t>
      </w:r>
      <w:r w:rsidRPr="00442251">
        <w:rPr>
          <w:rFonts w:asciiTheme="minorHAnsi" w:eastAsia="Arial" w:hAnsiTheme="minorHAnsi" w:cstheme="minorHAnsi"/>
          <w:color w:val="000000"/>
        </w:rPr>
        <w:tab/>
      </w:r>
      <w:r w:rsidRPr="00442251">
        <w:rPr>
          <w:rFonts w:asciiTheme="minorHAnsi" w:eastAsia="Arial" w:hAnsiTheme="minorHAnsi" w:cstheme="minorHAnsi"/>
          <w:color w:val="000000"/>
        </w:rPr>
        <w:tab/>
      </w:r>
      <w:r>
        <w:rPr>
          <w:rFonts w:asciiTheme="minorHAnsi" w:eastAsia="Arial" w:hAnsiTheme="minorHAnsi" w:cstheme="minorHAnsi"/>
          <w:color w:val="000000"/>
        </w:rPr>
        <w:tab/>
      </w:r>
      <w:r w:rsidRPr="00442251">
        <w:rPr>
          <w:rFonts w:asciiTheme="minorHAnsi" w:eastAsia="Arial" w:hAnsiTheme="minorHAnsi" w:cstheme="minorHAnsi"/>
          <w:color w:val="000000"/>
        </w:rPr>
        <w:t>Information about the effectiveness of training</w:t>
      </w:r>
    </w:p>
    <w:p w14:paraId="07CE63A4" w14:textId="16FBF11E" w:rsidR="009A5BB3" w:rsidRPr="00442251" w:rsidRDefault="00442251">
      <w:pPr>
        <w:pStyle w:val="Standard"/>
        <w:rPr>
          <w:rFonts w:asciiTheme="minorHAnsi" w:hAnsiTheme="minorHAnsi" w:cstheme="minorHAnsi"/>
          <w:color w:val="000000"/>
        </w:rPr>
      </w:pPr>
      <w:r w:rsidRPr="00442251">
        <w:rPr>
          <w:rFonts w:asciiTheme="minorHAnsi" w:hAnsiTheme="minorHAnsi" w:cstheme="minorHAnsi"/>
          <w:color w:val="000000"/>
        </w:rPr>
        <w:t>______________________________________________________________________________</w:t>
      </w:r>
    </w:p>
    <w:p w14:paraId="23623EBF" w14:textId="2580CE60" w:rsidR="009A5BB3" w:rsidRPr="00442251" w:rsidRDefault="00442251">
      <w:pPr>
        <w:pStyle w:val="Standard"/>
        <w:rPr>
          <w:rFonts w:asciiTheme="minorHAnsi" w:eastAsia="Arial" w:hAnsiTheme="minorHAnsi" w:cstheme="minorHAnsi"/>
          <w:color w:val="000000"/>
        </w:rPr>
      </w:pPr>
      <w:r w:rsidRPr="00442251">
        <w:rPr>
          <w:rFonts w:asciiTheme="minorHAnsi" w:eastAsia="Arial" w:hAnsiTheme="minorHAnsi" w:cstheme="minorHAnsi"/>
          <w:color w:val="000000"/>
        </w:rPr>
        <w:t>A suspicious activity report (SAR) is a report made by a financial or credit institution about suspicious or potentially suspicious activities and/or transactions. Reports are made by the Money Laundering Reporting Officer and are sent to the National Crime Agency (NCA) which replaced the Serious Organised Crime Agency (SOCA) on 7</w:t>
      </w:r>
      <w:r w:rsidRPr="00442251">
        <w:rPr>
          <w:rFonts w:asciiTheme="minorHAnsi" w:eastAsia="Arial" w:hAnsiTheme="minorHAnsi" w:cstheme="minorHAnsi"/>
          <w:color w:val="000000"/>
          <w:vertAlign w:val="superscript"/>
        </w:rPr>
        <w:t>th</w:t>
      </w:r>
      <w:r w:rsidRPr="00442251">
        <w:rPr>
          <w:rFonts w:asciiTheme="minorHAnsi" w:eastAsia="Arial" w:hAnsiTheme="minorHAnsi" w:cstheme="minorHAnsi"/>
          <w:color w:val="000000"/>
        </w:rPr>
        <w:t xml:space="preserve"> October 2013.</w:t>
      </w:r>
    </w:p>
    <w:sectPr w:rsidR="009A5BB3" w:rsidRPr="00442251">
      <w:pgSz w:w="11906" w:h="16838"/>
      <w:pgMar w:top="964" w:right="964" w:bottom="964" w:left="9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9A555" w14:textId="77777777" w:rsidR="00B468F1" w:rsidRDefault="00442251">
      <w:r>
        <w:separator/>
      </w:r>
    </w:p>
  </w:endnote>
  <w:endnote w:type="continuationSeparator" w:id="0">
    <w:p w14:paraId="3A43CA90" w14:textId="77777777" w:rsidR="00B468F1" w:rsidRDefault="00442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Calibri"/>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DFA36" w14:textId="77777777" w:rsidR="00B468F1" w:rsidRDefault="00442251">
      <w:r>
        <w:rPr>
          <w:color w:val="000000"/>
        </w:rPr>
        <w:separator/>
      </w:r>
    </w:p>
  </w:footnote>
  <w:footnote w:type="continuationSeparator" w:id="0">
    <w:p w14:paraId="0B180CBE" w14:textId="77777777" w:rsidR="00B468F1" w:rsidRDefault="004422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37F86"/>
    <w:multiLevelType w:val="multilevel"/>
    <w:tmpl w:val="0032BEE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37F979D3"/>
    <w:multiLevelType w:val="multilevel"/>
    <w:tmpl w:val="B088E34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BB3"/>
    <w:rsid w:val="00442251"/>
    <w:rsid w:val="009A5BB3"/>
    <w:rsid w:val="009D261D"/>
    <w:rsid w:val="00B468F1"/>
    <w:rsid w:val="00BB7548"/>
    <w:rsid w:val="00C658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0D733"/>
  <w15:docId w15:val="{5F74CA61-B52D-43CA-9FF7-2FF08CD2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styleId="Footer">
    <w:name w:val="footer"/>
    <w:basedOn w:val="Standard"/>
    <w:pPr>
      <w:suppressLineNumbers/>
      <w:tabs>
        <w:tab w:val="center" w:pos="4989"/>
        <w:tab w:val="right" w:pos="9978"/>
      </w:tabs>
    </w:pPr>
  </w:style>
  <w:style w:type="paragraph" w:customStyle="1" w:styleId="Objectwitharrow">
    <w:name w:val="Object with arrow"/>
    <w:basedOn w:val="Standard"/>
  </w:style>
  <w:style w:type="paragraph" w:customStyle="1" w:styleId="Objectwithshadow">
    <w:name w:val="Object with shadow"/>
    <w:basedOn w:val="Standard"/>
  </w:style>
  <w:style w:type="paragraph" w:customStyle="1" w:styleId="Objectwithoutfill">
    <w:name w:val="Object without fill"/>
    <w:basedOn w:val="Standard"/>
  </w:style>
  <w:style w:type="paragraph" w:customStyle="1" w:styleId="Objectwithnofillandnoline">
    <w:name w:val="Object with no fill and no line"/>
    <w:basedOn w:val="Standard"/>
  </w:style>
  <w:style w:type="paragraph" w:customStyle="1" w:styleId="Text">
    <w:name w:val="Text"/>
    <w:basedOn w:val="Caption"/>
  </w:style>
  <w:style w:type="paragraph" w:customStyle="1" w:styleId="Textbodyjustified">
    <w:name w:val="Text body justified"/>
    <w:basedOn w:val="Standard"/>
  </w:style>
  <w:style w:type="paragraph" w:customStyle="1" w:styleId="Firstlineindent">
    <w:name w:val="First line indent"/>
    <w:basedOn w:val="Textbody"/>
    <w:pPr>
      <w:ind w:firstLine="283"/>
    </w:pPr>
  </w:style>
  <w:style w:type="paragraph" w:styleId="Title">
    <w:name w:val="Title"/>
    <w:basedOn w:val="Heading"/>
    <w:next w:val="Subtitle"/>
    <w:pPr>
      <w:jc w:val="center"/>
    </w:pPr>
    <w:rPr>
      <w:b/>
      <w:bCs/>
      <w:sz w:val="36"/>
      <w:szCs w:val="36"/>
    </w:rPr>
  </w:style>
  <w:style w:type="paragraph" w:styleId="Subtitle">
    <w:name w:val="Subtitle"/>
    <w:basedOn w:val="Heading"/>
    <w:next w:val="Textbody"/>
    <w:pPr>
      <w:jc w:val="center"/>
    </w:pPr>
    <w:rPr>
      <w:i/>
      <w:iCs/>
    </w:rPr>
  </w:style>
  <w:style w:type="paragraph" w:customStyle="1" w:styleId="Title1">
    <w:name w:val="Title1"/>
    <w:basedOn w:val="Standard"/>
    <w:pPr>
      <w:jc w:val="center"/>
    </w:pPr>
  </w:style>
  <w:style w:type="paragraph" w:customStyle="1" w:styleId="Title2">
    <w:name w:val="Title2"/>
    <w:basedOn w:val="Standard"/>
    <w:pPr>
      <w:spacing w:before="57" w:after="57"/>
      <w:ind w:right="113"/>
      <w:jc w:val="center"/>
    </w:pPr>
  </w:style>
  <w:style w:type="paragraph" w:customStyle="1" w:styleId="Heading1">
    <w:name w:val="Heading1"/>
    <w:basedOn w:val="Standard"/>
    <w:pPr>
      <w:spacing w:before="238" w:after="119"/>
    </w:pPr>
  </w:style>
  <w:style w:type="paragraph" w:customStyle="1" w:styleId="Heading2">
    <w:name w:val="Heading2"/>
    <w:basedOn w:val="Standard"/>
    <w:pPr>
      <w:spacing w:before="238" w:after="119"/>
    </w:pPr>
  </w:style>
  <w:style w:type="paragraph" w:customStyle="1" w:styleId="DimensionLine">
    <w:name w:val="Dimension Line"/>
    <w:basedOn w:val="Standard"/>
  </w:style>
  <w:style w:type="paragraph" w:customStyle="1" w:styleId="DefaultLTGliederung1">
    <w:name w:val="Default~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after="282" w:line="220" w:lineRule="auto"/>
      <w:ind w:left="540" w:hanging="540"/>
    </w:pPr>
    <w:rPr>
      <w:rFonts w:ascii="Microsoft YaHei" w:eastAsia="Microsoft YaHei" w:hAnsi="Microsoft YaHei" w:cs="Microsoft YaHei"/>
      <w:color w:val="000000"/>
      <w:sz w:val="48"/>
      <w:szCs w:val="48"/>
    </w:rPr>
  </w:style>
  <w:style w:type="paragraph" w:customStyle="1" w:styleId="DefaultLTGliederung2">
    <w:name w:val="Default~LT~Gliederung 2"/>
    <w:basedOn w:val="Default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DefaultLTGliederung3">
    <w:name w:val="Default~LT~Gliederung 3"/>
    <w:basedOn w:val="Default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DefaultLTGliederung4">
    <w:name w:val="Default~LT~Gliederung 4"/>
    <w:basedOn w:val="Default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2"/>
      <w:ind w:left="2520"/>
    </w:pPr>
    <w:rPr>
      <w:sz w:val="40"/>
      <w:szCs w:val="40"/>
    </w:rPr>
  </w:style>
  <w:style w:type="paragraph" w:customStyle="1" w:styleId="DefaultLTGliederung5">
    <w:name w:val="Default~LT~Gliederung 5"/>
    <w:basedOn w:val="Default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5"/>
      <w:ind w:left="3240"/>
    </w:pPr>
  </w:style>
  <w:style w:type="paragraph" w:customStyle="1" w:styleId="DefaultLTGliederung6">
    <w:name w:val="Default~LT~Gliederung 6"/>
    <w:basedOn w:val="DefaultLTGliederung5"/>
  </w:style>
  <w:style w:type="paragraph" w:customStyle="1" w:styleId="DefaultLTGliederung7">
    <w:name w:val="Default~LT~Gliederung 7"/>
    <w:basedOn w:val="DefaultLTGliederung6"/>
  </w:style>
  <w:style w:type="paragraph" w:customStyle="1" w:styleId="DefaultLTGliederung8">
    <w:name w:val="Default~LT~Gliederung 8"/>
    <w:basedOn w:val="DefaultLTGliederung7"/>
  </w:style>
  <w:style w:type="paragraph" w:customStyle="1" w:styleId="DefaultLTGliederung9">
    <w:name w:val="Default~LT~Gliederung 9"/>
    <w:basedOn w:val="DefaultLTGliederung8"/>
  </w:style>
  <w:style w:type="paragraph" w:customStyle="1" w:styleId="DefaultLTTitel">
    <w:name w:val="Default~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jc w:val="center"/>
    </w:pPr>
    <w:rPr>
      <w:rFonts w:ascii="Microsoft YaHei" w:eastAsia="Microsoft YaHei" w:hAnsi="Microsoft YaHei" w:cs="Microsoft YaHei"/>
      <w:color w:val="000000"/>
      <w:sz w:val="48"/>
      <w:szCs w:val="48"/>
    </w:rPr>
  </w:style>
  <w:style w:type="paragraph" w:customStyle="1" w:styleId="DefaultLTUntertitel">
    <w:name w:val="Default~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line="220" w:lineRule="auto"/>
      <w:ind w:left="540" w:hanging="540"/>
      <w:jc w:val="center"/>
    </w:pPr>
    <w:rPr>
      <w:rFonts w:ascii="Microsoft YaHei" w:eastAsia="Microsoft YaHei" w:hAnsi="Microsoft YaHei" w:cs="Microsoft YaHei"/>
      <w:color w:val="000000"/>
      <w:sz w:val="48"/>
      <w:szCs w:val="48"/>
    </w:rPr>
  </w:style>
  <w:style w:type="paragraph" w:customStyle="1" w:styleId="DefaultLTNotizen">
    <w:name w:val="Default~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pPr>
    <w:rPr>
      <w:rFonts w:ascii="Mangal" w:eastAsia="Mangal" w:hAnsi="Mangal"/>
      <w:color w:val="000000"/>
    </w:rPr>
  </w:style>
  <w:style w:type="paragraph" w:customStyle="1" w:styleId="DefaultLTHintergrundobjekte">
    <w:name w:val="Default~LT~Hintergrundobjekte"/>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pPr>
    <w:rPr>
      <w:rFonts w:ascii="Microsoft YaHei" w:eastAsia="Microsoft YaHei" w:hAnsi="Microsoft YaHei" w:cs="Microsoft YaHei"/>
      <w:color w:val="000000"/>
      <w:sz w:val="36"/>
      <w:szCs w:val="36"/>
    </w:rPr>
  </w:style>
  <w:style w:type="paragraph" w:customStyle="1" w:styleId="DefaultLTHintergrund">
    <w:name w:val="Default~LT~Hintergrund"/>
    <w:pPr>
      <w:autoSpaceDE w:val="0"/>
      <w:jc w:val="center"/>
    </w:pPr>
  </w:style>
  <w:style w:type="paragraph" w:customStyle="1" w:styleId="default">
    <w:name w:val="default"/>
    <w:pPr>
      <w:autoSpaceDE w:val="0"/>
      <w:spacing w:line="200" w:lineRule="atLeast"/>
    </w:pPr>
    <w:rPr>
      <w:rFonts w:ascii="Mangal" w:eastAsia="Mangal" w:hAnsi="Mangal"/>
      <w:sz w:val="36"/>
      <w:szCs w:val="36"/>
    </w:rPr>
  </w:style>
  <w:style w:type="paragraph" w:customStyle="1" w:styleId="blue1">
    <w:name w:val="blue1"/>
    <w:basedOn w:val="default"/>
  </w:style>
  <w:style w:type="paragraph" w:customStyle="1" w:styleId="blue2">
    <w:name w:val="blue2"/>
    <w:basedOn w:val="default"/>
  </w:style>
  <w:style w:type="paragraph" w:customStyle="1" w:styleId="blue3">
    <w:name w:val="blue3"/>
    <w:basedOn w:val="default"/>
  </w:style>
  <w:style w:type="paragraph" w:customStyle="1" w:styleId="bw1">
    <w:name w:val="bw1"/>
    <w:basedOn w:val="default"/>
  </w:style>
  <w:style w:type="paragraph" w:customStyle="1" w:styleId="bw2">
    <w:name w:val="bw2"/>
    <w:basedOn w:val="default"/>
  </w:style>
  <w:style w:type="paragraph" w:customStyle="1" w:styleId="bw3">
    <w:name w:val="bw3"/>
    <w:basedOn w:val="default"/>
  </w:style>
  <w:style w:type="paragraph" w:customStyle="1" w:styleId="orange1">
    <w:name w:val="orange1"/>
    <w:basedOn w:val="default"/>
  </w:style>
  <w:style w:type="paragraph" w:customStyle="1" w:styleId="orange2">
    <w:name w:val="orange2"/>
    <w:basedOn w:val="default"/>
  </w:style>
  <w:style w:type="paragraph" w:customStyle="1" w:styleId="orange3">
    <w:name w:val="orange3"/>
    <w:basedOn w:val="default"/>
  </w:style>
  <w:style w:type="paragraph" w:customStyle="1" w:styleId="turquise1">
    <w:name w:val="turquise1"/>
    <w:basedOn w:val="default"/>
  </w:style>
  <w:style w:type="paragraph" w:customStyle="1" w:styleId="turquise2">
    <w:name w:val="turquise2"/>
    <w:basedOn w:val="default"/>
  </w:style>
  <w:style w:type="paragraph" w:customStyle="1" w:styleId="turquise3">
    <w:name w:val="turquise3"/>
    <w:basedOn w:val="default"/>
  </w:style>
  <w:style w:type="paragraph" w:customStyle="1" w:styleId="gray1">
    <w:name w:val="gray1"/>
    <w:basedOn w:val="default"/>
  </w:style>
  <w:style w:type="paragraph" w:customStyle="1" w:styleId="gray2">
    <w:name w:val="gray2"/>
    <w:basedOn w:val="default"/>
  </w:style>
  <w:style w:type="paragraph" w:customStyle="1" w:styleId="gray3">
    <w:name w:val="gray3"/>
    <w:basedOn w:val="default"/>
  </w:style>
  <w:style w:type="paragraph" w:customStyle="1" w:styleId="sun1">
    <w:name w:val="sun1"/>
    <w:basedOn w:val="default"/>
  </w:style>
  <w:style w:type="paragraph" w:customStyle="1" w:styleId="sun2">
    <w:name w:val="sun2"/>
    <w:basedOn w:val="default"/>
  </w:style>
  <w:style w:type="paragraph" w:customStyle="1" w:styleId="sun3">
    <w:name w:val="sun3"/>
    <w:basedOn w:val="default"/>
  </w:style>
  <w:style w:type="paragraph" w:customStyle="1" w:styleId="earth1">
    <w:name w:val="earth1"/>
    <w:basedOn w:val="default"/>
  </w:style>
  <w:style w:type="paragraph" w:customStyle="1" w:styleId="earth2">
    <w:name w:val="earth2"/>
    <w:basedOn w:val="default"/>
  </w:style>
  <w:style w:type="paragraph" w:customStyle="1" w:styleId="earth3">
    <w:name w:val="earth3"/>
    <w:basedOn w:val="default"/>
  </w:style>
  <w:style w:type="paragraph" w:customStyle="1" w:styleId="green1">
    <w:name w:val="green1"/>
    <w:basedOn w:val="default"/>
  </w:style>
  <w:style w:type="paragraph" w:customStyle="1" w:styleId="green2">
    <w:name w:val="green2"/>
    <w:basedOn w:val="default"/>
  </w:style>
  <w:style w:type="paragraph" w:customStyle="1" w:styleId="green3">
    <w:name w:val="green3"/>
    <w:basedOn w:val="default"/>
  </w:style>
  <w:style w:type="paragraph" w:customStyle="1" w:styleId="seetang1">
    <w:name w:val="seetang1"/>
    <w:basedOn w:val="default"/>
  </w:style>
  <w:style w:type="paragraph" w:customStyle="1" w:styleId="seetang2">
    <w:name w:val="seetang2"/>
    <w:basedOn w:val="default"/>
  </w:style>
  <w:style w:type="paragraph" w:customStyle="1" w:styleId="seetang3">
    <w:name w:val="seetang3"/>
    <w:basedOn w:val="default"/>
  </w:style>
  <w:style w:type="paragraph" w:customStyle="1" w:styleId="lightblue1">
    <w:name w:val="lightblue1"/>
    <w:basedOn w:val="default"/>
  </w:style>
  <w:style w:type="paragraph" w:customStyle="1" w:styleId="lightblue2">
    <w:name w:val="lightblue2"/>
    <w:basedOn w:val="default"/>
  </w:style>
  <w:style w:type="paragraph" w:customStyle="1" w:styleId="lightblue3">
    <w:name w:val="lightblue3"/>
    <w:basedOn w:val="default"/>
  </w:style>
  <w:style w:type="paragraph" w:customStyle="1" w:styleId="yellow1">
    <w:name w:val="yellow1"/>
    <w:basedOn w:val="default"/>
  </w:style>
  <w:style w:type="paragraph" w:customStyle="1" w:styleId="yellow2">
    <w:name w:val="yellow2"/>
    <w:basedOn w:val="default"/>
  </w:style>
  <w:style w:type="paragraph" w:customStyle="1" w:styleId="yellow3">
    <w:name w:val="yellow3"/>
    <w:basedOn w:val="default"/>
  </w:style>
  <w:style w:type="paragraph" w:customStyle="1" w:styleId="WW-Title">
    <w:name w:val="WW-Title"/>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jc w:val="center"/>
    </w:pPr>
    <w:rPr>
      <w:rFonts w:ascii="Microsoft YaHei" w:eastAsia="Microsoft YaHei" w:hAnsi="Microsoft YaHei" w:cs="Microsoft YaHei"/>
      <w:color w:val="000000"/>
      <w:sz w:val="48"/>
      <w:szCs w:val="48"/>
    </w:rPr>
  </w:style>
  <w:style w:type="paragraph" w:customStyle="1" w:styleId="Backgroundobjects">
    <w:name w:val="Background objects"/>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pPr>
    <w:rPr>
      <w:rFonts w:ascii="Microsoft YaHei" w:eastAsia="Microsoft YaHei" w:hAnsi="Microsoft YaHei" w:cs="Microsoft YaHei"/>
      <w:color w:val="000000"/>
      <w:sz w:val="36"/>
      <w:szCs w:val="36"/>
    </w:rPr>
  </w:style>
  <w:style w:type="paragraph" w:customStyle="1" w:styleId="Background">
    <w:name w:val="Background"/>
    <w:pPr>
      <w:autoSpaceDE w:val="0"/>
      <w:jc w:val="center"/>
    </w:pPr>
  </w:style>
  <w:style w:type="paragraph" w:customStyle="1" w:styleId="Notes">
    <w:name w:val="Notes"/>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pPr>
    <w:rPr>
      <w:rFonts w:ascii="Mangal" w:eastAsia="Mangal" w:hAnsi="Mangal"/>
      <w:color w:val="000000"/>
    </w:rPr>
  </w:style>
  <w:style w:type="paragraph" w:customStyle="1" w:styleId="Outline1">
    <w:name w:val="Outline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after="282" w:line="220" w:lineRule="auto"/>
      <w:ind w:left="540" w:hanging="540"/>
    </w:pPr>
    <w:rPr>
      <w:rFonts w:ascii="Microsoft YaHei" w:eastAsia="Microsoft YaHei" w:hAnsi="Microsoft YaHei" w:cs="Microsoft YaHei"/>
      <w:color w:val="000000"/>
      <w:sz w:val="48"/>
      <w:szCs w:val="48"/>
    </w:rPr>
  </w:style>
  <w:style w:type="paragraph" w:customStyle="1" w:styleId="Outline2">
    <w:name w:val="Outline 2"/>
    <w:basedOn w:val="Outline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Outline3">
    <w:name w:val="Outline 3"/>
    <w:basedOn w:val="Outline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Outline4">
    <w:name w:val="Outline 4"/>
    <w:basedOn w:val="Outline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2"/>
      <w:ind w:left="2520"/>
    </w:pPr>
    <w:rPr>
      <w:sz w:val="40"/>
      <w:szCs w:val="40"/>
    </w:rPr>
  </w:style>
  <w:style w:type="paragraph" w:customStyle="1" w:styleId="Outline5">
    <w:name w:val="Outline 5"/>
    <w:basedOn w:val="Outline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5"/>
      <w:ind w:left="3240"/>
    </w:pPr>
  </w:style>
  <w:style w:type="paragraph" w:customStyle="1" w:styleId="Outline6">
    <w:name w:val="Outline 6"/>
    <w:basedOn w:val="Outline5"/>
  </w:style>
  <w:style w:type="paragraph" w:customStyle="1" w:styleId="Outline7">
    <w:name w:val="Outline 7"/>
    <w:basedOn w:val="Outline6"/>
  </w:style>
  <w:style w:type="paragraph" w:customStyle="1" w:styleId="Outline8">
    <w:name w:val="Outline 8"/>
    <w:basedOn w:val="Outline7"/>
  </w:style>
  <w:style w:type="paragraph" w:customStyle="1" w:styleId="Outline9">
    <w:name w:val="Outline 9"/>
    <w:basedOn w:val="Outline8"/>
  </w:style>
  <w:style w:type="paragraph" w:customStyle="1" w:styleId="Title1LTGliederung1">
    <w:name w:val="Title1~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after="282" w:line="220" w:lineRule="auto"/>
      <w:ind w:left="540" w:hanging="540"/>
    </w:pPr>
    <w:rPr>
      <w:rFonts w:ascii="Microsoft YaHei" w:eastAsia="Microsoft YaHei" w:hAnsi="Microsoft YaHei" w:cs="Microsoft YaHei"/>
      <w:color w:val="000000"/>
      <w:sz w:val="64"/>
      <w:szCs w:val="64"/>
    </w:rPr>
  </w:style>
  <w:style w:type="paragraph" w:customStyle="1" w:styleId="Title1LTGliederung2">
    <w:name w:val="Title1~LT~Gliederung 2"/>
    <w:basedOn w:val="Title1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Title1LTGliederung3">
    <w:name w:val="Title1~LT~Gliederung 3"/>
    <w:basedOn w:val="Title1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Title1LTGliederung4">
    <w:name w:val="Title1~LT~Gliederung 4"/>
    <w:basedOn w:val="Title1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5"/>
      <w:ind w:left="2520"/>
    </w:pPr>
    <w:rPr>
      <w:sz w:val="40"/>
      <w:szCs w:val="40"/>
    </w:rPr>
  </w:style>
  <w:style w:type="paragraph" w:customStyle="1" w:styleId="Title1LTGliederung5">
    <w:name w:val="Title1~LT~Gliederung 5"/>
    <w:basedOn w:val="Title1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7"/>
      <w:ind w:left="3240"/>
    </w:pPr>
  </w:style>
  <w:style w:type="paragraph" w:customStyle="1" w:styleId="Title1LTGliederung6">
    <w:name w:val="Title1~LT~Gliederung 6"/>
    <w:basedOn w:val="Title1LTGliederung5"/>
  </w:style>
  <w:style w:type="paragraph" w:customStyle="1" w:styleId="Title1LTGliederung7">
    <w:name w:val="Title1~LT~Gliederung 7"/>
    <w:basedOn w:val="Title1LTGliederung6"/>
  </w:style>
  <w:style w:type="paragraph" w:customStyle="1" w:styleId="Title1LTGliederung8">
    <w:name w:val="Title1~LT~Gliederung 8"/>
    <w:basedOn w:val="Title1LTGliederung7"/>
  </w:style>
  <w:style w:type="paragraph" w:customStyle="1" w:styleId="Title1LTGliederung9">
    <w:name w:val="Title1~LT~Gliederung 9"/>
    <w:basedOn w:val="Title1LTGliederung8"/>
  </w:style>
  <w:style w:type="paragraph" w:customStyle="1" w:styleId="Title1LTTitel">
    <w:name w:val="Title1~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jc w:val="center"/>
    </w:pPr>
    <w:rPr>
      <w:rFonts w:ascii="Microsoft YaHei" w:eastAsia="Microsoft YaHei" w:hAnsi="Microsoft YaHei" w:cs="Microsoft YaHei"/>
      <w:color w:val="000000"/>
      <w:sz w:val="88"/>
      <w:szCs w:val="88"/>
    </w:rPr>
  </w:style>
  <w:style w:type="paragraph" w:customStyle="1" w:styleId="Title1LTUntertitel">
    <w:name w:val="Title1~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line="220" w:lineRule="auto"/>
      <w:ind w:left="540" w:hanging="540"/>
      <w:jc w:val="center"/>
    </w:pPr>
    <w:rPr>
      <w:rFonts w:ascii="Microsoft YaHei" w:eastAsia="Microsoft YaHei" w:hAnsi="Microsoft YaHei" w:cs="Microsoft YaHei"/>
      <w:color w:val="000000"/>
      <w:sz w:val="64"/>
      <w:szCs w:val="64"/>
    </w:rPr>
  </w:style>
  <w:style w:type="paragraph" w:customStyle="1" w:styleId="Title1LTNotizen">
    <w:name w:val="Title1~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pPr>
    <w:rPr>
      <w:rFonts w:ascii="Mangal" w:eastAsia="Mangal" w:hAnsi="Mangal"/>
      <w:color w:val="000000"/>
    </w:rPr>
  </w:style>
  <w:style w:type="paragraph" w:customStyle="1" w:styleId="Title1LTHintergrundobjekte">
    <w:name w:val="Title1~LT~Hintergrundobjekte"/>
    <w:pPr>
      <w:autoSpaceDE w:val="0"/>
    </w:pPr>
  </w:style>
  <w:style w:type="paragraph" w:customStyle="1" w:styleId="Title1LTHintergrund">
    <w:name w:val="Title1~LT~Hintergrund"/>
    <w:pPr>
      <w:autoSpaceDE w:val="0"/>
      <w:jc w:val="center"/>
    </w:pPr>
  </w:style>
  <w:style w:type="paragraph" w:customStyle="1" w:styleId="Title2LTGliederung1">
    <w:name w:val="Title2~LT~Gliederung 1"/>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line="220" w:lineRule="auto"/>
      <w:ind w:left="540" w:hanging="540"/>
    </w:pPr>
    <w:rPr>
      <w:rFonts w:ascii="Arial Unicode MS" w:eastAsia="Arial Unicode MS" w:hAnsi="Arial Unicode MS" w:cs="Arial Unicode MS"/>
      <w:color w:val="000000"/>
      <w:sz w:val="48"/>
      <w:szCs w:val="48"/>
    </w:rPr>
  </w:style>
  <w:style w:type="paragraph" w:customStyle="1" w:styleId="Title2LTGliederung2">
    <w:name w:val="Title2~LT~Gliederung 2"/>
    <w:basedOn w:val="Title2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ind w:left="1170" w:hanging="450"/>
    </w:pPr>
    <w:rPr>
      <w:sz w:val="56"/>
      <w:szCs w:val="56"/>
    </w:rPr>
  </w:style>
  <w:style w:type="paragraph" w:customStyle="1" w:styleId="Title2LTGliederung3">
    <w:name w:val="Title2~LT~Gliederung 3"/>
    <w:basedOn w:val="Title2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ind w:left="1800" w:hanging="360"/>
    </w:pPr>
    <w:rPr>
      <w:sz w:val="48"/>
      <w:szCs w:val="48"/>
    </w:rPr>
  </w:style>
  <w:style w:type="paragraph" w:customStyle="1" w:styleId="Title2LTGliederung4">
    <w:name w:val="Title2~LT~Gliederung 4"/>
    <w:basedOn w:val="Title2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rPr>
      <w:sz w:val="40"/>
      <w:szCs w:val="40"/>
    </w:rPr>
  </w:style>
  <w:style w:type="paragraph" w:customStyle="1" w:styleId="Title2LTGliederung5">
    <w:name w:val="Title2~LT~Gliederung 5"/>
    <w:basedOn w:val="Title2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le2LTGliederung6">
    <w:name w:val="Title2~LT~Gliederung 6"/>
    <w:basedOn w:val="Title2LTGliederung5"/>
  </w:style>
  <w:style w:type="paragraph" w:customStyle="1" w:styleId="Title2LTGliederung7">
    <w:name w:val="Title2~LT~Gliederung 7"/>
    <w:basedOn w:val="Title2LTGliederung6"/>
  </w:style>
  <w:style w:type="paragraph" w:customStyle="1" w:styleId="Title2LTGliederung8">
    <w:name w:val="Title2~LT~Gliederung 8"/>
    <w:basedOn w:val="Title2LTGliederung7"/>
  </w:style>
  <w:style w:type="paragraph" w:customStyle="1" w:styleId="Title2LTGliederung9">
    <w:name w:val="Title2~LT~Gliederung 9"/>
    <w:basedOn w:val="Title2LTGliederung8"/>
  </w:style>
  <w:style w:type="paragraph" w:customStyle="1" w:styleId="Title2LTTitel">
    <w:name w:val="Title2~LT~Titel"/>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line="220" w:lineRule="auto"/>
      <w:jc w:val="center"/>
    </w:pPr>
    <w:rPr>
      <w:rFonts w:ascii="Arial Unicode MS" w:eastAsia="Arial Unicode MS" w:hAnsi="Arial Unicode MS" w:cs="Arial Unicode MS"/>
      <w:b/>
      <w:bCs/>
      <w:color w:val="333333"/>
      <w:sz w:val="48"/>
      <w:szCs w:val="48"/>
    </w:rPr>
  </w:style>
  <w:style w:type="paragraph" w:customStyle="1" w:styleId="Title2LTUntertitel">
    <w:name w:val="Title2~LT~Untertitel"/>
    <w:pPr>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autoSpaceDE w:val="0"/>
      <w:spacing w:line="228" w:lineRule="auto"/>
      <w:ind w:left="540" w:hanging="540"/>
      <w:jc w:val="center"/>
    </w:pPr>
    <w:rPr>
      <w:rFonts w:ascii="Arial Unicode MS" w:eastAsia="Arial Unicode MS" w:hAnsi="Arial Unicode MS" w:cs="Arial Unicode MS"/>
      <w:color w:val="000000"/>
      <w:sz w:val="48"/>
      <w:szCs w:val="48"/>
    </w:rPr>
  </w:style>
  <w:style w:type="paragraph" w:customStyle="1" w:styleId="Title2LTNotizen">
    <w:name w:val="Title2~LT~Notizen"/>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spacing w:before="90"/>
    </w:pPr>
    <w:rPr>
      <w:rFonts w:ascii="Mangal" w:eastAsia="Mangal" w:hAnsi="Mangal"/>
      <w:color w:val="000000"/>
    </w:rPr>
  </w:style>
  <w:style w:type="paragraph" w:customStyle="1" w:styleId="Title2LTHintergrundobjekte">
    <w:name w:val="Title2~LT~Hintergrundobjekte"/>
    <w:pPr>
      <w:autoSpaceDE w:val="0"/>
    </w:pPr>
  </w:style>
  <w:style w:type="paragraph" w:customStyle="1" w:styleId="Title2LTHintergrund">
    <w:name w:val="Title2~LT~Hintergrund"/>
    <w:pPr>
      <w:autoSpaceDE w:val="0"/>
      <w:jc w:val="center"/>
    </w:pPr>
  </w:style>
  <w:style w:type="paragraph" w:customStyle="1" w:styleId="TableHeading">
    <w:name w:val="Table Heading"/>
    <w:basedOn w:val="TableContents"/>
    <w:pPr>
      <w:jc w:val="center"/>
    </w:pPr>
    <w:rPr>
      <w:b/>
      <w:bCs/>
    </w:rPr>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StrongEmphasis">
    <w:name w:val="Strong Emphasis"/>
    <w:rPr>
      <w:b/>
      <w:bCs/>
    </w:rPr>
  </w:style>
  <w:style w:type="character" w:customStyle="1" w:styleId="NumberingSymbols">
    <w:name w:val="Numbering Symbols"/>
  </w:style>
  <w:style w:type="paragraph" w:styleId="Header">
    <w:name w:val="header"/>
    <w:basedOn w:val="Normal"/>
    <w:link w:val="HeaderChar"/>
    <w:uiPriority w:val="99"/>
    <w:unhideWhenUsed/>
    <w:rsid w:val="00BB7548"/>
    <w:pPr>
      <w:tabs>
        <w:tab w:val="center" w:pos="4513"/>
        <w:tab w:val="right" w:pos="9026"/>
      </w:tabs>
    </w:pPr>
    <w:rPr>
      <w:szCs w:val="21"/>
    </w:rPr>
  </w:style>
  <w:style w:type="character" w:customStyle="1" w:styleId="HeaderChar">
    <w:name w:val="Header Char"/>
    <w:basedOn w:val="DefaultParagraphFont"/>
    <w:link w:val="Header"/>
    <w:uiPriority w:val="99"/>
    <w:rsid w:val="00BB7548"/>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4AD75C-7E3D-4647-9741-18C176E47895}"/>
</file>

<file path=customXml/itemProps2.xml><?xml version="1.0" encoding="utf-8"?>
<ds:datastoreItem xmlns:ds="http://schemas.openxmlformats.org/officeDocument/2006/customXml" ds:itemID="{0875023C-ADC8-4D1C-BFBC-842881BE52A6}"/>
</file>

<file path=customXml/itemProps3.xml><?xml version="1.0" encoding="utf-8"?>
<ds:datastoreItem xmlns:ds="http://schemas.openxmlformats.org/officeDocument/2006/customXml" ds:itemID="{5FC53133-6E69-4EBD-A01F-3C217AC84AB1}"/>
</file>

<file path=docProps/app.xml><?xml version="1.0" encoding="utf-8"?>
<Properties xmlns="http://schemas.openxmlformats.org/officeDocument/2006/extended-properties" xmlns:vt="http://schemas.openxmlformats.org/officeDocument/2006/docPropsVTypes">
  <Template>Normal</Template>
  <TotalTime>7</TotalTime>
  <Pages>1</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Catherine Roberts</dc:creator>
  <cp:lastModifiedBy>Catherine Roberts</cp:lastModifiedBy>
  <cp:revision>4</cp:revision>
  <cp:lastPrinted>2015-02-26T23:57:00Z</cp:lastPrinted>
  <dcterms:created xsi:type="dcterms:W3CDTF">2017-10-17T10:02:00Z</dcterms:created>
  <dcterms:modified xsi:type="dcterms:W3CDTF">2021-04-29T14:49:00Z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2311400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