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663BE" w14:textId="49604432" w:rsidR="00BC0697" w:rsidRPr="00307538" w:rsidRDefault="00BC0697">
      <w:pPr>
        <w:rPr>
          <w:rFonts w:ascii="Arial" w:hAnsi="Arial" w:cs="Arial"/>
        </w:rPr>
      </w:pPr>
      <w:r w:rsidRPr="00307538">
        <w:rPr>
          <w:rFonts w:ascii="Arial" w:hAnsi="Arial" w:cs="Arial"/>
        </w:rPr>
        <w:t xml:space="preserve">Limitations of Model </w:t>
      </w:r>
    </w:p>
    <w:p w14:paraId="633B9DA9" w14:textId="77777777" w:rsidR="00BC0697" w:rsidRPr="00307538" w:rsidRDefault="00BC0697">
      <w:pPr>
        <w:rPr>
          <w:rFonts w:ascii="Arial" w:hAnsi="Arial" w:cs="Arial"/>
        </w:rPr>
      </w:pPr>
    </w:p>
    <w:p w14:paraId="34AC72B3" w14:textId="589DE9F4" w:rsidR="00BC0697" w:rsidRPr="00307538" w:rsidRDefault="00BC0697">
      <w:pPr>
        <w:rPr>
          <w:rFonts w:ascii="Arial" w:hAnsi="Arial" w:cs="Arial"/>
        </w:rPr>
      </w:pPr>
      <w:r w:rsidRPr="00307538">
        <w:rPr>
          <w:rFonts w:ascii="Arial" w:hAnsi="Arial" w:cs="Arial"/>
        </w:rPr>
        <w:t xml:space="preserve">November 2022 – April 2023 </w:t>
      </w:r>
    </w:p>
    <w:p w14:paraId="52BE489F" w14:textId="6673FE47" w:rsidR="00BC0697" w:rsidRPr="00307538" w:rsidRDefault="00BC0697">
      <w:pPr>
        <w:rPr>
          <w:rFonts w:ascii="Arial" w:hAnsi="Arial" w:cs="Arial"/>
        </w:rPr>
      </w:pPr>
      <w:r w:rsidRPr="00307538">
        <w:rPr>
          <w:rFonts w:ascii="Arial" w:hAnsi="Arial" w:cs="Arial"/>
        </w:rPr>
        <w:t xml:space="preserve">-This is only accounting for the summer to fall months in Melbourne </w:t>
      </w:r>
    </w:p>
    <w:p w14:paraId="62AF2137" w14:textId="77777777" w:rsidR="00BC0697" w:rsidRPr="00307538" w:rsidRDefault="00BC0697">
      <w:pPr>
        <w:rPr>
          <w:rFonts w:ascii="Arial" w:hAnsi="Arial" w:cs="Arial"/>
        </w:rPr>
      </w:pPr>
    </w:p>
    <w:p w14:paraId="78EF9007" w14:textId="211E7B8C" w:rsidR="00BC0697" w:rsidRPr="00307538" w:rsidRDefault="00BC0697">
      <w:pPr>
        <w:rPr>
          <w:rFonts w:ascii="Arial" w:hAnsi="Arial" w:cs="Arial"/>
        </w:rPr>
      </w:pPr>
      <w:hyperlink r:id="rId4" w:history="1">
        <w:r w:rsidRPr="00307538">
          <w:rPr>
            <w:rStyle w:val="Hyperlink"/>
            <w:rFonts w:ascii="Arial" w:hAnsi="Arial" w:cs="Arial"/>
          </w:rPr>
          <w:t>http://www.bom.gov.au/climate/enso/outlook/</w:t>
        </w:r>
      </w:hyperlink>
    </w:p>
    <w:p w14:paraId="2F25AD39" w14:textId="77777777" w:rsidR="00BC0697" w:rsidRPr="00307538" w:rsidRDefault="00BC0697">
      <w:pPr>
        <w:rPr>
          <w:rFonts w:ascii="Arial" w:hAnsi="Arial" w:cs="Arial"/>
        </w:rPr>
      </w:pPr>
    </w:p>
    <w:p w14:paraId="60468DFC" w14:textId="18BA4420" w:rsidR="00BC0697" w:rsidRPr="00307538" w:rsidRDefault="00BC0697">
      <w:pPr>
        <w:rPr>
          <w:rFonts w:ascii="Arial" w:hAnsi="Arial" w:cs="Arial"/>
        </w:rPr>
      </w:pPr>
      <w:r w:rsidRPr="00307538">
        <w:rPr>
          <w:rFonts w:ascii="Arial" w:hAnsi="Arial" w:cs="Arial"/>
        </w:rPr>
        <w:t xml:space="preserve">-Demonstrates that Victoria was in a La Nina cycle during the </w:t>
      </w:r>
      <w:proofErr w:type="gramStart"/>
      <w:r w:rsidRPr="00307538">
        <w:rPr>
          <w:rFonts w:ascii="Arial" w:hAnsi="Arial" w:cs="Arial"/>
        </w:rPr>
        <w:t>time period</w:t>
      </w:r>
      <w:proofErr w:type="gramEnd"/>
      <w:r w:rsidRPr="00307538">
        <w:rPr>
          <w:rFonts w:ascii="Arial" w:hAnsi="Arial" w:cs="Arial"/>
        </w:rPr>
        <w:t xml:space="preserve">, and we are currently on an El Nino watch </w:t>
      </w:r>
    </w:p>
    <w:p w14:paraId="08EC18C9" w14:textId="77777777" w:rsidR="00BC0697" w:rsidRPr="00307538" w:rsidRDefault="00BC0697">
      <w:pPr>
        <w:rPr>
          <w:rFonts w:ascii="Arial" w:hAnsi="Arial" w:cs="Arial"/>
        </w:rPr>
      </w:pPr>
    </w:p>
    <w:p w14:paraId="4E2112E7" w14:textId="7932BD87" w:rsidR="00000000" w:rsidRPr="00307538" w:rsidRDefault="00BC0697">
      <w:pPr>
        <w:rPr>
          <w:rFonts w:ascii="Arial" w:hAnsi="Arial" w:cs="Arial"/>
        </w:rPr>
      </w:pPr>
      <w:hyperlink r:id="rId5" w:history="1">
        <w:r w:rsidRPr="00307538">
          <w:rPr>
            <w:rStyle w:val="Hyperlink"/>
            <w:rFonts w:ascii="Arial" w:hAnsi="Arial" w:cs="Arial"/>
          </w:rPr>
          <w:t>http://www.bom.gov.au/climate/u</w:t>
        </w:r>
        <w:r w:rsidRPr="00307538">
          <w:rPr>
            <w:rStyle w:val="Hyperlink"/>
            <w:rFonts w:ascii="Arial" w:hAnsi="Arial" w:cs="Arial"/>
          </w:rPr>
          <w:t>p</w:t>
        </w:r>
        <w:r w:rsidRPr="00307538">
          <w:rPr>
            <w:rStyle w:val="Hyperlink"/>
            <w:rFonts w:ascii="Arial" w:hAnsi="Arial" w:cs="Arial"/>
          </w:rPr>
          <w:t>dates/articles/a020.shtml</w:t>
        </w:r>
      </w:hyperlink>
    </w:p>
    <w:p w14:paraId="1CE678DF" w14:textId="77777777" w:rsidR="00340056" w:rsidRPr="00307538" w:rsidRDefault="00340056">
      <w:pPr>
        <w:rPr>
          <w:rFonts w:ascii="Arial" w:hAnsi="Arial" w:cs="Arial"/>
        </w:rPr>
      </w:pPr>
    </w:p>
    <w:p w14:paraId="4A3BA8E9" w14:textId="59ADA532" w:rsidR="00BC0697" w:rsidRPr="00307538" w:rsidRDefault="00BC0697">
      <w:pPr>
        <w:rPr>
          <w:rFonts w:ascii="Arial" w:hAnsi="Arial" w:cs="Arial"/>
        </w:rPr>
      </w:pPr>
      <w:r w:rsidRPr="00307538">
        <w:rPr>
          <w:rFonts w:ascii="Arial" w:hAnsi="Arial" w:cs="Arial"/>
        </w:rPr>
        <w:t>-</w:t>
      </w:r>
      <w:r w:rsidRPr="00307538">
        <w:rPr>
          <w:rFonts w:ascii="Arial" w:hAnsi="Arial" w:cs="Arial"/>
          <w:color w:val="000000"/>
          <w:shd w:val="clear" w:color="auto" w:fill="FFFFFF"/>
        </w:rPr>
        <w:t xml:space="preserve">La Niña occurs when equatorial trade winds become stronger, changing ocean surface </w:t>
      </w:r>
      <w:proofErr w:type="gramStart"/>
      <w:r w:rsidRPr="00307538">
        <w:rPr>
          <w:rFonts w:ascii="Arial" w:hAnsi="Arial" w:cs="Arial"/>
          <w:color w:val="000000"/>
          <w:shd w:val="clear" w:color="auto" w:fill="FFFFFF"/>
        </w:rPr>
        <w:t>currents</w:t>
      </w:r>
      <w:proofErr w:type="gramEnd"/>
      <w:r w:rsidRPr="00307538">
        <w:rPr>
          <w:rFonts w:ascii="Arial" w:hAnsi="Arial" w:cs="Arial"/>
          <w:color w:val="000000"/>
          <w:shd w:val="clear" w:color="auto" w:fill="FFFFFF"/>
        </w:rPr>
        <w:t xml:space="preserve"> and drawing cooler deep water up from below. This results in a cooling of the central and eastern tropical Pacific Ocean. The enhanced trade winds also help to pile up warm surface waters in the western Pacific and to the north of Australia.</w:t>
      </w:r>
    </w:p>
    <w:p w14:paraId="334DE62B" w14:textId="1C362990" w:rsidR="00340056" w:rsidRPr="00307538" w:rsidRDefault="00BC0697">
      <w:pPr>
        <w:rPr>
          <w:rFonts w:ascii="Arial" w:hAnsi="Arial" w:cs="Arial"/>
          <w:color w:val="000000"/>
          <w:vertAlign w:val="superscript"/>
        </w:rPr>
      </w:pPr>
      <w:r w:rsidRPr="00307538">
        <w:rPr>
          <w:rFonts w:ascii="Arial" w:hAnsi="Arial" w:cs="Arial"/>
        </w:rPr>
        <w:t>-</w:t>
      </w:r>
      <w:r w:rsidRPr="00307538">
        <w:rPr>
          <w:rFonts w:ascii="Arial" w:hAnsi="Arial" w:cs="Arial"/>
          <w:color w:val="000000"/>
          <w:shd w:val="clear" w:color="auto" w:fill="FFFFFF"/>
        </w:rPr>
        <w:t>In the warmer half of the year, southern coastal locations such as Adelaide and Melbourne experience fewer individual daily heat extremes during La Niña years but an increased frequency of prolonged warm spells. Of the 32 Victorian heatwaves between 1989 and 2009, 17 occurred during La Niña years while only 6 occurred during El Niño</w:t>
      </w:r>
      <w:r w:rsidRPr="00307538">
        <w:rPr>
          <w:rStyle w:val="apple-converted-space"/>
          <w:rFonts w:ascii="Arial" w:hAnsi="Arial" w:cs="Arial"/>
          <w:color w:val="000000"/>
          <w:shd w:val="clear" w:color="auto" w:fill="FFFFFF"/>
        </w:rPr>
        <w:t> </w:t>
      </w:r>
    </w:p>
    <w:p w14:paraId="4A46ECC6" w14:textId="77777777" w:rsidR="00BC0697" w:rsidRPr="00307538" w:rsidRDefault="00BC0697">
      <w:pPr>
        <w:rPr>
          <w:rFonts w:ascii="Arial" w:hAnsi="Arial" w:cs="Arial"/>
        </w:rPr>
      </w:pPr>
    </w:p>
    <w:p w14:paraId="226681E9" w14:textId="344C8C11" w:rsidR="00BC0697" w:rsidRPr="00307538" w:rsidRDefault="00BC0697">
      <w:pPr>
        <w:rPr>
          <w:rFonts w:ascii="Arial" w:hAnsi="Arial" w:cs="Arial"/>
        </w:rPr>
      </w:pPr>
      <w:hyperlink r:id="rId6" w:history="1">
        <w:r w:rsidRPr="00307538">
          <w:rPr>
            <w:rStyle w:val="Hyperlink"/>
            <w:rFonts w:ascii="Arial" w:hAnsi="Arial" w:cs="Arial"/>
          </w:rPr>
          <w:t>http://www.bom.gov.au/climate/updates/articles/a008-el-nino-and-australia.shtml#:~:text=El%20Niño%20years%20tend%20to,the%20spring%20and%20summer%20months</w:t>
        </w:r>
      </w:hyperlink>
    </w:p>
    <w:p w14:paraId="37D09A4B" w14:textId="77777777" w:rsidR="00BC0697" w:rsidRPr="00307538" w:rsidRDefault="00BC0697">
      <w:pPr>
        <w:rPr>
          <w:rFonts w:ascii="Arial" w:hAnsi="Arial" w:cs="Arial"/>
        </w:rPr>
      </w:pPr>
    </w:p>
    <w:p w14:paraId="554B0CF7" w14:textId="63CE1129" w:rsidR="00BC0697" w:rsidRPr="00307538" w:rsidRDefault="00BC0697">
      <w:pPr>
        <w:rPr>
          <w:rFonts w:ascii="Arial" w:hAnsi="Arial" w:cs="Arial"/>
          <w:color w:val="000000"/>
          <w:shd w:val="clear" w:color="auto" w:fill="FFFFFF"/>
        </w:rPr>
      </w:pPr>
      <w:r w:rsidRPr="00307538">
        <w:rPr>
          <w:rFonts w:ascii="Arial" w:hAnsi="Arial" w:cs="Arial"/>
          <w:color w:val="000000"/>
          <w:shd w:val="clear" w:color="auto" w:fill="FFFFFF"/>
        </w:rPr>
        <w:t>-</w:t>
      </w:r>
      <w:r w:rsidRPr="00307538">
        <w:rPr>
          <w:rFonts w:ascii="Arial" w:hAnsi="Arial" w:cs="Arial"/>
          <w:color w:val="000000"/>
          <w:shd w:val="clear" w:color="auto" w:fill="FFFFFF"/>
        </w:rPr>
        <w:t>An</w:t>
      </w:r>
      <w:r w:rsidRPr="00307538">
        <w:rPr>
          <w:rStyle w:val="apple-converted-space"/>
          <w:rFonts w:ascii="Arial" w:hAnsi="Arial" w:cs="Arial"/>
          <w:color w:val="000000"/>
          <w:shd w:val="clear" w:color="auto" w:fill="FFFFFF"/>
        </w:rPr>
        <w:t> </w:t>
      </w:r>
      <w:hyperlink r:id="rId7" w:anchor="tabs=Pacific-Ocean&amp;pacific=About" w:history="1">
        <w:r w:rsidRPr="00307538">
          <w:rPr>
            <w:rStyle w:val="Hyperlink"/>
            <w:rFonts w:ascii="Arial" w:hAnsi="Arial" w:cs="Arial"/>
            <w:color w:val="333333"/>
            <w:u w:val="none"/>
          </w:rPr>
          <w:t>El Niño</w:t>
        </w:r>
      </w:hyperlink>
      <w:r w:rsidRPr="00307538">
        <w:rPr>
          <w:rStyle w:val="apple-converted-space"/>
          <w:rFonts w:ascii="Arial" w:hAnsi="Arial" w:cs="Arial"/>
          <w:color w:val="000000"/>
          <w:shd w:val="clear" w:color="auto" w:fill="FFFFFF"/>
        </w:rPr>
        <w:t> </w:t>
      </w:r>
      <w:r w:rsidRPr="00307538">
        <w:rPr>
          <w:rFonts w:ascii="Arial" w:hAnsi="Arial" w:cs="Arial"/>
          <w:color w:val="000000"/>
          <w:shd w:val="clear" w:color="auto" w:fill="FFFFFF"/>
        </w:rPr>
        <w:t>occurs when sea surface temperatures in the central and eastern tropical Pacific Ocean become substantially warmer than average, and this causes a shift in atmospheric circulation. Typically, the equatorial trade winds blow from east to west across the Pacific Ocean. El Niño events are associated with a weakening, or even reversal, of the prevailing trade winds.</w:t>
      </w:r>
    </w:p>
    <w:p w14:paraId="718E97CB" w14:textId="2D18E557" w:rsidR="00BC0697" w:rsidRDefault="00BC0697">
      <w:pPr>
        <w:rPr>
          <w:rFonts w:ascii="Arial" w:hAnsi="Arial" w:cs="Arial"/>
          <w:color w:val="000000"/>
          <w:shd w:val="clear" w:color="auto" w:fill="FFFFFF"/>
        </w:rPr>
      </w:pPr>
      <w:r w:rsidRPr="00307538">
        <w:rPr>
          <w:rFonts w:ascii="Arial" w:hAnsi="Arial" w:cs="Arial"/>
          <w:color w:val="000000"/>
          <w:shd w:val="clear" w:color="auto" w:fill="FFFFFF"/>
        </w:rPr>
        <w:t>-</w:t>
      </w:r>
      <w:r w:rsidR="00307538" w:rsidRPr="00307538">
        <w:rPr>
          <w:rFonts w:ascii="Arial" w:hAnsi="Arial" w:cs="Arial"/>
          <w:color w:val="000000"/>
          <w:shd w:val="clear" w:color="auto" w:fill="FFFFFF"/>
        </w:rPr>
        <w:t>El Niño years tend to see warmer-than-average temperatures across most of southern Australia, particularly during the second half of the year. In general, decreased cloud cover results in warmer-than-average daytime temperatures, particularly in the spring and summer months. Higher temperatures exacerbate the effect of lower rainfall by increasing evaporative demand.</w:t>
      </w:r>
    </w:p>
    <w:p w14:paraId="1244D00A" w14:textId="38544952" w:rsidR="00307538" w:rsidRPr="00307538" w:rsidRDefault="00307538">
      <w:pPr>
        <w:rPr>
          <w:rFonts w:ascii="Arial" w:hAnsi="Arial" w:cs="Arial"/>
          <w:color w:val="000000"/>
          <w:shd w:val="clear" w:color="auto" w:fill="FFFFFF"/>
        </w:rPr>
      </w:pPr>
      <w:r>
        <w:rPr>
          <w:rFonts w:ascii="Arial" w:hAnsi="Arial" w:cs="Arial"/>
          <w:color w:val="000000"/>
          <w:shd w:val="clear" w:color="auto" w:fill="FFFFFF"/>
        </w:rPr>
        <w:t>-</w:t>
      </w:r>
      <w:r w:rsidRPr="00307538">
        <w:rPr>
          <w:rFonts w:ascii="Arial" w:hAnsi="Arial" w:cs="Arial"/>
          <w:color w:val="000000"/>
          <w:shd w:val="clear" w:color="auto" w:fill="FFFFFF"/>
        </w:rPr>
        <w:t>This means that for southern coastal locations such as Adelaide and Melbourne, individual daily heat extremes tend to be of greater intensity (hotter) during El Niño years but there is a reduced frequency of prolonged warm spells.</w:t>
      </w:r>
    </w:p>
    <w:p w14:paraId="52008F3E" w14:textId="77777777" w:rsidR="006855CE" w:rsidRPr="00307538" w:rsidRDefault="006855CE">
      <w:pPr>
        <w:rPr>
          <w:rFonts w:ascii="Arial" w:hAnsi="Arial" w:cs="Arial"/>
          <w:color w:val="000000"/>
          <w:shd w:val="clear" w:color="auto" w:fill="FFFFFF"/>
        </w:rPr>
      </w:pPr>
    </w:p>
    <w:p w14:paraId="371CAC7F" w14:textId="435A685E" w:rsidR="006855CE" w:rsidRPr="00307538" w:rsidRDefault="006855CE">
      <w:pPr>
        <w:rPr>
          <w:rFonts w:ascii="Arial" w:hAnsi="Arial" w:cs="Arial"/>
        </w:rPr>
      </w:pPr>
      <w:hyperlink r:id="rId8" w:history="1">
        <w:r w:rsidRPr="00307538">
          <w:rPr>
            <w:rStyle w:val="Hyperlink"/>
            <w:rFonts w:ascii="Arial" w:hAnsi="Arial" w:cs="Arial"/>
          </w:rPr>
          <w:t>https://www.openaccessgovernment.org/one-year-impact-of-ukraine-war-global-energy-prices-input-output-analysis/152599/#:~:text=Immediately%20following%20the%20invasion%2C%20energy,28th%20February%20to%203rd%20August</w:t>
        </w:r>
      </w:hyperlink>
      <w:r w:rsidRPr="00307538">
        <w:rPr>
          <w:rFonts w:ascii="Arial" w:hAnsi="Arial" w:cs="Arial"/>
        </w:rPr>
        <w:t>.</w:t>
      </w:r>
    </w:p>
    <w:p w14:paraId="243D5BC9" w14:textId="77777777" w:rsidR="006855CE" w:rsidRPr="00307538" w:rsidRDefault="006855CE">
      <w:pPr>
        <w:rPr>
          <w:rFonts w:ascii="Arial" w:hAnsi="Arial" w:cs="Arial"/>
        </w:rPr>
      </w:pPr>
    </w:p>
    <w:p w14:paraId="0A679E85" w14:textId="3D357A02" w:rsidR="006855CE" w:rsidRPr="00307538" w:rsidRDefault="006855CE">
      <w:pPr>
        <w:rPr>
          <w:rFonts w:ascii="Arial" w:hAnsi="Arial" w:cs="Arial"/>
        </w:rPr>
      </w:pPr>
      <w:r w:rsidRPr="00307538">
        <w:rPr>
          <w:rFonts w:ascii="Arial" w:hAnsi="Arial" w:cs="Arial"/>
        </w:rPr>
        <w:t>-Russian-Ukraine War increased the global energy costs by ~20% (particularly gas supplies)</w:t>
      </w:r>
    </w:p>
    <w:p w14:paraId="71D2ED66" w14:textId="77777777" w:rsidR="006855CE" w:rsidRPr="00307538" w:rsidRDefault="006855CE">
      <w:pPr>
        <w:rPr>
          <w:rFonts w:ascii="Arial" w:hAnsi="Arial" w:cs="Arial"/>
        </w:rPr>
      </w:pPr>
    </w:p>
    <w:p w14:paraId="39B0792E" w14:textId="632D0E09" w:rsidR="006855CE" w:rsidRPr="00307538" w:rsidRDefault="006855CE">
      <w:pPr>
        <w:rPr>
          <w:rFonts w:ascii="Arial" w:hAnsi="Arial" w:cs="Arial"/>
        </w:rPr>
      </w:pPr>
      <w:hyperlink r:id="rId9" w:history="1">
        <w:r w:rsidRPr="00307538">
          <w:rPr>
            <w:rStyle w:val="Hyperlink"/>
            <w:rFonts w:ascii="Arial" w:hAnsi="Arial" w:cs="Arial"/>
          </w:rPr>
          <w:t>https://www.cleanenergyregulator.gov.au/RET/Forms-and-resources/Postcode-data-for-small-scale-installations</w:t>
        </w:r>
      </w:hyperlink>
    </w:p>
    <w:p w14:paraId="766F63CB" w14:textId="77777777" w:rsidR="006855CE" w:rsidRPr="00307538" w:rsidRDefault="006855CE">
      <w:pPr>
        <w:rPr>
          <w:rFonts w:ascii="Arial" w:hAnsi="Arial" w:cs="Arial"/>
        </w:rPr>
      </w:pPr>
    </w:p>
    <w:p w14:paraId="1F535F68" w14:textId="3FEDD066" w:rsidR="006855CE" w:rsidRDefault="006855CE">
      <w:pPr>
        <w:rPr>
          <w:rFonts w:ascii="Arial" w:hAnsi="Arial" w:cs="Arial"/>
        </w:rPr>
      </w:pPr>
      <w:r w:rsidRPr="00307538">
        <w:rPr>
          <w:rFonts w:ascii="Arial" w:hAnsi="Arial" w:cs="Arial"/>
        </w:rPr>
        <w:t>-Almost 700,000 solar power units in Victoria</w:t>
      </w:r>
    </w:p>
    <w:p w14:paraId="7347714A" w14:textId="73CF732D" w:rsidR="00DB00D6" w:rsidRPr="00307538" w:rsidRDefault="00DB00D6">
      <w:pPr>
        <w:rPr>
          <w:rFonts w:ascii="Arial" w:hAnsi="Arial" w:cs="Arial"/>
        </w:rPr>
      </w:pPr>
      <w:r>
        <w:rPr>
          <w:rFonts w:ascii="Arial" w:hAnsi="Arial" w:cs="Arial"/>
        </w:rPr>
        <w:t xml:space="preserve">-Consumer behaviour and trends for more solar panels </w:t>
      </w:r>
    </w:p>
    <w:p w14:paraId="2CA0DBBA" w14:textId="77777777" w:rsidR="00BD0BE7" w:rsidRPr="00307538" w:rsidRDefault="00BD0BE7">
      <w:pPr>
        <w:rPr>
          <w:rFonts w:ascii="Arial" w:hAnsi="Arial" w:cs="Arial"/>
        </w:rPr>
      </w:pPr>
    </w:p>
    <w:p w14:paraId="652324AF" w14:textId="533CD7D0" w:rsidR="00BD0BE7" w:rsidRPr="00307538" w:rsidRDefault="00BD0BE7">
      <w:pPr>
        <w:rPr>
          <w:rFonts w:ascii="Arial" w:hAnsi="Arial" w:cs="Arial"/>
        </w:rPr>
      </w:pPr>
      <w:hyperlink r:id="rId10" w:history="1">
        <w:r w:rsidRPr="00307538">
          <w:rPr>
            <w:rStyle w:val="Hyperlink"/>
            <w:rFonts w:ascii="Arial" w:hAnsi="Arial" w:cs="Arial"/>
          </w:rPr>
          <w:t>https://www.csiro.au/en/research/technology-space/energy/Energy-data-modelling/GenCost</w:t>
        </w:r>
      </w:hyperlink>
    </w:p>
    <w:p w14:paraId="395BCBEF" w14:textId="77777777" w:rsidR="00BD0BE7" w:rsidRPr="00307538" w:rsidRDefault="00BD0BE7">
      <w:pPr>
        <w:rPr>
          <w:rFonts w:ascii="Arial" w:hAnsi="Arial" w:cs="Arial"/>
        </w:rPr>
      </w:pPr>
    </w:p>
    <w:p w14:paraId="4423ECA0" w14:textId="6CD36E8E" w:rsidR="00307538" w:rsidRDefault="00307538">
      <w:pPr>
        <w:rPr>
          <w:rFonts w:ascii="Arial" w:hAnsi="Arial" w:cs="Arial"/>
        </w:rPr>
      </w:pPr>
      <w:r w:rsidRPr="00307538">
        <w:rPr>
          <w:rFonts w:ascii="Arial" w:hAnsi="Arial" w:cs="Arial"/>
        </w:rPr>
        <w:t>“</w:t>
      </w:r>
      <w:r w:rsidRPr="00307538">
        <w:rPr>
          <w:rFonts w:ascii="Arial" w:hAnsi="Arial" w:cs="Arial"/>
        </w:rPr>
        <w:t xml:space="preserve">In one silver lining, despite the rising costs the report found </w:t>
      </w:r>
      <w:r w:rsidRPr="00307538">
        <w:rPr>
          <w:rFonts w:ascii="Calibri" w:hAnsi="Calibri" w:cs="Calibri"/>
        </w:rPr>
        <w:t>﻿</w:t>
      </w:r>
      <w:r w:rsidRPr="00307538">
        <w:rPr>
          <w:rFonts w:ascii="Arial" w:hAnsi="Arial" w:cs="Arial"/>
        </w:rPr>
        <w:t xml:space="preserve">renewables like </w:t>
      </w:r>
      <w:proofErr w:type="gramStart"/>
      <w:r w:rsidRPr="00307538">
        <w:rPr>
          <w:rFonts w:ascii="Arial" w:hAnsi="Arial" w:cs="Arial"/>
        </w:rPr>
        <w:t>solar</w:t>
      </w:r>
      <w:proofErr w:type="gramEnd"/>
      <w:r w:rsidRPr="00307538">
        <w:rPr>
          <w:rFonts w:ascii="Arial" w:hAnsi="Arial" w:cs="Arial"/>
        </w:rPr>
        <w:t xml:space="preserve"> and wind remained </w:t>
      </w:r>
      <w:r w:rsidRPr="00307538">
        <w:rPr>
          <w:rFonts w:ascii="Calibri" w:hAnsi="Calibri" w:cs="Calibri"/>
        </w:rPr>
        <w:t>﻿</w:t>
      </w:r>
      <w:r w:rsidRPr="00307538">
        <w:rPr>
          <w:rFonts w:ascii="Arial" w:hAnsi="Arial" w:cs="Arial"/>
        </w:rPr>
        <w:t>the cheapest form of new electricity generation.</w:t>
      </w:r>
    </w:p>
    <w:p w14:paraId="0785DD2E" w14:textId="77777777" w:rsidR="00307538" w:rsidRDefault="00307538">
      <w:pPr>
        <w:rPr>
          <w:rFonts w:ascii="Arial" w:hAnsi="Arial" w:cs="Arial"/>
        </w:rPr>
      </w:pPr>
    </w:p>
    <w:p w14:paraId="3711641D" w14:textId="31398A92" w:rsidR="00BD0BE7" w:rsidRPr="00307538" w:rsidRDefault="00307538">
      <w:pPr>
        <w:rPr>
          <w:rFonts w:ascii="Arial" w:hAnsi="Arial" w:cs="Arial"/>
        </w:rPr>
      </w:pPr>
      <w:r w:rsidRPr="00307538">
        <w:rPr>
          <w:rFonts w:ascii="Arial" w:hAnsi="Arial" w:cs="Arial"/>
          <w:color w:val="333333"/>
          <w:shd w:val="clear" w:color="auto" w:fill="FFFFFF"/>
        </w:rPr>
        <w:t>This is largely due to significantly lower costs of electricity generation</w:t>
      </w:r>
      <w:r w:rsidRPr="00307538">
        <w:rPr>
          <w:rFonts w:ascii="Calibri" w:hAnsi="Calibri" w:cs="Calibri"/>
          <w:color w:val="333333"/>
          <w:shd w:val="clear" w:color="auto" w:fill="FFFFFF"/>
        </w:rPr>
        <w:t>﻿</w:t>
      </w:r>
      <w:r w:rsidRPr="00307538">
        <w:rPr>
          <w:rFonts w:ascii="Arial" w:hAnsi="Arial" w:cs="Arial"/>
          <w:color w:val="333333"/>
          <w:shd w:val="clear" w:color="auto" w:fill="FFFFFF"/>
        </w:rPr>
        <w:t xml:space="preserve"> - around $60-100/MWh for a combined solar and wind system capable of supplying 60-90 per cent of the market, compared to up to $130/MWh for black coal, or almost $250/MWh for black coal with carbon capture and storage (a more environmentally friendly approach).</w:t>
      </w:r>
      <w:r w:rsidRPr="00307538">
        <w:rPr>
          <w:rFonts w:ascii="Arial" w:hAnsi="Arial" w:cs="Arial"/>
          <w:color w:val="333333"/>
          <w:shd w:val="clear" w:color="auto" w:fill="FFFFFF"/>
        </w:rPr>
        <w:t>”</w:t>
      </w:r>
    </w:p>
    <w:p w14:paraId="72B0A6DD" w14:textId="77777777" w:rsidR="00BD0BE7" w:rsidRDefault="00BD0BE7">
      <w:pPr>
        <w:rPr>
          <w:rFonts w:ascii="Arial" w:hAnsi="Arial" w:cs="Arial"/>
        </w:rPr>
      </w:pPr>
    </w:p>
    <w:p w14:paraId="2781FA3A" w14:textId="22DF47A0" w:rsidR="00307538" w:rsidRDefault="004166C9">
      <w:pPr>
        <w:rPr>
          <w:rFonts w:ascii="Arial" w:hAnsi="Arial" w:cs="Arial"/>
        </w:rPr>
      </w:pPr>
      <w:hyperlink r:id="rId11" w:history="1">
        <w:r w:rsidRPr="00152578">
          <w:rPr>
            <w:rStyle w:val="Hyperlink"/>
            <w:rFonts w:ascii="Arial" w:hAnsi="Arial" w:cs="Arial"/>
          </w:rPr>
          <w:t>https://www.energynetworks.com.au/news/energy-insider/2020-energy-insider/commercial-down-v-residential-up-covid-19s-electricity-impact/</w:t>
        </w:r>
      </w:hyperlink>
    </w:p>
    <w:p w14:paraId="72007A3D" w14:textId="77777777" w:rsidR="004166C9" w:rsidRDefault="004166C9">
      <w:pPr>
        <w:rPr>
          <w:rFonts w:ascii="Arial" w:hAnsi="Arial" w:cs="Arial"/>
        </w:rPr>
      </w:pPr>
    </w:p>
    <w:p w14:paraId="635B766D" w14:textId="0E6C6A4B" w:rsidR="004166C9" w:rsidRDefault="004166C9">
      <w:pPr>
        <w:rPr>
          <w:rFonts w:ascii="Arial" w:hAnsi="Arial" w:cs="Arial"/>
        </w:rPr>
      </w:pPr>
      <w:r>
        <w:rPr>
          <w:rFonts w:ascii="Arial" w:hAnsi="Arial" w:cs="Arial"/>
        </w:rPr>
        <w:t xml:space="preserve">-Comparing one week of lockdown to </w:t>
      </w:r>
      <w:proofErr w:type="spellStart"/>
      <w:r>
        <w:rPr>
          <w:rFonts w:ascii="Arial" w:hAnsi="Arial" w:cs="Arial"/>
        </w:rPr>
        <w:t>prelockdown</w:t>
      </w:r>
      <w:proofErr w:type="spellEnd"/>
      <w:r>
        <w:rPr>
          <w:rFonts w:ascii="Arial" w:hAnsi="Arial" w:cs="Arial"/>
        </w:rPr>
        <w:t xml:space="preserve">, commercial energy use was down, and home energy use went up. Net was 1% increase so </w:t>
      </w:r>
      <w:proofErr w:type="gramStart"/>
      <w:r>
        <w:rPr>
          <w:rFonts w:ascii="Arial" w:hAnsi="Arial" w:cs="Arial"/>
        </w:rPr>
        <w:t>negligible</w:t>
      </w:r>
      <w:proofErr w:type="gramEnd"/>
      <w:r>
        <w:rPr>
          <w:rFonts w:ascii="Arial" w:hAnsi="Arial" w:cs="Arial"/>
        </w:rPr>
        <w:t xml:space="preserve"> </w:t>
      </w:r>
    </w:p>
    <w:p w14:paraId="76237A9F" w14:textId="77777777" w:rsidR="004166C9" w:rsidRDefault="004166C9">
      <w:pPr>
        <w:rPr>
          <w:rFonts w:ascii="Arial" w:hAnsi="Arial" w:cs="Arial"/>
        </w:rPr>
      </w:pPr>
    </w:p>
    <w:p w14:paraId="68DF7A52" w14:textId="0470F3DF" w:rsidR="004166C9" w:rsidRDefault="004166C9">
      <w:pPr>
        <w:rPr>
          <w:rFonts w:ascii="Arial" w:hAnsi="Arial" w:cs="Arial"/>
        </w:rPr>
      </w:pPr>
      <w:hyperlink r:id="rId12" w:history="1">
        <w:r w:rsidRPr="00152578">
          <w:rPr>
            <w:rStyle w:val="Hyperlink"/>
            <w:rFonts w:ascii="Arial" w:hAnsi="Arial" w:cs="Arial"/>
          </w:rPr>
          <w:t>https://www.premier.vic.gov.au/new-victorian-homes-go-all-electric-2024</w:t>
        </w:r>
      </w:hyperlink>
    </w:p>
    <w:p w14:paraId="4F8B3ECB" w14:textId="77777777" w:rsidR="004166C9" w:rsidRDefault="004166C9">
      <w:pPr>
        <w:rPr>
          <w:rFonts w:ascii="Arial" w:hAnsi="Arial" w:cs="Arial"/>
        </w:rPr>
      </w:pPr>
    </w:p>
    <w:p w14:paraId="4657FBA4" w14:textId="7A49ADFD" w:rsidR="004166C9" w:rsidRDefault="004166C9">
      <w:pPr>
        <w:rPr>
          <w:rFonts w:ascii="Arial" w:hAnsi="Arial" w:cs="Arial"/>
        </w:rPr>
      </w:pPr>
      <w:r>
        <w:rPr>
          <w:rFonts w:ascii="Arial" w:hAnsi="Arial" w:cs="Arial"/>
        </w:rPr>
        <w:t xml:space="preserve">New Victorian initiative to </w:t>
      </w:r>
      <w:r w:rsidR="00DB00D6">
        <w:rPr>
          <w:rFonts w:ascii="Arial" w:hAnsi="Arial" w:cs="Arial"/>
        </w:rPr>
        <w:t xml:space="preserve">promote homes going electric and not being hooked up to </w:t>
      </w:r>
      <w:proofErr w:type="gramStart"/>
      <w:r w:rsidR="00DB00D6">
        <w:rPr>
          <w:rFonts w:ascii="Arial" w:hAnsi="Arial" w:cs="Arial"/>
        </w:rPr>
        <w:t>gas</w:t>
      </w:r>
      <w:proofErr w:type="gramEnd"/>
    </w:p>
    <w:p w14:paraId="0828927D" w14:textId="1A18F21D" w:rsidR="00DB00D6" w:rsidRDefault="00DB00D6">
      <w:pPr>
        <w:rPr>
          <w:rFonts w:ascii="Arial" w:hAnsi="Arial" w:cs="Arial"/>
        </w:rPr>
      </w:pPr>
      <w:r>
        <w:rPr>
          <w:rFonts w:ascii="Arial" w:hAnsi="Arial" w:cs="Arial"/>
        </w:rPr>
        <w:t>-This will affect demand for gas</w:t>
      </w:r>
    </w:p>
    <w:p w14:paraId="6D8EAB09" w14:textId="77777777" w:rsidR="00DB00D6" w:rsidRDefault="00DB00D6">
      <w:pPr>
        <w:rPr>
          <w:rFonts w:ascii="Arial" w:hAnsi="Arial" w:cs="Arial"/>
        </w:rPr>
      </w:pPr>
    </w:p>
    <w:p w14:paraId="7E0554C1" w14:textId="13D150A6" w:rsidR="00DB00D6" w:rsidRDefault="00DB00D6">
      <w:pPr>
        <w:rPr>
          <w:rFonts w:ascii="Arial" w:hAnsi="Arial" w:cs="Arial"/>
        </w:rPr>
      </w:pPr>
      <w:hyperlink r:id="rId13" w:history="1">
        <w:r w:rsidRPr="00152578">
          <w:rPr>
            <w:rStyle w:val="Hyperlink"/>
            <w:rFonts w:ascii="Arial" w:hAnsi="Arial" w:cs="Arial"/>
          </w:rPr>
          <w:t>https://www.vic.gov.au/state-electricity-commission-victoria</w:t>
        </w:r>
      </w:hyperlink>
    </w:p>
    <w:p w14:paraId="04FBD429" w14:textId="77777777" w:rsidR="00DB00D6" w:rsidRDefault="00DB00D6">
      <w:pPr>
        <w:rPr>
          <w:rFonts w:ascii="Arial" w:hAnsi="Arial" w:cs="Arial"/>
        </w:rPr>
      </w:pPr>
    </w:p>
    <w:p w14:paraId="663EDD7B" w14:textId="2822B0E7" w:rsidR="00DB00D6" w:rsidRDefault="00DB00D6">
      <w:pPr>
        <w:rPr>
          <w:rFonts w:ascii="Arial" w:hAnsi="Arial" w:cs="Arial"/>
        </w:rPr>
      </w:pPr>
      <w:r>
        <w:rPr>
          <w:rFonts w:ascii="Arial" w:hAnsi="Arial" w:cs="Arial"/>
        </w:rPr>
        <w:t xml:space="preserve">Victoria government bringing back the State Electricity Commission (SEC) to drive down emissions and power bills by investing in delivery of renewable </w:t>
      </w:r>
      <w:proofErr w:type="gramStart"/>
      <w:r>
        <w:rPr>
          <w:rFonts w:ascii="Arial" w:hAnsi="Arial" w:cs="Arial"/>
        </w:rPr>
        <w:t>energy</w:t>
      </w:r>
      <w:proofErr w:type="gramEnd"/>
    </w:p>
    <w:p w14:paraId="69926E22" w14:textId="77777777" w:rsidR="00DB00D6" w:rsidRPr="00307538" w:rsidRDefault="00DB00D6">
      <w:pPr>
        <w:rPr>
          <w:rFonts w:ascii="Arial" w:hAnsi="Arial" w:cs="Arial"/>
        </w:rPr>
      </w:pPr>
    </w:p>
    <w:sectPr w:rsidR="00DB00D6" w:rsidRPr="00307538" w:rsidSect="007917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056"/>
    <w:rsid w:val="00104235"/>
    <w:rsid w:val="00174441"/>
    <w:rsid w:val="00307538"/>
    <w:rsid w:val="00340056"/>
    <w:rsid w:val="00344022"/>
    <w:rsid w:val="004166C9"/>
    <w:rsid w:val="00581C27"/>
    <w:rsid w:val="005F52F9"/>
    <w:rsid w:val="006855CE"/>
    <w:rsid w:val="007917B7"/>
    <w:rsid w:val="007C1D79"/>
    <w:rsid w:val="00A82FEF"/>
    <w:rsid w:val="00B462BA"/>
    <w:rsid w:val="00BC0697"/>
    <w:rsid w:val="00BD0BE7"/>
    <w:rsid w:val="00CC2B7E"/>
    <w:rsid w:val="00DB00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8B7B11D"/>
  <w15:chartTrackingRefBased/>
  <w15:docId w15:val="{7BE39340-F7AC-B94C-AB0C-7FF436BC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056"/>
    <w:rPr>
      <w:color w:val="0000FF"/>
      <w:u w:val="single"/>
    </w:rPr>
  </w:style>
  <w:style w:type="character" w:styleId="UnresolvedMention">
    <w:name w:val="Unresolved Mention"/>
    <w:basedOn w:val="DefaultParagraphFont"/>
    <w:uiPriority w:val="99"/>
    <w:semiHidden/>
    <w:unhideWhenUsed/>
    <w:rsid w:val="00BC0697"/>
    <w:rPr>
      <w:color w:val="605E5C"/>
      <w:shd w:val="clear" w:color="auto" w:fill="E1DFDD"/>
    </w:rPr>
  </w:style>
  <w:style w:type="character" w:styleId="FollowedHyperlink">
    <w:name w:val="FollowedHyperlink"/>
    <w:basedOn w:val="DefaultParagraphFont"/>
    <w:uiPriority w:val="99"/>
    <w:semiHidden/>
    <w:unhideWhenUsed/>
    <w:rsid w:val="00BC0697"/>
    <w:rPr>
      <w:color w:val="954F72" w:themeColor="followedHyperlink"/>
      <w:u w:val="single"/>
    </w:rPr>
  </w:style>
  <w:style w:type="character" w:customStyle="1" w:styleId="apple-converted-space">
    <w:name w:val="apple-converted-space"/>
    <w:basedOn w:val="DefaultParagraphFont"/>
    <w:rsid w:val="00BC0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accessgovernment.org/one-year-impact-of-ukraine-war-global-energy-prices-input-output-analysis/152599/#:~:text=Immediately%20following%20the%20invasion%2C%20energy,28th%20February%20to%203rd%20August" TargetMode="External"/><Relationship Id="rId13" Type="http://schemas.openxmlformats.org/officeDocument/2006/relationships/hyperlink" Target="https://www.vic.gov.au/state-electricity-commission-victoria" TargetMode="External"/><Relationship Id="rId3" Type="http://schemas.openxmlformats.org/officeDocument/2006/relationships/webSettings" Target="webSettings.xml"/><Relationship Id="rId7" Type="http://schemas.openxmlformats.org/officeDocument/2006/relationships/hyperlink" Target="http://www.bom.gov.au/climate/enso/" TargetMode="External"/><Relationship Id="rId12" Type="http://schemas.openxmlformats.org/officeDocument/2006/relationships/hyperlink" Target="https://www.premier.vic.gov.au/new-victorian-homes-go-all-electric-202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om.gov.au/climate/updates/articles/a008-el-nino-and-australia.shtml#:~:text=El%20Ni&#241;o%20years%20tend%20to,the%20spring%20and%20summer%20months" TargetMode="External"/><Relationship Id="rId11" Type="http://schemas.openxmlformats.org/officeDocument/2006/relationships/hyperlink" Target="https://www.energynetworks.com.au/news/energy-insider/2020-energy-insider/commercial-down-v-residential-up-covid-19s-electricity-impact/" TargetMode="External"/><Relationship Id="rId5" Type="http://schemas.openxmlformats.org/officeDocument/2006/relationships/hyperlink" Target="http://www.bom.gov.au/climate/updates/articles/a020.shtml" TargetMode="External"/><Relationship Id="rId15" Type="http://schemas.openxmlformats.org/officeDocument/2006/relationships/theme" Target="theme/theme1.xml"/><Relationship Id="rId10" Type="http://schemas.openxmlformats.org/officeDocument/2006/relationships/hyperlink" Target="https://www.csiro.au/en/research/technology-space/energy/Energy-data-modelling/GenCost" TargetMode="External"/><Relationship Id="rId4" Type="http://schemas.openxmlformats.org/officeDocument/2006/relationships/hyperlink" Target="http://www.bom.gov.au/climate/enso/outlook/" TargetMode="External"/><Relationship Id="rId9" Type="http://schemas.openxmlformats.org/officeDocument/2006/relationships/hyperlink" Target="https://www.cleanenergyregulator.gov.au/RET/Forms-and-resources/Postcode-data-for-small-scale-install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Gerak</dc:creator>
  <cp:keywords/>
  <dc:description/>
  <cp:lastModifiedBy>Chloe Gerak</cp:lastModifiedBy>
  <cp:revision>2</cp:revision>
  <dcterms:created xsi:type="dcterms:W3CDTF">2023-08-10T11:48:00Z</dcterms:created>
  <dcterms:modified xsi:type="dcterms:W3CDTF">2023-08-10T11:48:00Z</dcterms:modified>
</cp:coreProperties>
</file>