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-335886</wp:posOffset>
                </wp:positionH>
                <wp:positionV relativeFrom="paragraph">
                  <wp:posOffset>248505</wp:posOffset>
                </wp:positionV>
                <wp:extent cx="6734175" cy="5589767"/>
                <wp:effectExtent b="11430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558976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-335886</wp:posOffset>
                </wp:positionH>
                <wp:positionV relativeFrom="paragraph">
                  <wp:posOffset>248505</wp:posOffset>
                </wp:positionV>
                <wp:extent cx="6762750" cy="560119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5601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</w:t>
      </w:r>
    </w:p>
    <w:p w:rsidR="00000000" w:rsidDel="00000000" w:rsidP="00000000" w:rsidRDefault="00000000" w:rsidRPr="00000000" w14:paraId="00000004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___________</w:t>
      </w:r>
    </w:p>
    <w:p w:rsidR="00000000" w:rsidDel="00000000" w:rsidP="00000000" w:rsidRDefault="00000000" w:rsidRPr="00000000" w14:paraId="00000005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указывается орган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ООО (АО, ПАО) «_______________»</w:t>
      </w:r>
    </w:p>
    <w:p w:rsidR="00000000" w:rsidDel="00000000" w:rsidP="00000000" w:rsidRDefault="00000000" w:rsidRPr="00000000" w14:paraId="00000006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 «___» _________ 202__ г. № _____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Перечень лиц, признаваемых взаимозависимыми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____ «______________» в соответствии</w:t>
        <w:br w:type="textWrapping"/>
        <w:t xml:space="preserve">с положениями части первой Налогового кодекса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(новая редакция)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33"/>
        <w:tblW w:w="9631.000000000002" w:type="dxa"/>
        <w:jc w:val="left"/>
        <w:tblLayout w:type="fixed"/>
        <w:tblLook w:val="0400"/>
      </w:tblPr>
      <w:tblGrid>
        <w:gridCol w:w="709"/>
        <w:gridCol w:w="3827"/>
        <w:gridCol w:w="2268"/>
        <w:gridCol w:w="2827"/>
        <w:tblGridChange w:id="0">
          <w:tblGrid>
            <w:gridCol w:w="709"/>
            <w:gridCol w:w="3827"/>
            <w:gridCol w:w="2268"/>
            <w:gridCol w:w="2827"/>
          </w:tblGrid>
        </w:tblGridChange>
      </w:tblGrid>
      <w:tr>
        <w:trPr>
          <w:cantSplit w:val="1"/>
          <w:trHeight w:val="945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взаимозависимого лица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ИНН/ регистрационный номер в стране инкорпорации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Основание признания взаимозависимости </w:t>
              <w:br w:type="textWrapping"/>
              <w:t xml:space="preserve">в соответствии </w:t>
              <w:br w:type="textWrapping"/>
              <w:t xml:space="preserve">с положениями</w:t>
              <w:br w:type="textWrapping"/>
              <w:t xml:space="preserve">Налогового кодекса Российской Федерации</w:t>
              <w:br w:type="textWrapping"/>
              <w:t xml:space="preserve">(НК РФ)</w:t>
            </w:r>
          </w:p>
        </w:tc>
      </w:tr>
      <w:tr>
        <w:trPr>
          <w:cantSplit w:val="1"/>
          <w:trHeight w:val="1088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ПАО «Газпром»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7736050003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Подпункт 1 пункта 2</w:t>
              <w:br w:type="textWrapping"/>
              <w:t xml:space="preserve">статьи 105.1 НК РФ</w:t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целей применения Положения о закупках товаров, работ, услуг ПАО «Газпром» и Компаний Группы Газпром, утвержденного решением Совета директоров ПАО «Газпром» от 19 октября 2018 г. № 3168.</w:t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ИНСТРУКЦИЯ ПО ЗАПОЛНЕНИЮ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Слова «(новая редакция)» в заголовке таблицы указываются в случае, когда Перечень утверждается в новой редакции. В новой редакции Перечень утверждается в случаях, когда изменения вносятся в отношении более 10 юридических лиц и/или в случае, когда ранее было принято два и более решений участника/акционера об изменении Перечня.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Слова «решением единственного участника» меняются на слова «решением единственного акционера» в зависимости от организационно-правовой формы Компании Группы Газпром.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заголовочной части таблицы печатается жирным шрифтом Times New Roman № 12, без абзацного отступа, с одинарным междустрочным интервалом с выравниванием содержимого таблицы по центру и верхним вертикальным выравниванием ячеек.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таблица печатается более чем на одной странице, на второй и каждой последующей странице в начальной строке, перенесенной (без разрыва) таблицы повторяется ее заголовочная часть.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Строки таблицы печатаются шрифтом Times New Roman № 12, без абзацного отступа, с одинарным междустрочным интервалом с вертикальным выравниванием ячеек по центру. При этом содержимое строк столбца 1 таблицы выравнивается по центру, а содержимое строк столбцов 2-4 таблицы – по левому полю.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Слова «подпункт», «пункта», «статьи» указываются полностью.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Форма А</w:t>
    </w:r>
  </w:p>
  <w:p w:rsidR="00000000" w:rsidDel="00000000" w:rsidP="00000000" w:rsidRDefault="00000000" w:rsidRPr="00000000" w14:paraId="0000002D">
    <w:pP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Приложения 1.1</w:t>
    </w:r>
  </w:p>
  <w:p w:rsidR="00000000" w:rsidDel="00000000" w:rsidP="00000000" w:rsidRDefault="00000000" w:rsidRPr="00000000" w14:paraId="0000002E">
    <w:pP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к исх. от ______№________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