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333EB69A" w:rsidR="00A274A9" w:rsidRPr="00391F26" w:rsidRDefault="006539E0" w:rsidP="006539E0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3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6539E0">
            <w:rPr>
              <w:rFonts w:eastAsiaTheme="majorEastAsia" w:cstheme="majorBidi"/>
              <w:b/>
              <w:bCs/>
              <w:sz w:val="40"/>
              <w:szCs w:val="40"/>
            </w:rPr>
            <w:t>Dossier d’information EID-MED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9F3A91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7E657CDB" w14:textId="3175EAC8" w:rsidR="001A67C4" w:rsidRPr="009F3A91" w:rsidRDefault="009F3A91" w:rsidP="009F3A91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9F3A91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F3A91" w:rsidRPr="009F3A91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39E0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A91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2F07-B2AE-42C6-9047-36F002A5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2015-06-23T15:39:00Z</dcterms:modified>
</cp:coreProperties>
</file>