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left"/>
      </w:pPr>
      <w:r>
        <w:rPr>
          <w:b/>
          <w:bCs/>
          <w:color w:val="2E5496"/>
          <w:spacing w:val="40"/>
          <w:sz w:val="20"/>
          <w:szCs w:val="20"/>
        </w:rPr>
        <w:t xml:space="preserve">WISSENSCHAFTLICHES ARBEITSPAPIER</w:t>
      </w:r>
    </w:p>
    <w:p>
      <w:pPr>
        <w:spacing w:after="200"/>
        <w:jc w:val="left"/>
      </w:pPr>
      <w:r>
        <w:rPr>
          <w:b/>
          <w:bCs/>
          <w:color w:val="1F3864"/>
          <w:sz w:val="52"/>
          <w:szCs w:val="52"/>
        </w:rPr>
        <w:t xml:space="preserve">Vom 30-Sekunden-Video zur Pornosucht?</w:t>
      </w:r>
    </w:p>
    <w:p>
      <w:pPr>
        <w:pBdr>
          <w:bottom w:val="single" w:color="2E5496" w:sz="12" w:space="12"/>
        </w:pBdr>
        <w:spacing w:after="600"/>
        <w:jc w:val="left"/>
      </w:pPr>
      <w:r>
        <w:rPr>
          <w:color w:val="595959"/>
          <w:sz w:val="28"/>
          <w:szCs w:val="28"/>
        </w:rPr>
        <w:t xml:space="preserve">Algorithmische Filterblasen auf Kurzvideo-Plattformen, politisches Agenda-Setting und der Marketing-Funnel kommerzieller Erotikplattformen – eine Analyse zum Verhalten Jugendlicher und junger Erwachsener</w:t>
      </w:r>
    </w:p>
    <w:p>
      <w:pPr>
        <w:pBdr>
          <w:left w:val="single" w:color="2E5496" w:sz="24" w:space="8"/>
        </w:pBdr>
        <w:shd w:fill="EAF1FB" w:color="auto" w:val="clear"/>
        <w:spacing w:after="60" w:before="120"/>
        <w:ind w:left="200" w:right="200"/>
      </w:pPr>
      <w:r>
        <w:rPr>
          <w:b/>
          <w:bCs/>
          <w:color w:val="1F3864"/>
        </w:rPr>
        <w:t xml:space="preserve">Leitfrage</w:t>
      </w:r>
    </w:p>
    <w:p>
      <w:pPr>
        <w:pBdr>
          <w:left w:val="single" w:color="2E5496" w:sz="24" w:space="8"/>
        </w:pBdr>
        <w:shd w:fill="EAF1FB" w:color="auto" w:val="clear"/>
        <w:spacing w:after="200" w:line="264"/>
        <w:ind w:left="200" w:right="200"/>
      </w:pPr>
      <w:r>
        <w:t xml:space="preserve">Inwieweit führen algorithmisch kuratierte Kurzvideo-Plattformen (TikTok, Instagram Reels, YouTube Shorts, Snapchat) Jugendliche und junge Erwachsene – insbesondere junge Männer – über sich selbst verstärkende Inhaltsblasen und gezielt gestaltete Marketing-Funnels von beiläufigem Konsum zu sexualisierten Inhalten und kommerziellen Erotikangeboten wie OnlyFans, und sind die dabei entstehenden Blasen reversibel?</w:t>
      </w:r>
    </w:p>
    <w:p>
      <w:pPr>
        <w:spacing w:after="60" w:before="600"/>
      </w:pPr>
      <w:r>
        <w:rPr>
          <w:b/>
          <w:bCs/>
          <w:sz w:val="20"/>
          <w:szCs w:val="20"/>
        </w:rPr>
        <w:t xml:space="preserve">Art der Arbeit: </w:t>
      </w:r>
      <w:r>
        <w:rPr>
          <w:sz w:val="20"/>
          <w:szCs w:val="20"/>
        </w:rPr>
        <w:t xml:space="preserve">Narrative Übersichtsarbeit (Rapid Review) mit Sekundärdatenanalyse und qualitativer Dokumentenanalyse</w:t>
      </w:r>
    </w:p>
    <w:p>
      <w:pPr>
        <w:spacing w:after="60"/>
      </w:pPr>
      <w:r>
        <w:rPr>
          <w:b/>
          <w:bCs/>
          <w:sz w:val="20"/>
          <w:szCs w:val="20"/>
        </w:rPr>
        <w:t xml:space="preserve">Verwendungszweck: </w:t>
      </w:r>
      <w:r>
        <w:rPr>
          <w:sz w:val="20"/>
          <w:szCs w:val="20"/>
        </w:rPr>
        <w:t xml:space="preserve">Datengrundlage für eine präventive Schutzsoftware für Kinder, Jugendliche und Erwachsene</w:t>
      </w:r>
    </w:p>
    <w:p>
      <w:pPr>
        <w:spacing w:after="60"/>
      </w:pPr>
      <w:r>
        <w:rPr>
          <w:b/>
          <w:bCs/>
          <w:sz w:val="20"/>
          <w:szCs w:val="20"/>
        </w:rPr>
        <w:t xml:space="preserve">Recherchestand: </w:t>
      </w:r>
      <w:r>
        <w:rPr>
          <w:sz w:val="20"/>
          <w:szCs w:val="20"/>
        </w:rPr>
        <w:t xml:space="preserve">29. September 2026</w:t>
      </w:r>
    </w:p>
    <w:p>
      <w:pPr>
        <w:spacing w:after="60"/>
      </w:pPr>
      <w:r>
        <w:rPr>
          <w:b/>
          <w:bCs/>
          <w:sz w:val="20"/>
          <w:szCs w:val="20"/>
        </w:rPr>
        <w:t xml:space="preserve">Sprache der Quellen: </w:t>
      </w:r>
      <w:r>
        <w:rPr>
          <w:sz w:val="20"/>
          <w:szCs w:val="20"/>
        </w:rPr>
        <w:t xml:space="preserve">Deutsch und Englisch; englische Befunde sinngemäß übersetzt</w:t>
      </w:r>
    </w:p>
    <w:p>
      <w:r>
        <w:br w:type="page"/>
      </w:r>
    </w:p>
    <w:p>
      <w:pPr>
        <w:spacing w:after="200"/>
      </w:pPr>
      <w:r>
        <w:rPr>
          <w:b/>
          <w:bCs/>
          <w:color w:val="1F3864"/>
          <w:sz w:val="32"/>
          <w:szCs w:val="32"/>
        </w:rPr>
        <w:t xml:space="preserve">Inhaltsverzeichnis</w:t>
      </w:r>
    </w:p>
    <w:p>
      <w:pPr>
        <w:tabs>
          <w:tab w:val="right" w:pos="9070" w:leader="dot"/>
        </w:tabs>
        <w:spacing w:after="0" w:before="60" w:line="228"/>
        <w:ind w:left="0"/>
      </w:pPr>
      <w:r>
        <w:rPr>
          <w:b/>
          <w:bCs/>
          <w:sz w:val="19"/>
          <w:szCs w:val="19"/>
        </w:rPr>
        <w:t xml:space="preserve">Zusammenfassung</w:t>
      </w:r>
      <w:r>
        <w:rPr>
          <w:b/>
          <w:bCs/>
          <w:sz w:val="19"/>
          <w:szCs w:val="19"/>
        </w:rPr>
        <w:t xml:space="preserve">	3</w:t>
      </w:r>
    </w:p>
    <w:p>
      <w:pPr>
        <w:tabs>
          <w:tab w:val="right" w:pos="9070" w:leader="dot"/>
        </w:tabs>
        <w:spacing w:after="0" w:before="60" w:line="228"/>
        <w:ind w:left="0"/>
      </w:pPr>
      <w:r>
        <w:rPr>
          <w:b/>
          <w:bCs/>
          <w:sz w:val="19"/>
          <w:szCs w:val="19"/>
        </w:rPr>
        <w:t xml:space="preserve">1  Einleitung und Problemstellung</w:t>
      </w:r>
      <w:r>
        <w:rPr>
          <w:b/>
          <w:bCs/>
          <w:sz w:val="19"/>
          <w:szCs w:val="19"/>
        </w:rPr>
        <w:t xml:space="preserve">	4</w:t>
      </w:r>
    </w:p>
    <w:p>
      <w:pPr>
        <w:tabs>
          <w:tab w:val="right" w:pos="9070" w:leader="dot"/>
        </w:tabs>
        <w:spacing w:after="0" w:before="60" w:line="228"/>
        <w:ind w:left="0"/>
      </w:pPr>
      <w:r>
        <w:rPr>
          <w:b/>
          <w:bCs/>
          <w:sz w:val="19"/>
          <w:szCs w:val="19"/>
        </w:rPr>
        <w:t xml:space="preserve">2  Leitfrage, Teilfragen, Hypothesen und Begriffe</w:t>
      </w:r>
      <w:r>
        <w:rPr>
          <w:b/>
          <w:bCs/>
          <w:sz w:val="19"/>
          <w:szCs w:val="19"/>
        </w:rPr>
        <w:t xml:space="preserve">	4</w:t>
      </w:r>
    </w:p>
    <w:p>
      <w:pPr>
        <w:tabs>
          <w:tab w:val="right" w:pos="9070" w:leader="dot"/>
        </w:tabs>
        <w:spacing w:after="0" w:before="0" w:line="228"/>
        <w:ind w:left="400"/>
      </w:pPr>
      <w:r>
        <w:rPr>
          <w:b w:val="false"/>
          <w:bCs w:val="false"/>
          <w:sz w:val="18"/>
          <w:szCs w:val="18"/>
        </w:rPr>
        <w:t xml:space="preserve">2.1  Leitfrage und Teilfragen</w:t>
      </w:r>
      <w:r>
        <w:rPr>
          <w:b w:val="false"/>
          <w:bCs w:val="false"/>
          <w:sz w:val="18"/>
          <w:szCs w:val="18"/>
        </w:rPr>
        <w:t xml:space="preserve">	4</w:t>
      </w:r>
    </w:p>
    <w:p>
      <w:pPr>
        <w:tabs>
          <w:tab w:val="right" w:pos="9070" w:leader="dot"/>
        </w:tabs>
        <w:spacing w:after="0" w:before="0" w:line="228"/>
        <w:ind w:left="400"/>
      </w:pPr>
      <w:r>
        <w:rPr>
          <w:b w:val="false"/>
          <w:bCs w:val="false"/>
          <w:sz w:val="18"/>
          <w:szCs w:val="18"/>
        </w:rPr>
        <w:t xml:space="preserve">2.2  Hypothesen</w:t>
      </w:r>
      <w:r>
        <w:rPr>
          <w:b w:val="false"/>
          <w:bCs w:val="false"/>
          <w:sz w:val="18"/>
          <w:szCs w:val="18"/>
        </w:rPr>
        <w:t xml:space="preserve">	5</w:t>
      </w:r>
    </w:p>
    <w:p>
      <w:pPr>
        <w:tabs>
          <w:tab w:val="right" w:pos="9070" w:leader="dot"/>
        </w:tabs>
        <w:spacing w:after="0" w:before="0" w:line="228"/>
        <w:ind w:left="400"/>
      </w:pPr>
      <w:r>
        <w:rPr>
          <w:b w:val="false"/>
          <w:bCs w:val="false"/>
          <w:sz w:val="18"/>
          <w:szCs w:val="18"/>
        </w:rPr>
        <w:t xml:space="preserve">2.3  Zentrale Begriffe</w:t>
      </w:r>
      <w:r>
        <w:rPr>
          <w:b w:val="false"/>
          <w:bCs w:val="false"/>
          <w:sz w:val="18"/>
          <w:szCs w:val="18"/>
        </w:rPr>
        <w:t xml:space="preserve">	5</w:t>
      </w:r>
    </w:p>
    <w:p>
      <w:pPr>
        <w:tabs>
          <w:tab w:val="right" w:pos="9070" w:leader="dot"/>
        </w:tabs>
        <w:spacing w:after="0" w:before="60" w:line="228"/>
        <w:ind w:left="0"/>
      </w:pPr>
      <w:r>
        <w:rPr>
          <w:b/>
          <w:bCs/>
          <w:sz w:val="19"/>
          <w:szCs w:val="19"/>
        </w:rPr>
        <w:t xml:space="preserve">3  Methodik</w:t>
      </w:r>
      <w:r>
        <w:rPr>
          <w:b/>
          <w:bCs/>
          <w:sz w:val="19"/>
          <w:szCs w:val="19"/>
        </w:rPr>
        <w:t xml:space="preserve">	6</w:t>
      </w:r>
    </w:p>
    <w:p>
      <w:pPr>
        <w:tabs>
          <w:tab w:val="right" w:pos="9070" w:leader="dot"/>
        </w:tabs>
        <w:spacing w:after="0" w:before="0" w:line="228"/>
        <w:ind w:left="400"/>
      </w:pPr>
      <w:r>
        <w:rPr>
          <w:b w:val="false"/>
          <w:bCs w:val="false"/>
          <w:sz w:val="18"/>
          <w:szCs w:val="18"/>
        </w:rPr>
        <w:t xml:space="preserve">3.1  Design</w:t>
      </w:r>
      <w:r>
        <w:rPr>
          <w:b w:val="false"/>
          <w:bCs w:val="false"/>
          <w:sz w:val="18"/>
          <w:szCs w:val="18"/>
        </w:rPr>
        <w:t xml:space="preserve">	6</w:t>
      </w:r>
    </w:p>
    <w:p>
      <w:pPr>
        <w:tabs>
          <w:tab w:val="right" w:pos="9070" w:leader="dot"/>
        </w:tabs>
        <w:spacing w:after="0" w:before="0" w:line="228"/>
        <w:ind w:left="400"/>
      </w:pPr>
      <w:r>
        <w:rPr>
          <w:b w:val="false"/>
          <w:bCs w:val="false"/>
          <w:sz w:val="18"/>
          <w:szCs w:val="18"/>
        </w:rPr>
        <w:t xml:space="preserve">3.2  Quellentypen und Evidenzgrade</w:t>
      </w:r>
      <w:r>
        <w:rPr>
          <w:b w:val="false"/>
          <w:bCs w:val="false"/>
          <w:sz w:val="18"/>
          <w:szCs w:val="18"/>
        </w:rPr>
        <w:t xml:space="preserve">	6</w:t>
      </w:r>
    </w:p>
    <w:p>
      <w:pPr>
        <w:tabs>
          <w:tab w:val="right" w:pos="9070" w:leader="dot"/>
        </w:tabs>
        <w:spacing w:after="0" w:before="0" w:line="228"/>
        <w:ind w:left="400"/>
      </w:pPr>
      <w:r>
        <w:rPr>
          <w:b w:val="false"/>
          <w:bCs w:val="false"/>
          <w:sz w:val="18"/>
          <w:szCs w:val="18"/>
        </w:rPr>
        <w:t xml:space="preserve">3.3  Forschungsethische Entscheidung</w:t>
      </w:r>
      <w:r>
        <w:rPr>
          <w:b w:val="false"/>
          <w:bCs w:val="false"/>
          <w:sz w:val="18"/>
          <w:szCs w:val="18"/>
        </w:rPr>
        <w:t xml:space="preserve">	6</w:t>
      </w:r>
    </w:p>
    <w:p>
      <w:pPr>
        <w:tabs>
          <w:tab w:val="right" w:pos="9070" w:leader="dot"/>
        </w:tabs>
        <w:spacing w:after="0" w:before="0" w:line="228"/>
        <w:ind w:left="400"/>
      </w:pPr>
      <w:r>
        <w:rPr>
          <w:b w:val="false"/>
          <w:bCs w:val="false"/>
          <w:sz w:val="18"/>
          <w:szCs w:val="18"/>
        </w:rPr>
        <w:t xml:space="preserve">3.4  Grenzen des Vorgehens</w:t>
      </w:r>
      <w:r>
        <w:rPr>
          <w:b w:val="false"/>
          <w:bCs w:val="false"/>
          <w:sz w:val="18"/>
          <w:szCs w:val="18"/>
        </w:rPr>
        <w:t xml:space="preserve">	6</w:t>
      </w:r>
    </w:p>
    <w:p>
      <w:pPr>
        <w:tabs>
          <w:tab w:val="right" w:pos="9070" w:leader="dot"/>
        </w:tabs>
        <w:spacing w:after="0" w:before="60" w:line="228"/>
        <w:ind w:left="0"/>
      </w:pPr>
      <w:r>
        <w:rPr>
          <w:b/>
          <w:bCs/>
          <w:sz w:val="19"/>
          <w:szCs w:val="19"/>
        </w:rPr>
        <w:t xml:space="preserve">4  Datenlage: Nutzung und problematische Nutzung</w:t>
      </w:r>
      <w:r>
        <w:rPr>
          <w:b/>
          <w:bCs/>
          <w:sz w:val="19"/>
          <w:szCs w:val="19"/>
        </w:rPr>
        <w:t xml:space="preserve">	7</w:t>
      </w:r>
    </w:p>
    <w:p>
      <w:pPr>
        <w:tabs>
          <w:tab w:val="right" w:pos="9070" w:leader="dot"/>
        </w:tabs>
        <w:spacing w:after="0" w:before="60" w:line="228"/>
        <w:ind w:left="0"/>
      </w:pPr>
      <w:r>
        <w:rPr>
          <w:b/>
          <w:bCs/>
          <w:sz w:val="19"/>
          <w:szCs w:val="19"/>
        </w:rPr>
        <w:t xml:space="preserve">5  Die Mechanik der Empfehlungssysteme</w:t>
      </w:r>
      <w:r>
        <w:rPr>
          <w:b/>
          <w:bCs/>
          <w:sz w:val="19"/>
          <w:szCs w:val="19"/>
        </w:rPr>
        <w:t xml:space="preserve">	7</w:t>
      </w:r>
    </w:p>
    <w:p>
      <w:pPr>
        <w:tabs>
          <w:tab w:val="right" w:pos="9070" w:leader="dot"/>
        </w:tabs>
        <w:spacing w:after="0" w:before="0" w:line="228"/>
        <w:ind w:left="400"/>
      </w:pPr>
      <w:r>
        <w:rPr>
          <w:b w:val="false"/>
          <w:bCs w:val="false"/>
          <w:sz w:val="18"/>
          <w:szCs w:val="18"/>
        </w:rPr>
        <w:t xml:space="preserve">5.1  Implizite Signale statt bewusster Wahl</w:t>
      </w:r>
      <w:r>
        <w:rPr>
          <w:b w:val="false"/>
          <w:bCs w:val="false"/>
          <w:sz w:val="18"/>
          <w:szCs w:val="18"/>
        </w:rPr>
        <w:t xml:space="preserve">	7</w:t>
      </w:r>
    </w:p>
    <w:p>
      <w:pPr>
        <w:tabs>
          <w:tab w:val="right" w:pos="9070" w:leader="dot"/>
        </w:tabs>
        <w:spacing w:after="0" w:before="0" w:line="228"/>
        <w:ind w:left="400"/>
      </w:pPr>
      <w:r>
        <w:rPr>
          <w:b w:val="false"/>
          <w:bCs w:val="false"/>
          <w:sz w:val="18"/>
          <w:szCs w:val="18"/>
        </w:rPr>
        <w:t xml:space="preserve">5.2  Gestaltungsmerkmale mit Suchtpotenzial</w:t>
      </w:r>
      <w:r>
        <w:rPr>
          <w:b w:val="false"/>
          <w:bCs w:val="false"/>
          <w:sz w:val="18"/>
          <w:szCs w:val="18"/>
        </w:rPr>
        <w:t xml:space="preserve">	8</w:t>
      </w:r>
    </w:p>
    <w:p>
      <w:pPr>
        <w:tabs>
          <w:tab w:val="right" w:pos="9070" w:leader="dot"/>
        </w:tabs>
        <w:spacing w:after="0" w:before="60" w:line="228"/>
        <w:ind w:left="0"/>
      </w:pPr>
      <w:r>
        <w:rPr>
          <w:b/>
          <w:bCs/>
          <w:sz w:val="19"/>
          <w:szCs w:val="19"/>
        </w:rPr>
        <w:t xml:space="preserve">6  Filterblasen: Entstehung, Wirkung und politisches Agenda-Setting</w:t>
      </w:r>
      <w:r>
        <w:rPr>
          <w:b/>
          <w:bCs/>
          <w:sz w:val="19"/>
          <w:szCs w:val="19"/>
        </w:rPr>
        <w:t xml:space="preserve">	8</w:t>
      </w:r>
    </w:p>
    <w:p>
      <w:pPr>
        <w:tabs>
          <w:tab w:val="right" w:pos="9070" w:leader="dot"/>
        </w:tabs>
        <w:spacing w:after="0" w:before="0" w:line="228"/>
        <w:ind w:left="400"/>
      </w:pPr>
      <w:r>
        <w:rPr>
          <w:b w:val="false"/>
          <w:bCs w:val="false"/>
          <w:sz w:val="18"/>
          <w:szCs w:val="18"/>
        </w:rPr>
        <w:t xml:space="preserve">6.1  Empirische Belege für rasche Verengung</w:t>
      </w:r>
      <w:r>
        <w:rPr>
          <w:b w:val="false"/>
          <w:bCs w:val="false"/>
          <w:sz w:val="18"/>
          <w:szCs w:val="18"/>
        </w:rPr>
        <w:t xml:space="preserve">	8</w:t>
      </w:r>
    </w:p>
    <w:p>
      <w:pPr>
        <w:tabs>
          <w:tab w:val="right" w:pos="9070" w:leader="dot"/>
        </w:tabs>
        <w:spacing w:after="0" w:before="0" w:line="228"/>
        <w:ind w:left="400"/>
      </w:pPr>
      <w:r>
        <w:rPr>
          <w:b w:val="false"/>
          <w:bCs w:val="false"/>
          <w:sz w:val="18"/>
          <w:szCs w:val="18"/>
        </w:rPr>
        <w:t xml:space="preserve">6.2  Algorithmisches Agenda-Setting</w:t>
      </w:r>
      <w:r>
        <w:rPr>
          <w:b w:val="false"/>
          <w:bCs w:val="false"/>
          <w:sz w:val="18"/>
          <w:szCs w:val="18"/>
        </w:rPr>
        <w:t xml:space="preserve">	9</w:t>
      </w:r>
    </w:p>
    <w:p>
      <w:pPr>
        <w:tabs>
          <w:tab w:val="right" w:pos="9070" w:leader="dot"/>
        </w:tabs>
        <w:spacing w:after="0" w:before="0" w:line="228"/>
        <w:ind w:left="400"/>
      </w:pPr>
      <w:r>
        <w:rPr>
          <w:b w:val="false"/>
          <w:bCs w:val="false"/>
          <w:sz w:val="18"/>
          <w:szCs w:val="18"/>
        </w:rPr>
        <w:t xml:space="preserve">6.3  Gegenbefunde und Differenzierung</w:t>
      </w:r>
      <w:r>
        <w:rPr>
          <w:b w:val="false"/>
          <w:bCs w:val="false"/>
          <w:sz w:val="18"/>
          <w:szCs w:val="18"/>
        </w:rPr>
        <w:t xml:space="preserve">	9</w:t>
      </w:r>
    </w:p>
    <w:p>
      <w:pPr>
        <w:tabs>
          <w:tab w:val="right" w:pos="9070" w:leader="dot"/>
        </w:tabs>
        <w:spacing w:after="0" w:before="60" w:line="228"/>
        <w:ind w:left="0"/>
      </w:pPr>
      <w:r>
        <w:rPr>
          <w:b/>
          <w:bCs/>
          <w:sz w:val="19"/>
          <w:szCs w:val="19"/>
        </w:rPr>
        <w:t xml:space="preserve">7  Pornografie: Exposition und problematischer Konsum</w:t>
      </w:r>
      <w:r>
        <w:rPr>
          <w:b/>
          <w:bCs/>
          <w:sz w:val="19"/>
          <w:szCs w:val="19"/>
        </w:rPr>
        <w:t xml:space="preserve">	10</w:t>
      </w:r>
    </w:p>
    <w:p>
      <w:pPr>
        <w:tabs>
          <w:tab w:val="right" w:pos="9070" w:leader="dot"/>
        </w:tabs>
        <w:spacing w:after="0" w:before="0" w:line="228"/>
        <w:ind w:left="400"/>
      </w:pPr>
      <w:r>
        <w:rPr>
          <w:b w:val="false"/>
          <w:bCs w:val="false"/>
          <w:sz w:val="18"/>
          <w:szCs w:val="18"/>
        </w:rPr>
        <w:t xml:space="preserve">7.1  Erstkontakt und Exposition</w:t>
      </w:r>
      <w:r>
        <w:rPr>
          <w:b w:val="false"/>
          <w:bCs w:val="false"/>
          <w:sz w:val="18"/>
          <w:szCs w:val="18"/>
        </w:rPr>
        <w:t xml:space="preserve">	10</w:t>
      </w:r>
    </w:p>
    <w:p>
      <w:pPr>
        <w:tabs>
          <w:tab w:val="right" w:pos="9070" w:leader="dot"/>
        </w:tabs>
        <w:spacing w:after="0" w:before="0" w:line="228"/>
        <w:ind w:left="400"/>
      </w:pPr>
      <w:r>
        <w:rPr>
          <w:b w:val="false"/>
          <w:bCs w:val="false"/>
          <w:sz w:val="18"/>
          <w:szCs w:val="18"/>
        </w:rPr>
        <w:t xml:space="preserve">7.2  „Pornosucht“ – was die Forschung darunter versteht</w:t>
      </w:r>
      <w:r>
        <w:rPr>
          <w:b w:val="false"/>
          <w:bCs w:val="false"/>
          <w:sz w:val="18"/>
          <w:szCs w:val="18"/>
        </w:rPr>
        <w:t xml:space="preserve">	11</w:t>
      </w:r>
    </w:p>
    <w:p>
      <w:pPr>
        <w:tabs>
          <w:tab w:val="right" w:pos="9070" w:leader="dot"/>
        </w:tabs>
        <w:spacing w:after="0" w:before="60" w:line="228"/>
        <w:ind w:left="0"/>
      </w:pPr>
      <w:r>
        <w:rPr>
          <w:b/>
          <w:bCs/>
          <w:sz w:val="19"/>
          <w:szCs w:val="19"/>
        </w:rPr>
        <w:t xml:space="preserve">8  Der Funnel: Von der Kurzvideo-Plattform zu OnlyFans</w:t>
      </w:r>
      <w:r>
        <w:rPr>
          <w:b/>
          <w:bCs/>
          <w:sz w:val="19"/>
          <w:szCs w:val="19"/>
        </w:rPr>
        <w:t xml:space="preserve">	11</w:t>
      </w:r>
    </w:p>
    <w:p>
      <w:pPr>
        <w:tabs>
          <w:tab w:val="right" w:pos="9070" w:leader="dot"/>
        </w:tabs>
        <w:spacing w:after="0" w:before="0" w:line="228"/>
        <w:ind w:left="400"/>
      </w:pPr>
      <w:r>
        <w:rPr>
          <w:b w:val="false"/>
          <w:bCs w:val="false"/>
          <w:sz w:val="18"/>
          <w:szCs w:val="18"/>
        </w:rPr>
        <w:t xml:space="preserve">8.1  Ökonomischer Rahmen</w:t>
      </w:r>
      <w:r>
        <w:rPr>
          <w:b w:val="false"/>
          <w:bCs w:val="false"/>
          <w:sz w:val="18"/>
          <w:szCs w:val="18"/>
        </w:rPr>
        <w:t xml:space="preserve">	11</w:t>
      </w:r>
    </w:p>
    <w:p>
      <w:pPr>
        <w:tabs>
          <w:tab w:val="right" w:pos="9070" w:leader="dot"/>
        </w:tabs>
        <w:spacing w:after="0" w:before="0" w:line="228"/>
        <w:ind w:left="400"/>
      </w:pPr>
      <w:r>
        <w:rPr>
          <w:b w:val="false"/>
          <w:bCs w:val="false"/>
          <w:sz w:val="18"/>
          <w:szCs w:val="18"/>
        </w:rPr>
        <w:t xml:space="preserve">8.2  Funnel-Architektur (Dokumentenanalyse)</w:t>
      </w:r>
      <w:r>
        <w:rPr>
          <w:b w:val="false"/>
          <w:bCs w:val="false"/>
          <w:sz w:val="18"/>
          <w:szCs w:val="18"/>
        </w:rPr>
        <w:t xml:space="preserve">	12</w:t>
      </w:r>
    </w:p>
    <w:p>
      <w:pPr>
        <w:tabs>
          <w:tab w:val="right" w:pos="9070" w:leader="dot"/>
        </w:tabs>
        <w:spacing w:after="0" w:before="0" w:line="228"/>
        <w:ind w:left="400"/>
      </w:pPr>
      <w:r>
        <w:rPr>
          <w:b w:val="false"/>
          <w:bCs w:val="false"/>
          <w:sz w:val="18"/>
          <w:szCs w:val="18"/>
        </w:rPr>
        <w:t xml:space="preserve">8.3  Monetarisierung von Nähe: Die Chatter-Ökonomie</w:t>
      </w:r>
      <w:r>
        <w:rPr>
          <w:b w:val="false"/>
          <w:bCs w:val="false"/>
          <w:sz w:val="18"/>
          <w:szCs w:val="18"/>
        </w:rPr>
        <w:t xml:space="preserve">	13</w:t>
      </w:r>
    </w:p>
    <w:p>
      <w:pPr>
        <w:tabs>
          <w:tab w:val="right" w:pos="9070" w:leader="dot"/>
        </w:tabs>
        <w:spacing w:after="0" w:before="0" w:line="228"/>
        <w:ind w:left="400"/>
      </w:pPr>
      <w:r>
        <w:rPr>
          <w:b w:val="false"/>
          <w:bCs w:val="false"/>
          <w:sz w:val="18"/>
          <w:szCs w:val="18"/>
        </w:rPr>
        <w:t xml:space="preserve">8.4  Minderjährige im Vorfeld des Funnels</w:t>
      </w:r>
      <w:r>
        <w:rPr>
          <w:b w:val="false"/>
          <w:bCs w:val="false"/>
          <w:sz w:val="18"/>
          <w:szCs w:val="18"/>
        </w:rPr>
        <w:t xml:space="preserve">	13</w:t>
      </w:r>
    </w:p>
    <w:p>
      <w:pPr>
        <w:tabs>
          <w:tab w:val="right" w:pos="9070" w:leader="dot"/>
        </w:tabs>
        <w:spacing w:after="0" w:before="60" w:line="228"/>
        <w:ind w:left="0"/>
      </w:pPr>
      <w:r>
        <w:rPr>
          <w:b/>
          <w:bCs/>
          <w:sz w:val="19"/>
          <w:szCs w:val="19"/>
        </w:rPr>
        <w:t xml:space="preserve">9  Verhaltensanalyse</w:t>
      </w:r>
      <w:r>
        <w:rPr>
          <w:b/>
          <w:bCs/>
          <w:sz w:val="19"/>
          <w:szCs w:val="19"/>
        </w:rPr>
        <w:t xml:space="preserve">	13</w:t>
      </w:r>
    </w:p>
    <w:p>
      <w:pPr>
        <w:tabs>
          <w:tab w:val="right" w:pos="9070" w:leader="dot"/>
        </w:tabs>
        <w:spacing w:after="0" w:before="0" w:line="228"/>
        <w:ind w:left="400"/>
      </w:pPr>
      <w:r>
        <w:rPr>
          <w:b w:val="false"/>
          <w:bCs w:val="false"/>
          <w:sz w:val="18"/>
          <w:szCs w:val="18"/>
        </w:rPr>
        <w:t xml:space="preserve">9.1  Typologie: Die Mehrheit und die Risikogruppen</w:t>
      </w:r>
      <w:r>
        <w:rPr>
          <w:b w:val="false"/>
          <w:bCs w:val="false"/>
          <w:sz w:val="18"/>
          <w:szCs w:val="18"/>
        </w:rPr>
        <w:t xml:space="preserve">	13</w:t>
      </w:r>
    </w:p>
    <w:p>
      <w:pPr>
        <w:tabs>
          <w:tab w:val="right" w:pos="9070" w:leader="dot"/>
        </w:tabs>
        <w:spacing w:after="0" w:before="0" w:line="228"/>
        <w:ind w:left="400"/>
      </w:pPr>
      <w:r>
        <w:rPr>
          <w:b w:val="false"/>
          <w:bCs w:val="false"/>
          <w:sz w:val="18"/>
          <w:szCs w:val="18"/>
        </w:rPr>
        <w:t xml:space="preserve">9.2  Stufenmodell: Vom 30-Sekunden-Video zum problematischen Konsum</w:t>
      </w:r>
      <w:r>
        <w:rPr>
          <w:b w:val="false"/>
          <w:bCs w:val="false"/>
          <w:sz w:val="18"/>
          <w:szCs w:val="18"/>
        </w:rPr>
        <w:t xml:space="preserve">	14</w:t>
      </w:r>
    </w:p>
    <w:p>
      <w:pPr>
        <w:tabs>
          <w:tab w:val="right" w:pos="9070" w:leader="dot"/>
        </w:tabs>
        <w:spacing w:after="0" w:before="0" w:line="228"/>
        <w:ind w:left="400"/>
      </w:pPr>
      <w:r>
        <w:rPr>
          <w:b w:val="false"/>
          <w:bCs w:val="false"/>
          <w:sz w:val="18"/>
          <w:szCs w:val="18"/>
        </w:rPr>
        <w:t xml:space="preserve">9.3  Übergangswahrscheinlichkeiten – was wir nicht wissen</w:t>
      </w:r>
      <w:r>
        <w:rPr>
          <w:b w:val="false"/>
          <w:bCs w:val="false"/>
          <w:sz w:val="18"/>
          <w:szCs w:val="18"/>
        </w:rPr>
        <w:t xml:space="preserve">	14</w:t>
      </w:r>
    </w:p>
    <w:p>
      <w:pPr>
        <w:tabs>
          <w:tab w:val="right" w:pos="9070" w:leader="dot"/>
        </w:tabs>
        <w:spacing w:after="0" w:before="0" w:line="228"/>
        <w:ind w:left="400"/>
      </w:pPr>
      <w:r>
        <w:rPr>
          <w:b w:val="false"/>
          <w:bCs w:val="false"/>
          <w:sz w:val="18"/>
          <w:szCs w:val="18"/>
        </w:rPr>
        <w:t xml:space="preserve">9.4  Geschlechtsspezifische Muster</w:t>
      </w:r>
      <w:r>
        <w:rPr>
          <w:b w:val="false"/>
          <w:bCs w:val="false"/>
          <w:sz w:val="18"/>
          <w:szCs w:val="18"/>
        </w:rPr>
        <w:t xml:space="preserve">	15</w:t>
      </w:r>
    </w:p>
    <w:p>
      <w:pPr>
        <w:tabs>
          <w:tab w:val="right" w:pos="9070" w:leader="dot"/>
        </w:tabs>
        <w:spacing w:after="0" w:before="60" w:line="228"/>
        <w:ind w:left="0"/>
      </w:pPr>
      <w:r>
        <w:rPr>
          <w:b/>
          <w:bCs/>
          <w:sz w:val="19"/>
          <w:szCs w:val="19"/>
        </w:rPr>
        <w:t xml:space="preserve">10  Differenzialdiagnostische Einordnung</w:t>
      </w:r>
      <w:r>
        <w:rPr>
          <w:b/>
          <w:bCs/>
          <w:sz w:val="19"/>
          <w:szCs w:val="19"/>
        </w:rPr>
        <w:t xml:space="preserve">	15</w:t>
      </w:r>
    </w:p>
    <w:p>
      <w:pPr>
        <w:tabs>
          <w:tab w:val="right" w:pos="9070" w:leader="dot"/>
        </w:tabs>
        <w:spacing w:after="0" w:before="60" w:line="228"/>
        <w:ind w:left="0"/>
      </w:pPr>
      <w:r>
        <w:rPr>
          <w:b/>
          <w:bCs/>
          <w:sz w:val="19"/>
          <w:szCs w:val="19"/>
        </w:rPr>
        <w:t xml:space="preserve">11  Sind Blasen reversibel?</w:t>
      </w:r>
      <w:r>
        <w:rPr>
          <w:b/>
          <w:bCs/>
          <w:sz w:val="19"/>
          <w:szCs w:val="19"/>
        </w:rPr>
        <w:t xml:space="preserve">	16</w:t>
      </w:r>
    </w:p>
    <w:p>
      <w:pPr>
        <w:tabs>
          <w:tab w:val="right" w:pos="9070" w:leader="dot"/>
        </w:tabs>
        <w:spacing w:after="0" w:before="0" w:line="228"/>
        <w:ind w:left="400"/>
      </w:pPr>
      <w:r>
        <w:rPr>
          <w:b w:val="false"/>
          <w:bCs w:val="false"/>
          <w:sz w:val="18"/>
          <w:szCs w:val="18"/>
        </w:rPr>
        <w:t xml:space="preserve">11.1  Befundlage</w:t>
      </w:r>
      <w:r>
        <w:rPr>
          <w:b w:val="false"/>
          <w:bCs w:val="false"/>
          <w:sz w:val="18"/>
          <w:szCs w:val="18"/>
        </w:rPr>
        <w:t xml:space="preserve">	16</w:t>
      </w:r>
    </w:p>
    <w:p>
      <w:pPr>
        <w:tabs>
          <w:tab w:val="right" w:pos="9070" w:leader="dot"/>
        </w:tabs>
        <w:spacing w:after="0" w:before="0" w:line="228"/>
        <w:ind w:left="400"/>
      </w:pPr>
      <w:r>
        <w:rPr>
          <w:b w:val="false"/>
          <w:bCs w:val="false"/>
          <w:sz w:val="18"/>
          <w:szCs w:val="18"/>
        </w:rPr>
        <w:t xml:space="preserve">11.2  Maßnahmen nach Ebene</w:t>
      </w:r>
      <w:r>
        <w:rPr>
          <w:b w:val="false"/>
          <w:bCs w:val="false"/>
          <w:sz w:val="18"/>
          <w:szCs w:val="18"/>
        </w:rPr>
        <w:t xml:space="preserve">	16</w:t>
      </w:r>
    </w:p>
    <w:p>
      <w:pPr>
        <w:tabs>
          <w:tab w:val="right" w:pos="9070" w:leader="dot"/>
        </w:tabs>
        <w:spacing w:after="0" w:before="60" w:line="228"/>
        <w:ind w:left="0"/>
      </w:pPr>
      <w:r>
        <w:rPr>
          <w:b/>
          <w:bCs/>
          <w:sz w:val="19"/>
          <w:szCs w:val="19"/>
        </w:rPr>
        <w:t xml:space="preserve">12  Implikationen für eine Präventionssoftware</w:t>
      </w:r>
      <w:r>
        <w:rPr>
          <w:b/>
          <w:bCs/>
          <w:sz w:val="19"/>
          <w:szCs w:val="19"/>
        </w:rPr>
        <w:t xml:space="preserve">	17</w:t>
      </w:r>
    </w:p>
    <w:p>
      <w:pPr>
        <w:tabs>
          <w:tab w:val="right" w:pos="9070" w:leader="dot"/>
        </w:tabs>
        <w:spacing w:after="0" w:before="0" w:line="228"/>
        <w:ind w:left="400"/>
      </w:pPr>
      <w:r>
        <w:rPr>
          <w:b w:val="false"/>
          <w:bCs w:val="false"/>
          <w:sz w:val="18"/>
          <w:szCs w:val="18"/>
        </w:rPr>
        <w:t xml:space="preserve">12.1  Leitprinzipien</w:t>
      </w:r>
      <w:r>
        <w:rPr>
          <w:b w:val="false"/>
          <w:bCs w:val="false"/>
          <w:sz w:val="18"/>
          <w:szCs w:val="18"/>
        </w:rPr>
        <w:t xml:space="preserve">	17</w:t>
      </w:r>
    </w:p>
    <w:p>
      <w:pPr>
        <w:tabs>
          <w:tab w:val="right" w:pos="9070" w:leader="dot"/>
        </w:tabs>
        <w:spacing w:after="0" w:before="0" w:line="228"/>
        <w:ind w:left="400"/>
      </w:pPr>
      <w:r>
        <w:rPr>
          <w:b w:val="false"/>
          <w:bCs w:val="false"/>
          <w:sz w:val="18"/>
          <w:szCs w:val="18"/>
        </w:rPr>
        <w:t xml:space="preserve">12.2  Signal-Katalog</w:t>
      </w:r>
      <w:r>
        <w:rPr>
          <w:b w:val="false"/>
          <w:bCs w:val="false"/>
          <w:sz w:val="18"/>
          <w:szCs w:val="18"/>
        </w:rPr>
        <w:t xml:space="preserve">	18</w:t>
      </w:r>
    </w:p>
    <w:p>
      <w:pPr>
        <w:tabs>
          <w:tab w:val="right" w:pos="9070" w:leader="dot"/>
        </w:tabs>
        <w:spacing w:after="0" w:before="0" w:line="228"/>
        <w:ind w:left="400"/>
      </w:pPr>
      <w:r>
        <w:rPr>
          <w:b w:val="false"/>
          <w:bCs w:val="false"/>
          <w:sz w:val="18"/>
          <w:szCs w:val="18"/>
        </w:rPr>
        <w:t xml:space="preserve">12.3  Gestufte Interventionsleiter</w:t>
      </w:r>
      <w:r>
        <w:rPr>
          <w:b w:val="false"/>
          <w:bCs w:val="false"/>
          <w:sz w:val="18"/>
          <w:szCs w:val="18"/>
        </w:rPr>
        <w:t xml:space="preserve">	18</w:t>
      </w:r>
    </w:p>
    <w:p>
      <w:pPr>
        <w:tabs>
          <w:tab w:val="right" w:pos="9070" w:leader="dot"/>
        </w:tabs>
        <w:spacing w:after="0" w:before="0" w:line="228"/>
        <w:ind w:left="400"/>
      </w:pPr>
      <w:r>
        <w:rPr>
          <w:b w:val="false"/>
          <w:bCs w:val="false"/>
          <w:sz w:val="18"/>
          <w:szCs w:val="18"/>
        </w:rPr>
        <w:t xml:space="preserve">12.4  Was die Software nicht tun sollte</w:t>
      </w:r>
      <w:r>
        <w:rPr>
          <w:b w:val="false"/>
          <w:bCs w:val="false"/>
          <w:sz w:val="18"/>
          <w:szCs w:val="18"/>
        </w:rPr>
        <w:t xml:space="preserve">	18</w:t>
      </w:r>
    </w:p>
    <w:p>
      <w:pPr>
        <w:tabs>
          <w:tab w:val="right" w:pos="9070" w:leader="dot"/>
        </w:tabs>
        <w:spacing w:after="0" w:before="0" w:line="228"/>
        <w:ind w:left="400"/>
      </w:pPr>
      <w:r>
        <w:rPr>
          <w:b w:val="false"/>
          <w:bCs w:val="false"/>
          <w:sz w:val="18"/>
          <w:szCs w:val="18"/>
        </w:rPr>
        <w:t xml:space="preserve">12.5  Evaluation</w:t>
      </w:r>
      <w:r>
        <w:rPr>
          <w:b w:val="false"/>
          <w:bCs w:val="false"/>
          <w:sz w:val="18"/>
          <w:szCs w:val="18"/>
        </w:rPr>
        <w:t xml:space="preserve">	19</w:t>
      </w:r>
    </w:p>
    <w:p>
      <w:pPr>
        <w:tabs>
          <w:tab w:val="right" w:pos="9070" w:leader="dot"/>
        </w:tabs>
        <w:spacing w:after="0" w:before="60" w:line="228"/>
        <w:ind w:left="0"/>
      </w:pPr>
      <w:r>
        <w:rPr>
          <w:b/>
          <w:bCs/>
          <w:sz w:val="19"/>
          <w:szCs w:val="19"/>
        </w:rPr>
        <w:t xml:space="preserve">13  Diskussion und Limitationen</w:t>
      </w:r>
      <w:r>
        <w:rPr>
          <w:b/>
          <w:bCs/>
          <w:sz w:val="19"/>
          <w:szCs w:val="19"/>
        </w:rPr>
        <w:t xml:space="preserve">	19</w:t>
      </w:r>
    </w:p>
    <w:p>
      <w:pPr>
        <w:tabs>
          <w:tab w:val="right" w:pos="9070" w:leader="dot"/>
        </w:tabs>
        <w:spacing w:after="0" w:before="60" w:line="228"/>
        <w:ind w:left="0"/>
      </w:pPr>
      <w:r>
        <w:rPr>
          <w:b/>
          <w:bCs/>
          <w:sz w:val="19"/>
          <w:szCs w:val="19"/>
        </w:rPr>
        <w:t xml:space="preserve">14  Fazit: Beantwortung der Leitfrage</w:t>
      </w:r>
      <w:r>
        <w:rPr>
          <w:b/>
          <w:bCs/>
          <w:sz w:val="19"/>
          <w:szCs w:val="19"/>
        </w:rPr>
        <w:t xml:space="preserve">	19</w:t>
      </w:r>
    </w:p>
    <w:p>
      <w:pPr>
        <w:tabs>
          <w:tab w:val="right" w:pos="9070" w:leader="dot"/>
        </w:tabs>
        <w:spacing w:after="0" w:before="60" w:line="228"/>
        <w:ind w:left="0"/>
      </w:pPr>
      <w:r>
        <w:rPr>
          <w:b/>
          <w:bCs/>
          <w:sz w:val="19"/>
          <w:szCs w:val="19"/>
        </w:rPr>
        <w:t xml:space="preserve">Literaturverzeichnis</w:t>
      </w:r>
      <w:r>
        <w:rPr>
          <w:b/>
          <w:bCs/>
          <w:sz w:val="19"/>
          <w:szCs w:val="19"/>
        </w:rPr>
        <w:t xml:space="preserve">	21</w:t>
      </w:r>
    </w:p>
    <w:p>
      <w:pPr>
        <w:tabs>
          <w:tab w:val="right" w:pos="9070" w:leader="dot"/>
        </w:tabs>
        <w:spacing w:after="0" w:before="60" w:line="228"/>
        <w:ind w:left="0"/>
      </w:pPr>
      <w:r>
        <w:rPr>
          <w:b/>
          <w:bCs/>
          <w:sz w:val="19"/>
          <w:szCs w:val="19"/>
        </w:rPr>
        <w:t xml:space="preserve">Anhang A: Datensatzregister für die Softwareentwicklung</w:t>
      </w:r>
      <w:r>
        <w:rPr>
          <w:b/>
          <w:bCs/>
          <w:sz w:val="19"/>
          <w:szCs w:val="19"/>
        </w:rPr>
        <w:t xml:space="preserve">	24</w:t>
      </w:r>
    </w:p>
    <w:p>
      <w:r>
        <w:br w:type="page"/>
      </w:r>
    </w:p>
    <w:p>
      <w:pPr>
        <w:pStyle w:val="Heading1"/>
      </w:pPr>
      <w:r>
        <w:t xml:space="preserve">Zusammenfassung</w:t>
      </w:r>
    </w:p>
    <w:p>
      <w:pPr>
        <w:spacing w:after="120" w:line="276"/>
        <w:jc w:val="both"/>
      </w:pPr>
      <w:r>
        <w:rPr>
          <w:b/>
          <w:bCs/>
        </w:rPr>
        <w:t xml:space="preserve">Hintergrund.</w:t>
      </w:r>
      <w:r>
        <w:t xml:space="preserve"> Kurzvideo-Feeds sind für Jugendliche in Deutschland zum zentralen Medienort geworden. Parallel steigt der Anteil riskanter und pathologischer Nutzungsmuster, und Pornografie wird im Schnitt bereits mit 12 bis 13 Jahren erstmals gesehen – zunehmend unbeabsichtigt und über gewöhnliche soziale Netzwerke. Die öffentliche Debatte fokussiert derzeit stark auf generative KI; die seit Jahren wirksame Aufmerksamkeitsökonomie der Empfehlungssysteme gerät dabei aus dem Blick.</w:t>
      </w:r>
    </w:p>
    <w:p>
      <w:pPr>
        <w:spacing w:after="120" w:line="276"/>
        <w:jc w:val="both"/>
      </w:pPr>
      <w:r>
        <w:rPr>
          <w:b/>
          <w:bCs/>
        </w:rPr>
        <w:t xml:space="preserve">Methode.</w:t>
      </w:r>
      <w:r>
        <w:t xml:space="preserve"> Narrative Übersichtsarbeit über repräsentative Surveys (JIM, DAK/UKE, HBSC/WHO, GeSiD, Children’s Commissioner, Common Sense Media), experimentelle und Audit-Studien zu Empfehlungsalgorithmen (Sockenpuppen-Audits, Feldexperimente in </w:t>
      </w:r>
      <w:r>
        <w:rPr>
          <w:i/>
          <w:iCs/>
        </w:rPr>
        <w:t xml:space="preserve">Science</w:t>
      </w:r>
      <w:r>
        <w:t xml:space="preserve">, </w:t>
      </w:r>
      <w:r>
        <w:rPr>
          <w:i/>
          <w:iCs/>
        </w:rPr>
        <w:t xml:space="preserve">Nature</w:t>
      </w:r>
      <w:r>
        <w:t xml:space="preserve">, </w:t>
      </w:r>
      <w:r>
        <w:rPr>
          <w:i/>
          <w:iCs/>
        </w:rPr>
        <w:t xml:space="preserve">PNAS</w:t>
      </w:r>
      <w:r>
        <w:t xml:space="preserve">), regulatorische Dokumente (DSA, EU-Kommission, Expertenkommission des Bundes) sowie eine qualitative Dokumentenanalyse von Branchenquellen der OnlyFans-Vermarktung (Agentur- und Affiliate-Leitfäden, Gerichtsakten, investigative Recherchen). Alle Befunde wurden einem vierstufigen Evidenzgrad (A–D) zugeordnet.</w:t>
      </w:r>
    </w:p>
    <w:p>
      <w:pPr>
        <w:spacing w:after="120" w:line="276"/>
        <w:jc w:val="both"/>
      </w:pPr>
      <w:r>
        <w:rPr>
          <w:b/>
          <w:bCs/>
        </w:rPr>
        <w:t xml:space="preserve">Ergebnisse.</w:t>
      </w:r>
      <w:r>
        <w:t xml:space="preserve"> (1) Empfehlungssysteme verengen Feeds auf Basis impliziter Signale wie Verweildauer innerhalb von Minuten; bei männlich kodierten Test-Accounts erschienen misogyne Inhalte binnen durchschnittlich 23 Minuten, bei 13-jährigen Test-Accounts auf Instagram Reels sexualisierte Inhalte teils nach drei Minuten. (2) Der Weg zu OnlyFans ist überwiegend kein Zufallsprodukt des Algorithmus, sondern ein von Agenturen systematisch gestalteter, mehrstufiger Funnel (Reichweite auf TikTok → Bindung auf Instagram → Link-Aggregator → Bezahlplattform → skriptgesteuerte Chat-Monetarisierung), der Plattformregeln bewusst umgeht. (3) Nur eine Minderheit entwickelt einen problematischen Konsum; Vulnerabilitäten wie Depression gehen problematischer Nutzung zeitlich voraus. (4) Blasen sind </w:t>
      </w:r>
      <w:r>
        <w:rPr>
          <w:b/>
          <w:bCs/>
        </w:rPr>
        <w:t xml:space="preserve">asymmetrisch reversibel</w:t>
      </w:r>
      <w:r>
        <w:t xml:space="preserve">: Der Feed selbst „vergisst“ schnell, Einstellungen, Folge-Netzwerke und Gewohnheiten bleiben nach Abschalten des Algorithmus dagegen bestehen.</w:t>
      </w:r>
    </w:p>
    <w:p>
      <w:pPr>
        <w:spacing w:after="120" w:line="276"/>
        <w:jc w:val="both"/>
      </w:pPr>
      <w:r>
        <w:rPr>
          <w:b/>
          <w:bCs/>
        </w:rPr>
        <w:t xml:space="preserve">Schlussfolgerung.</w:t>
      </w:r>
      <w:r>
        <w:t xml:space="preserve"> Die Kette „harmloses Video → Pornosucht“ ist kein Automatismus, aber ein realer, kommerziell optimierter Risikopfad mit mehreren Eingriffspunkten. Prävention sollte an Gestaltung (Design), Übergängen zwischen Plattformen und Vulnerabilitäten ansetzen, nicht an Beschämung. Für eine Schutzsoftware werden ein Signal-Katalog, eine gestufte Interventionsleiter und ein Datensatzregister abgeleitet.</w:t>
      </w:r>
    </w:p>
    <w:p>
      <w:pPr>
        <w:spacing w:after="120" w:line="276"/>
        <w:jc w:val="both"/>
      </w:pPr>
      <w:r>
        <w:rPr>
          <w:b/>
          <w:bCs/>
          <w:sz w:val="20"/>
          <w:szCs w:val="20"/>
        </w:rPr>
        <w:t xml:space="preserve">Schlüsselwörter:</w:t>
      </w:r>
      <w:r>
        <w:rPr>
          <w:sz w:val="20"/>
          <w:szCs w:val="20"/>
        </w:rPr>
        <w:t xml:space="preserve"> Empfehlungssysteme, Filterblase, Agenda-Setting, Kurzvideo, problematischer Pornografiekonsum, Zwanghafte Sexualverhaltensstörung (ICD-11 6C72), OnlyFans, parasoziale Beziehung, Prävention, Digital Services Act</w:t>
      </w:r>
    </w:p>
    <w:p>
      <w:r>
        <w:br w:type="page"/>
      </w:r>
    </w:p>
    <w:p>
      <w:pPr>
        <w:pStyle w:val="Heading1"/>
      </w:pPr>
      <w:r>
        <w:t xml:space="preserve">1  Einleitung und Problemstellung</w:t>
      </w:r>
    </w:p>
    <w:p>
      <w:pPr>
        <w:spacing w:after="120" w:line="276"/>
        <w:jc w:val="both"/>
      </w:pPr>
      <w:r>
        <w:t xml:space="preserve">Das Smartphone ist das zentrale Endgerät Jugendlicher: Laut JIM-Studie 2025 besitzen 95 % der 12- bis 19-Jährigen ein eigenes Gerät; die geräteseitig gemessene Bildschirmzeit liegt bei 12- bis 13-Jährigen bei 166 Minuten täglich und bei Volljährigen bei 278 Minuten (mpfs, 2025). Kurzvideo-Formate – TikTok, Instagram Reels, YouTube Shorts und Snapchat Spotlight – sind dabei nicht nur Unterhaltung: Ein Viertel der Jugendlichen sucht bei TikTok und Instagram nach Antworten auf relevante Fragen, und fast die Hälfte der 16- bis 19-Jährigen folgt Influencer:innen, die aktuelle Nachrichten aufbereiten (mpfs, 2025).</w:t>
      </w:r>
    </w:p>
    <w:p>
      <w:pPr>
        <w:spacing w:after="120" w:line="276"/>
        <w:jc w:val="both"/>
      </w:pPr>
      <w:r>
        <w:t xml:space="preserve">Die öffentliche Aufmerksamkeit richtet sich 2025/26 stark auf generative KI. Diese Arbeit geht von der Beobachtung aus, dass die ältere Technologie – das engagement-optimierte Empfehlungssystem – in ihren Wirkungen auf Aufmerksamkeit, Sexualität und politische Meinungsbildung weiterhin unterschätzt wird. Beide Entwicklungen stehen allerdings nicht in Konkurrenz: Die DAK-Mediensuchtstudie 2025/2026 zeigt, dass auch KI-Chatbots riskante Mediennutzung verstärken (DAK-Gesundheit, 2026). Die Analyse versteht sich daher als Ergänzung, nicht als Gegenerzählung.</w:t>
      </w:r>
    </w:p>
    <w:p>
      <w:pPr>
        <w:spacing w:after="120" w:line="276"/>
        <w:jc w:val="both"/>
      </w:pPr>
      <w:r>
        <w:t xml:space="preserve">Im Zentrum steht ein Risikopfad, der in der Praxis häufig beschrieben, wissenschaftlich aber selten zusammenhängend untersucht wird: vom beiläufigen 30-Sekunden-Video über eine zunehmend sexualisierte Inhaltsblase und parasoziale Bindung an Creator:innen bis hin zu bezahlten Erotikangeboten und – bei einer Minderheit – problematischem, kontrollverlustartigem Konsum. Ein zweiter Strang betrifft die Frage, wie dieselben Mechanismen politische Themensetzung (Agenda-Setting) beeinflussen und ob einmal entstandene Blasen umkehrbar sind.</w:t>
      </w:r>
    </w:p>
    <w:p>
      <w:pPr>
        <w:spacing w:after="120" w:line="276"/>
        <w:jc w:val="both"/>
      </w:pPr>
      <w:r>
        <w:t xml:space="preserve">Die Arbeit gliedert sich wie folgt: Kapitel 2 und 3 legen Leitfrage, Hypothesen, Begriffe und Methodik fest. Kapitel 4 bis 8 stellen die Datenlage dar (Nutzung, Algorithmen, Pornografie, OnlyFans-Funnel). Kapitel 9 und 10 enthalten die Verhaltensanalyse und die differenzialdiagnostische Einordnung. Kapitel 11 behandelt die Reversibilität, Kapitel 12 die Ableitungen für eine Präventionssoftware; Kapitel 13 und 14 diskutieren Grenzen und beantworten die Leitfrage.</w:t>
      </w:r>
    </w:p>
    <w:p>
      <w:pPr>
        <w:pStyle w:val="Heading1"/>
      </w:pPr>
      <w:r>
        <w:t xml:space="preserve">2  Leitfrage, Teilfragen, Hypothesen und Begriffe</w:t>
      </w:r>
    </w:p>
    <w:p>
      <w:pPr>
        <w:pStyle w:val="Heading2"/>
      </w:pPr>
      <w:r>
        <w:t xml:space="preserve">2.1  Leitfrage und Teilfragen</w:t>
      </w:r>
    </w:p>
    <w:p>
      <w:pPr>
        <w:pBdr>
          <w:left w:val="single" w:color="2E5496" w:sz="24" w:space="8"/>
        </w:pBdr>
        <w:shd w:fill="EAF1FB" w:color="auto" w:val="clear"/>
        <w:spacing w:after="200" w:line="264"/>
        <w:ind w:left="200" w:right="200"/>
      </w:pPr>
      <w:r>
        <w:rPr>
          <w:b/>
          <w:bCs/>
        </w:rPr>
        <w:t xml:space="preserve">Leitfrage:</w:t>
      </w:r>
      <w:r>
        <w:t xml:space="preserve"> Inwieweit führen algorithmisch kuratierte Kurzvideo-Plattformen Jugendliche und junge Erwachsene – insbesondere junge Männer – über sich selbst verstärkende Inhaltsblasen und gezielt gestaltete Marketing-Funnels von beiläufigem Konsum zu sexualisierten Inhalten und kommerziellen Erotikangeboten, und sind die dabei entstehenden Blasen reversibel?</w:t>
      </w:r>
    </w:p>
    <w:p>
      <w:pPr>
        <w:pStyle w:val="ListParagraph"/>
        <w:numPr>
          <w:ilvl w:val="0"/>
          <w:numId w:val="2"/>
        </w:numPr>
        <w:spacing w:after="80" w:line="264"/>
        <w:jc w:val="left"/>
      </w:pPr>
      <w:r>
        <w:rPr>
          <w:b/>
          <w:bCs/>
        </w:rPr>
        <w:t xml:space="preserve">TF1 – Entstehung:</w:t>
      </w:r>
      <w:r>
        <w:t xml:space="preserve"> Wie und wie schnell verengen Empfehlungssysteme den Feed, und welche Nutzersignale treiben das?</w:t>
      </w:r>
    </w:p>
    <w:p>
      <w:pPr>
        <w:pStyle w:val="ListParagraph"/>
        <w:numPr>
          <w:ilvl w:val="0"/>
          <w:numId w:val="2"/>
        </w:numPr>
        <w:spacing w:after="80" w:line="264"/>
        <w:jc w:val="left"/>
      </w:pPr>
      <w:r>
        <w:rPr>
          <w:b/>
          <w:bCs/>
        </w:rPr>
        <w:t xml:space="preserve">TF2 – Agenda-Setting:</w:t>
      </w:r>
      <w:r>
        <w:t xml:space="preserve"> Welche Rolle spielen dieselben Mechanismen für politische Themensetzung und Einstellungen junger Menschen?</w:t>
      </w:r>
    </w:p>
    <w:p>
      <w:pPr>
        <w:pStyle w:val="ListParagraph"/>
        <w:numPr>
          <w:ilvl w:val="0"/>
          <w:numId w:val="2"/>
        </w:numPr>
        <w:spacing w:after="80" w:line="264"/>
        <w:jc w:val="left"/>
      </w:pPr>
      <w:r>
        <w:rPr>
          <w:b/>
          <w:bCs/>
        </w:rPr>
        <w:t xml:space="preserve">TF3 – Funnel:</w:t>
      </w:r>
      <w:r>
        <w:t xml:space="preserve"> Über welche Stufen und Techniken werden Nutzende von Kurzvideo-Plattformen zu OnlyFans und vergleichbaren Angeboten geleitet?</w:t>
      </w:r>
    </w:p>
    <w:p>
      <w:pPr>
        <w:pStyle w:val="ListParagraph"/>
        <w:numPr>
          <w:ilvl w:val="0"/>
          <w:numId w:val="2"/>
        </w:numPr>
        <w:spacing w:after="80" w:line="264"/>
        <w:jc w:val="left"/>
      </w:pPr>
      <w:r>
        <w:rPr>
          <w:b/>
          <w:bCs/>
        </w:rPr>
        <w:t xml:space="preserve">TF4 – Verhalten:</w:t>
      </w:r>
      <w:r>
        <w:t xml:space="preserve"> Welche Verhaltensmuster kennzeichnen die Mehrheit der Nutzenden, welche die Risikogruppen?</w:t>
      </w:r>
    </w:p>
    <w:p>
      <w:pPr>
        <w:pStyle w:val="ListParagraph"/>
        <w:numPr>
          <w:ilvl w:val="0"/>
          <w:numId w:val="2"/>
        </w:numPr>
        <w:spacing w:after="80" w:line="264"/>
        <w:jc w:val="left"/>
      </w:pPr>
      <w:r>
        <w:rPr>
          <w:b/>
          <w:bCs/>
        </w:rPr>
        <w:t xml:space="preserve">TF5 – Reversibilität:</w:t>
      </w:r>
      <w:r>
        <w:t xml:space="preserve"> Sind Blasen umkehrbar – technisch, psychologisch, klinisch – und mit welchen Maßnahmen?</w:t>
      </w:r>
    </w:p>
    <w:p>
      <w:pPr>
        <w:pStyle w:val="Heading2"/>
      </w:pPr>
      <w:r>
        <w:t xml:space="preserve">2.2  Hypothesen</w:t>
      </w:r>
    </w:p>
    <w:p>
      <w:pPr>
        <w:pStyle w:val="ListParagraph"/>
        <w:numPr>
          <w:ilvl w:val="0"/>
          <w:numId w:val="3"/>
        </w:numPr>
        <w:spacing w:after="80" w:line="264"/>
        <w:jc w:val="left"/>
      </w:pPr>
      <w:r>
        <w:rPr>
          <w:b/>
          <w:bCs/>
        </w:rPr>
        <w:t xml:space="preserve">H1 (Verengung):</w:t>
      </w:r>
      <w:r>
        <w:t xml:space="preserve"> Engagement-optimierte Empfehlungssysteme verengen die Inhaltsvielfalt auf Basis impliziter Signale (Verweildauer, Wiederholung, Überspringen) innerhalb von Minuten bis Stunden.</w:t>
      </w:r>
    </w:p>
    <w:p>
      <w:pPr>
        <w:pStyle w:val="ListParagraph"/>
        <w:numPr>
          <w:ilvl w:val="0"/>
          <w:numId w:val="3"/>
        </w:numPr>
        <w:spacing w:after="80" w:line="264"/>
        <w:jc w:val="left"/>
      </w:pPr>
      <w:r>
        <w:rPr>
          <w:b/>
          <w:bCs/>
        </w:rPr>
        <w:t xml:space="preserve">H2 (Asymmetrie):</w:t>
      </w:r>
      <w:r>
        <w:t xml:space="preserve"> Die </w:t>
      </w:r>
      <w:r>
        <w:rPr>
          <w:i/>
          <w:iCs/>
        </w:rPr>
        <w:t xml:space="preserve">Feed-Blase</w:t>
      </w:r>
      <w:r>
        <w:t xml:space="preserve"> ist technisch schnell reversibel, die </w:t>
      </w:r>
      <w:r>
        <w:rPr>
          <w:i/>
          <w:iCs/>
        </w:rPr>
        <w:t xml:space="preserve">kognitiv-behaviorale Blase</w:t>
      </w:r>
      <w:r>
        <w:t xml:space="preserve"> (Einstellungen, Folge-Netzwerke, Gewohnheiten) dagegen deutlich träger (Hysterese).</w:t>
      </w:r>
    </w:p>
    <w:p>
      <w:pPr>
        <w:pStyle w:val="ListParagraph"/>
        <w:numPr>
          <w:ilvl w:val="0"/>
          <w:numId w:val="3"/>
        </w:numPr>
        <w:spacing w:after="80" w:line="264"/>
        <w:jc w:val="left"/>
      </w:pPr>
      <w:r>
        <w:rPr>
          <w:b/>
          <w:bCs/>
        </w:rPr>
        <w:t xml:space="preserve">H3 (Funnel):</w:t>
      </w:r>
      <w:r>
        <w:t xml:space="preserve"> Der Übergang von Kurzvideo-Plattformen zu OnlyFans ist überwiegend das Ergebnis gezielten, arbeitsteiligen Marketings, das Moderationsregeln umgeht, und weniger ein zufälliges Nebenprodukt des Algorithmus.</w:t>
      </w:r>
    </w:p>
    <w:p>
      <w:pPr>
        <w:pStyle w:val="ListParagraph"/>
        <w:numPr>
          <w:ilvl w:val="0"/>
          <w:numId w:val="3"/>
        </w:numPr>
        <w:spacing w:after="80" w:line="264"/>
        <w:jc w:val="left"/>
      </w:pPr>
      <w:r>
        <w:rPr>
          <w:b/>
          <w:bCs/>
        </w:rPr>
        <w:t xml:space="preserve">H4 (Minderheit &amp; Vulnerabilität):</w:t>
      </w:r>
      <w:r>
        <w:t xml:space="preserve"> Problematischer Konsum betrifft eine Minderheit; Vulnerabilitäten (depressive Symptomatik, Einsamkeit, Impulsivität, frühe Exposition) moderieren den Übergang.</w:t>
      </w:r>
    </w:p>
    <w:p>
      <w:pPr>
        <w:pStyle w:val="Heading2"/>
      </w:pPr>
      <w:r>
        <w:t xml:space="preserve">2.3  Zentrale Begriffe</w:t>
      </w:r>
    </w:p>
    <w:p>
      <w:pPr>
        <w:keepNext/>
        <w:spacing w:after="80" w:before="200"/>
      </w:pPr>
      <w:r>
        <w:rPr>
          <w:b/>
          <w:bCs/>
          <w:color w:val="1F3864"/>
          <w:sz w:val="20"/>
          <w:szCs w:val="20"/>
        </w:rPr>
        <w:t xml:space="preserve">Tabelle 1: Arbeitsdefinitionen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40"/>
        <w:gridCol w:w="6530"/>
      </w:tblGrid>
      <w:tr>
        <w:trPr>
          <w:tblHeader/>
        </w:trPr>
        <w:tc>
          <w:tcPr>
            <w:tcW w:type="dxa" w:w="25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Begriff</w:t>
            </w:r>
          </w:p>
        </w:tc>
        <w:tc>
          <w:tcPr>
            <w:tcW w:type="dxa" w:w="65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Arbeitsdefinition in dieser Arbeit</w:t>
            </w:r>
          </w:p>
        </w:tc>
      </w:tr>
      <w:tr>
        <w:trPr>
          <w:cantSplit/>
        </w:trPr>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Filterblase</w:t>
            </w:r>
          </w:p>
        </w:tc>
        <w:tc>
          <w:tcPr>
            <w:tcW w:type="dxa" w:w="65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Durch algorithmische Personalisierung verengter Informationsraum, in dem abweichende Inhalte seltener erscheinen (Pariser, 2011). Hier unterschieden in </w:t>
            </w:r>
            <w:r>
              <w:rPr>
                <w:i/>
                <w:iCs/>
                <w:sz w:val="17"/>
                <w:szCs w:val="17"/>
              </w:rPr>
              <w:t xml:space="preserve">Feed-Blase</w:t>
            </w:r>
            <w:r>
              <w:rPr>
                <w:sz w:val="17"/>
                <w:szCs w:val="17"/>
              </w:rPr>
              <w:t xml:space="preserve"> (was angezeigt wird) und </w:t>
            </w:r>
            <w:r>
              <w:rPr>
                <w:i/>
                <w:iCs/>
                <w:sz w:val="17"/>
                <w:szCs w:val="17"/>
              </w:rPr>
              <w:t xml:space="preserve">kognitive Blase</w:t>
            </w:r>
            <w:r>
              <w:rPr>
                <w:sz w:val="17"/>
                <w:szCs w:val="17"/>
              </w:rPr>
              <w:t xml:space="preserve"> (was geglaubt, gewohnt und gefolgt wird).</w:t>
            </w:r>
          </w:p>
        </w:tc>
      </w:tr>
      <w:tr>
        <w:trPr>
          <w:cantSplit/>
        </w:trPr>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Echokammer</w:t>
            </w:r>
          </w:p>
        </w:tc>
        <w:tc>
          <w:tcPr>
            <w:tcW w:type="dxa" w:w="653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Sozial erzeugte Verengung durch selbst gewählte Kontakte und Quellen; im Unterschied zur Filterblase primär nutzergetrieben.</w:t>
            </w:r>
          </w:p>
        </w:tc>
      </w:tr>
      <w:tr>
        <w:trPr>
          <w:cantSplit/>
        </w:trPr>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Rabbit Hole</w:t>
            </w:r>
          </w:p>
        </w:tc>
        <w:tc>
          <w:tcPr>
            <w:tcW w:type="dxa" w:w="65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Dynamischer Eskalationspfad, bei dem sich Empfehlungen schrittweise in Richtung extremerer oder intensiverer Inhalte verschieben.</w:t>
            </w:r>
          </w:p>
        </w:tc>
      </w:tr>
      <w:tr>
        <w:trPr>
          <w:cantSplit/>
        </w:trPr>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Agenda-Setting</w:t>
            </w:r>
          </w:p>
        </w:tc>
        <w:tc>
          <w:tcPr>
            <w:tcW w:type="dxa" w:w="653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Übertragung der Wichtigkeit (Salienz) von Themen aus Medien auf das Publikum (McCombs &amp; Shaw, 1972); bei Plattformen übernimmt das Ranking die Rolle der Redaktion.</w:t>
            </w:r>
          </w:p>
        </w:tc>
      </w:tr>
      <w:tr>
        <w:trPr>
          <w:cantSplit/>
        </w:trPr>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Parasoziale Interaktion</w:t>
            </w:r>
          </w:p>
        </w:tc>
        <w:tc>
          <w:tcPr>
            <w:tcW w:type="dxa" w:w="65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Einseitige, als wechselseitig erlebte Beziehung zu einer Medienperson (Horton &amp; Wohl, 1956).</w:t>
            </w:r>
          </w:p>
        </w:tc>
      </w:tr>
      <w:tr>
        <w:trPr>
          <w:cantSplit/>
        </w:trPr>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Problematischer Pornografiekonsum (PPU)</w:t>
            </w:r>
          </w:p>
        </w:tc>
        <w:tc>
          <w:tcPr>
            <w:tcW w:type="dxa" w:w="653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Dimensional gemessener Konsum mit Kontrollverlust, Leidensdruck und Funktionsbeeinträchtigung; umgangssprachlich „Pornosucht“.</w:t>
            </w:r>
          </w:p>
        </w:tc>
      </w:tr>
      <w:tr>
        <w:trPr>
          <w:cantSplit/>
        </w:trPr>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Zwanghafte Sexualverhaltensstörung (CSBD)</w:t>
            </w:r>
          </w:p>
        </w:tc>
        <w:tc>
          <w:tcPr>
            <w:tcW w:type="dxa" w:w="65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ICD-11 6C72: anhaltendes Muster (≥ 6 Monate) fehlender Kontrolle über intensive sexuelle Impulse mit wiederholtem Verhalten, erfolglosen Reduktionsversuchen, Fortsetzung trotz negativer Folgen und deutlicher Beeinträchtigung. Leidensdruck, der ausschließlich auf moralischer Missbilligung beruht, reicht nicht aus.</w:t>
            </w:r>
          </w:p>
        </w:tc>
      </w:tr>
      <w:tr>
        <w:trPr>
          <w:cantSplit/>
        </w:trPr>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Moralische Inkongruenz</w:t>
            </w:r>
          </w:p>
        </w:tc>
        <w:tc>
          <w:tcPr>
            <w:tcW w:type="dxa" w:w="653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Diskrepanz zwischen eigenen Werten und eigenem Pornografiekonsum, die als „Sucht“ erlebt werden kann (Grubbs et al., 2019).</w:t>
            </w:r>
          </w:p>
        </w:tc>
      </w:tr>
      <w:tr>
        <w:trPr>
          <w:cantSplit/>
        </w:trPr>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Funnel</w:t>
            </w:r>
          </w:p>
        </w:tc>
        <w:tc>
          <w:tcPr>
            <w:tcW w:type="dxa" w:w="653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Mehrstufiger Marketing-Trichter von Reichweite über Bindung zu Konversion und Wiederholungskauf.</w:t>
            </w:r>
          </w:p>
        </w:tc>
      </w:tr>
      <w:tr>
        <w:trPr>
          <w:cantSplit/>
        </w:trPr>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Chatter</w:t>
            </w:r>
          </w:p>
        </w:tc>
        <w:tc>
          <w:tcPr>
            <w:tcW w:type="dxa" w:w="653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Von Agenturen bezahlte Personen, die im Namen von Creator:innen Nachrichten an zahlende Fans schreiben.</w:t>
            </w:r>
          </w:p>
        </w:tc>
      </w:tr>
    </w:tbl>
    <w:p>
      <w:pPr>
        <w:pStyle w:val="Heading1"/>
      </w:pPr>
      <w:r>
        <w:t xml:space="preserve">3  Methodik</w:t>
      </w:r>
    </w:p>
    <w:p>
      <w:pPr>
        <w:pStyle w:val="Heading2"/>
      </w:pPr>
      <w:r>
        <w:t xml:space="preserve">3.1  Design</w:t>
      </w:r>
    </w:p>
    <w:p>
      <w:pPr>
        <w:spacing w:after="120" w:line="276"/>
        <w:jc w:val="both"/>
      </w:pPr>
      <w:r>
        <w:t xml:space="preserve">Es handelt sich um eine narrative Übersichtsarbeit im Rapid-Review-Format, kombiniert mit einer Sekundäranalyse veröffentlichter Kennzahlen und einer qualitativen Dokumentenanalyse. Eigene Primärdaten wurden nicht erhoben. Die Recherche erfolgte bis zum 29. September 2026 in wissenschaftlichen Datenbanken und Verlagsportalen (u. a. PubMed, Nature, Science, PNAS, Journal of Behavioral Addictions), bei Behörden und Forschungsverbünden (mpfs, DAK/UKE, WHO/HBSC, EU-Kommission, BMBFSFJ, eSafety) sowie in Branchen- und Gerichtsdokumenten.</w:t>
      </w:r>
    </w:p>
    <w:p>
      <w:pPr>
        <w:pStyle w:val="Heading2"/>
      </w:pPr>
      <w:r>
        <w:t xml:space="preserve">3.2  Quellentypen und Evidenzgrade</w:t>
      </w:r>
    </w:p>
    <w:p>
      <w:pPr>
        <w:spacing w:after="120" w:line="276"/>
        <w:jc w:val="both"/>
      </w:pPr>
      <w:r>
        <w:t xml:space="preserve">Da die Quellen methodisch sehr heterogen sind, wird jedem Befund ein Evidenzgrad zugewiesen. Die Grade bewerten die Aussagekraft für die jeweilige Teilfrage, nicht die Qualität der Institution.</w:t>
      </w:r>
    </w:p>
    <w:p>
      <w:pPr>
        <w:keepNext/>
        <w:spacing w:after="80" w:before="200"/>
      </w:pPr>
      <w:r>
        <w:rPr>
          <w:b/>
          <w:bCs/>
          <w:color w:val="1F3864"/>
          <w:sz w:val="20"/>
          <w:szCs w:val="20"/>
        </w:rPr>
        <w:t xml:space="preserve">Tabelle 2: Evidenzgrade dieser Arbeit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3175"/>
        <w:gridCol w:w="4988"/>
      </w:tblGrid>
      <w:tr>
        <w:trPr>
          <w:tblHeader/>
        </w:trPr>
        <w:tc>
          <w:tcPr>
            <w:tcW w:type="dxa" w:w="90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c>
          <w:tcPr>
            <w:tcW w:type="dxa" w:w="317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Bedeutung</w:t>
            </w:r>
          </w:p>
        </w:tc>
        <w:tc>
          <w:tcPr>
            <w:tcW w:type="dxa" w:w="49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Typische Quellen</w:t>
            </w:r>
          </w:p>
        </w:tc>
      </w:tr>
      <w:tr>
        <w:trPr>
          <w:cantSplit/>
        </w:trPr>
        <w:tc>
          <w:tcPr>
            <w:tcW w:type="dxa" w:w="90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b/>
                <w:bCs/>
                <w:sz w:val="17"/>
                <w:szCs w:val="17"/>
              </w:rPr>
              <w:t xml:space="preserve">A</w:t>
            </w:r>
          </w:p>
        </w:tc>
        <w:tc>
          <w:tcPr>
            <w:tcW w:type="dxa" w:w="317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Kausale oder replizierte Evidenz</w:t>
            </w:r>
          </w:p>
        </w:tc>
        <w:tc>
          <w:tcPr>
            <w:tcW w:type="dxa" w:w="498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Randomisierte Feldexperimente, Metaanalysen, repräsentative Längsschnitte</w:t>
            </w:r>
          </w:p>
        </w:tc>
      </w:tr>
      <w:tr>
        <w:trPr>
          <w:cantSplit/>
        </w:trPr>
        <w:tc>
          <w:tcPr>
            <w:tcW w:type="dxa" w:w="90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b/>
                <w:bCs/>
                <w:sz w:val="17"/>
                <w:szCs w:val="17"/>
              </w:rPr>
              <w:t xml:space="preserve">B</w:t>
            </w:r>
          </w:p>
        </w:tc>
        <w:tc>
          <w:tcPr>
            <w:tcW w:type="dxa" w:w="317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Systematische Beobachtung</w:t>
            </w:r>
          </w:p>
        </w:tc>
        <w:tc>
          <w:tcPr>
            <w:tcW w:type="dxa" w:w="4988"/>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Repräsentative Querschnitts-Surveys, systematische Sockenpuppen-Audits</w:t>
            </w:r>
          </w:p>
        </w:tc>
      </w:tr>
      <w:tr>
        <w:trPr>
          <w:cantSplit/>
        </w:trPr>
        <w:tc>
          <w:tcPr>
            <w:tcW w:type="dxa" w:w="90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b/>
                <w:bCs/>
                <w:sz w:val="17"/>
                <w:szCs w:val="17"/>
              </w:rPr>
              <w:t xml:space="preserve">C</w:t>
            </w:r>
          </w:p>
        </w:tc>
        <w:tc>
          <w:tcPr>
            <w:tcW w:type="dxa" w:w="317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Dokumentierte Praxis</w:t>
            </w:r>
          </w:p>
        </w:tc>
        <w:tc>
          <w:tcPr>
            <w:tcW w:type="dxa" w:w="498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Branchenleitfäden, Gerichtsakten, investigative Recherchen, Firmenberichte</w:t>
            </w:r>
          </w:p>
        </w:tc>
      </w:tr>
      <w:tr>
        <w:trPr>
          <w:cantSplit/>
        </w:trPr>
        <w:tc>
          <w:tcPr>
            <w:tcW w:type="dxa" w:w="90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b/>
                <w:bCs/>
                <w:sz w:val="17"/>
                <w:szCs w:val="17"/>
              </w:rPr>
              <w:t xml:space="preserve">D</w:t>
            </w:r>
          </w:p>
        </w:tc>
        <w:tc>
          <w:tcPr>
            <w:tcW w:type="dxa" w:w="317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Theoretisch plausibel</w:t>
            </w:r>
          </w:p>
        </w:tc>
        <w:tc>
          <w:tcPr>
            <w:tcW w:type="dxa" w:w="4988"/>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Übertragung bekannter psychologischer Mechanismen ohne direkte Prüfung im Kontext</w:t>
            </w:r>
          </w:p>
        </w:tc>
      </w:tr>
    </w:tbl>
    <w:p>
      <w:pPr>
        <w:pStyle w:val="Heading2"/>
      </w:pPr>
      <w:r>
        <w:t xml:space="preserve">3.3  Forschungsethische Entscheidung</w:t>
      </w:r>
    </w:p>
    <w:p>
      <w:pPr>
        <w:spacing w:after="120" w:line="276"/>
        <w:jc w:val="both"/>
      </w:pPr>
      <w:r>
        <w:t xml:space="preserve">Die Aufgabenstellung sah ursprünglich vor, einzelne reale OnlyFans-Kanäle mit TikTok- bzw. Instagram-Marketing zu recherchieren. Darauf wurde bewusst verzichtet: Eine namentliche Profilanalyse realer Personen – teils junger Frauen, deren Konten von Agenturen geführt werden – wäre ohne Einwilligung forschungsethisch nicht vertretbar und für die Fragestellung auch nicht nötig. Stattdessen wurde die Funnel-Architektur aus den Selbstbeschreibungen der Vermarktungsbranche (Agentur-, Tool- und Affiliate-Leitfäden), aus Gerichtsakten und aus investigativen Recherchen rekonstruiert. Diese Quellen beschreiben die Praxis von Dutzenden bis Hunderten Accounts und sind damit für eine Verhaltensanalyse der Mehrheit aussagekräftiger als Einzelfälle.</w:t>
      </w:r>
    </w:p>
    <w:p>
      <w:pPr>
        <w:pStyle w:val="Heading2"/>
      </w:pPr>
      <w:r>
        <w:t xml:space="preserve">3.4  Grenzen des Vorgehens</w:t>
      </w:r>
    </w:p>
    <w:p>
      <w:pPr>
        <w:pStyle w:val="ListParagraph"/>
        <w:numPr>
          <w:ilvl w:val="0"/>
          <w:numId w:val="4"/>
        </w:numPr>
        <w:spacing w:after="60" w:line="264"/>
        <w:jc w:val="left"/>
      </w:pPr>
      <w:r>
        <w:t xml:space="preserve">Keine systematische Suche nach PRISMA-Standard; Auswahlverzerrung ist möglich.</w:t>
      </w:r>
    </w:p>
    <w:p>
      <w:pPr>
        <w:pStyle w:val="ListParagraph"/>
        <w:numPr>
          <w:ilvl w:val="0"/>
          <w:numId w:val="4"/>
        </w:numPr>
        <w:spacing w:after="60" w:line="264"/>
        <w:jc w:val="left"/>
      </w:pPr>
      <w:r>
        <w:t xml:space="preserve">Sockenpuppen-Audits bilden das Verhalten realer Nutzender nur näherungsweise ab und haben oft kleine Stichproben.</w:t>
      </w:r>
    </w:p>
    <w:p>
      <w:pPr>
        <w:pStyle w:val="ListParagraph"/>
        <w:numPr>
          <w:ilvl w:val="0"/>
          <w:numId w:val="4"/>
        </w:numPr>
        <w:spacing w:after="60" w:line="264"/>
        <w:jc w:val="left"/>
      </w:pPr>
      <w:r>
        <w:t xml:space="preserve">Plattformen ändern ihre Algorithmen laufend; Befunde sind zeitgebunden.</w:t>
      </w:r>
    </w:p>
    <w:p>
      <w:pPr>
        <w:pStyle w:val="ListParagraph"/>
        <w:numPr>
          <w:ilvl w:val="0"/>
          <w:numId w:val="4"/>
        </w:numPr>
        <w:spacing w:after="60" w:line="264"/>
        <w:jc w:val="left"/>
      </w:pPr>
      <w:r>
        <w:t xml:space="preserve">Branchenquellen verfolgen Verkaufsinteressen; ihre Zahlen werden nur als Beleg für Praktiken, nicht als Beleg für Wirksamkeit verwendet.</w:t>
      </w:r>
    </w:p>
    <w:p>
      <w:pPr>
        <w:pStyle w:val="ListParagraph"/>
        <w:numPr>
          <w:ilvl w:val="0"/>
          <w:numId w:val="4"/>
        </w:numPr>
        <w:spacing w:after="60" w:line="264"/>
        <w:jc w:val="left"/>
      </w:pPr>
      <w:r>
        <w:t xml:space="preserve">Mehrere Kennzahlen zu OnlyFans stammen aus Sekundärauswertungen und sind entsprechend gekennzeichnet.</w:t>
      </w:r>
    </w:p>
    <w:p>
      <w:pPr>
        <w:pStyle w:val="Heading1"/>
      </w:pPr>
      <w:r>
        <w:t xml:space="preserve">4  Datenlage: Nutzung und problematische Nutzung</w:t>
      </w:r>
    </w:p>
    <w:p>
      <w:pPr>
        <w:keepNext/>
        <w:spacing w:after="80" w:before="200"/>
      </w:pPr>
      <w:r>
        <w:rPr>
          <w:b/>
          <w:bCs/>
          <w:color w:val="1F3864"/>
          <w:sz w:val="20"/>
          <w:szCs w:val="20"/>
        </w:rPr>
        <w:t xml:space="preserve">Tabelle 3: Zentrale Kennzahlen zur Mediennutzung Jugendlicher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4716"/>
        <w:gridCol w:w="726"/>
      </w:tblGrid>
      <w:tr>
        <w:trPr>
          <w:tblHeader/>
        </w:trPr>
        <w:tc>
          <w:tcPr>
            <w:tcW w:type="dxa" w:w="18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Studie</w:t>
            </w:r>
          </w:p>
        </w:tc>
        <w:tc>
          <w:tcPr>
            <w:tcW w:type="dxa" w:w="18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Stichprobe</w:t>
            </w:r>
          </w:p>
        </w:tc>
        <w:tc>
          <w:tcPr>
            <w:tcW w:type="dxa" w:w="47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Kernbefunde</w:t>
            </w:r>
          </w:p>
        </w:tc>
        <w:tc>
          <w:tcPr>
            <w:tcW w:type="dxa" w:w="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r>
      <w:tr>
        <w:trPr>
          <w:cantSplit/>
        </w:trPr>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JIM-Studie 2025 (mpfs)</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 = 1.200, 12–19 J., DE, Juni/Juli 2025</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95 % eigenes Smartphone; Bildschirmzeit 166 min/Tag (12–13 J.) bis 278 min/Tag (Volljährige). Wichtigste Apps: WhatsApp 84 %, Instagram 33 %, Snapchat 24 %, TikTok 23 %. Sexuelle Belästigung am häufigsten auf Instagram (37 %), TikTok (27 %; Vorjahr 19 %) und Snapchat (18 %).</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JIMplus (mpfs, 2026)</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14–17 J., DE</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13 % nutzen TikTok mehr als drei Stunden täglich; sehr intensive TikTok-Nutzung geht mit geringerem Wohlbefinden einher; offene Familienkommunikation wirkt schützend.</w:t>
            </w:r>
          </w:p>
        </w:tc>
        <w:tc>
          <w:tcPr>
            <w:tcW w:type="dxa" w:w="72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DAK/UKE-Mediensuchtstudie, 8. Welle (Sept./Okt. 2025)</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ca. 1.000 Familien, 10–17 J., DE, ICD-11-basiert</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Riskante Social-Media-Nutzung 21,5 %, pathologisch 6,6 % (hochgerechnet ca. 1,5 Mio. problematisch, ca. 350.000 pathologisch). Online-Videos/Reels: jede:r Fünfte riskant, 4 % erfüllen Suchtkriterien. Zum Vergleich 2019: 11,4 % problematische Social-Media-Nutzung.</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HBSC 2021/22 (WHO Europa)</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11-, 13-, 15-Jährige, Europa/Zentralasien/Kanada</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Problematische Social-Media-Nutzung stieg von 7 % (2018) auf 11 % (2022); Mädchen 13 %, Jungen 9 %. Intensive, aber nicht problematische Nutzer berichten die stärkste soziale Unterstützung.</w:t>
            </w:r>
          </w:p>
        </w:tc>
        <w:tc>
          <w:tcPr>
            <w:tcW w:type="dxa" w:w="72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Cloes et al. (2026, Preprint)</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4 Wellen 2022–2025, n = 3.477, 10–17 J., DE; Längsschnitt n = 244</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Riskantes Video-Streaming 13–14 % (2022–2024), 25 % (2025); pathologisch 2–4 %. Bis zu 81 % der pathologisch Nutzenden mit klinisch relevanter Depressivität (vs. 8–9 %). Depression sagte späteres problematisches Streaming vorher, nicht umgekehrt.</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A–B</w:t>
            </w:r>
          </w:p>
        </w:tc>
      </w:tr>
    </w:tbl>
    <w:p>
      <w:pPr>
        <w:spacing w:after="200" w:before="60"/>
        <w:jc w:val="left"/>
      </w:pPr>
      <w:r>
        <w:rPr>
          <w:color w:val="595959"/>
          <w:sz w:val="16"/>
          <w:szCs w:val="16"/>
        </w:rPr>
        <w:t xml:space="preserve">Quellen: mpfs (2025); ZDFheute (2026) zu JIMplus; DAK-Gesundheit (2026); WHO Europa (2024); Cloes et al. (2026, nicht begutachteter Preprint).</w:t>
      </w:r>
    </w:p>
    <w:p>
      <w:pPr>
        <w:spacing w:after="120" w:line="276"/>
        <w:jc w:val="both"/>
      </w:pPr>
      <w:r>
        <w:rPr>
          <w:b/>
          <w:bCs/>
        </w:rPr>
        <w:t xml:space="preserve">Interpretation.</w:t>
      </w:r>
      <w:r>
        <w:t xml:space="preserve"> Problematische Nutzung ist ein Minderheitenphänomen, aber keine Randerscheinung: Hochgerechnet betrifft riskante oder pathologische Social-Media-Nutzung in Deutschland rund jedes vierte bis fünfte Kind im Alter von 10 bis 17 Jahren. Zwei Befunde sind für die Leitfrage zentral. Erstens liegt die Kurzvideo-Nutzung – die Eintrittspforte des hier untersuchten Pfades – bei einem Fünftel der Jugendlichen bereits im riskanten Bereich. Zweitens deutet der Längsschnitt von Cloes et al. darauf hin, dass depressive Symptome problematischer Video-Nutzung vorausgehen. Das stützt H4 und spricht gegen ein rein technikdeterministisches Modell: Plattformen verstärken bestehende Verletzlichkeiten, sie erzeugen sie nicht allein.</w:t>
      </w:r>
    </w:p>
    <w:p>
      <w:pPr>
        <w:pStyle w:val="Heading1"/>
      </w:pPr>
      <w:r>
        <w:t xml:space="preserve">5  Die Mechanik der Empfehlungssysteme</w:t>
      </w:r>
    </w:p>
    <w:p>
      <w:pPr>
        <w:pStyle w:val="Heading2"/>
      </w:pPr>
      <w:r>
        <w:t xml:space="preserve">5.1  Implizite Signale statt bewusster Wahl</w:t>
      </w:r>
    </w:p>
    <w:p>
      <w:pPr>
        <w:spacing w:after="120" w:line="276"/>
        <w:jc w:val="both"/>
      </w:pPr>
      <w:r>
        <w:t xml:space="preserve">Kurzvideo-Feeds unterscheiden sich von klassischen sozialen Netzwerken dadurch, dass der Großteil der Inhalte nicht von gefolgten Accounts stammt, sondern algorithmisch aus dem gesamten Angebot ausgewählt wird. Grundlage sind vor allem implizite Signale: ob ein Video zu Ende gesehen, wiederholt, pausiert oder nach einer Sekunde übersprungen wird. Weil ein Video nur 15 bis 60 Sekunden dauert, erzeugt schon eine zwanzigminütige Sitzung Dutzende Datenpunkte. Das erklärt die Geschwindigkeit der Profilbildung, die in den Audit-Studien in Kapitel 6 sichtbar wird.</w:t>
      </w:r>
    </w:p>
    <w:p>
      <w:pPr>
        <w:spacing w:after="120" w:line="276"/>
        <w:jc w:val="both"/>
      </w:pPr>
      <w:r>
        <w:t xml:space="preserve">Die Testreihe des </w:t>
      </w:r>
      <w:r>
        <w:rPr>
          <w:i/>
          <w:iCs/>
        </w:rPr>
        <w:t xml:space="preserve">Wall Street Journal</w:t>
      </w:r>
      <w:r>
        <w:t xml:space="preserve"> mit der Informatikerin Laura Edelson (2024) illustriert das Prinzip: Test-Accounts mit Altersangabe 13, die „anzügliche“ Reels vollständig ansahen und andere übersprangen, erhielten zunehmend explizitere Inhalte – ohne je nach ihnen gesucht zu haben. Die Nutzenden müssen ihr Interesse also nicht äußern; es genügt, dass ihr Blick verweilt (Grad B).</w:t>
      </w:r>
    </w:p>
    <w:p>
      <w:pPr>
        <w:pStyle w:val="Heading2"/>
      </w:pPr>
      <w:r>
        <w:t xml:space="preserve">5.2  Gestaltungsmerkmale mit Suchtpotenzial</w:t>
      </w:r>
    </w:p>
    <w:p>
      <w:pPr>
        <w:spacing w:after="120" w:line="276"/>
        <w:jc w:val="both"/>
      </w:pPr>
      <w:r>
        <w:t xml:space="preserve">Flayelle et al. (2023) haben eine Taxonomie technischer Gestaltungsmerkmale vorgelegt, die potenziell suchtartiges Online-Verhalten fördern. Die EU-Kommission hat im Februar 2026 vorläufig festgestellt, dass TikTok mit genau solchen Merkmalen gegen den Digital Services Act verstößt: unendliches Scrollen, automatisches Abspielen, Push-Benachrichtigungen und ein hochgradig personalisiertes Empfehlungssystem versetzten Nutzende durch ständige Belohnung in einen „Autopilot-Modus“; zugleich habe TikTok Indikatoren zwanghafter Nutzung wie nächtliche Nutzungszeiten Minderjähriger und die Häufigkeit des App-Öffnens nicht angemessen berücksichtigt (Europäische Kommission, 2026). TikTok weist die Vorwürfe zurück; ein abschließender Beschluss steht aus.</w:t>
      </w:r>
    </w:p>
    <w:p>
      <w:pPr>
        <w:keepNext/>
        <w:spacing w:after="80" w:before="200"/>
      </w:pPr>
      <w:r>
        <w:rPr>
          <w:b/>
          <w:bCs/>
          <w:color w:val="1F3864"/>
          <w:sz w:val="20"/>
          <w:szCs w:val="20"/>
        </w:rPr>
        <w:t xml:space="preserve">Tabelle 4: Gestaltungsmerkmal, lernpsychologischer Mechanismus und Wirkung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7"/>
        <w:gridCol w:w="2902"/>
        <w:gridCol w:w="2721"/>
        <w:gridCol w:w="1270"/>
      </w:tblGrid>
      <w:tr>
        <w:trPr>
          <w:tblHeader/>
        </w:trPr>
        <w:tc>
          <w:tcPr>
            <w:tcW w:type="dxa" w:w="21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Gestaltungsmerkmal</w:t>
            </w:r>
          </w:p>
        </w:tc>
        <w:tc>
          <w:tcPr>
            <w:tcW w:type="dxa" w:w="29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Psychologischer Mechanismus</w:t>
            </w:r>
          </w:p>
        </w:tc>
        <w:tc>
          <w:tcPr>
            <w:tcW w:type="dxa" w:w="27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Erwartbare Wirkung</w:t>
            </w:r>
          </w:p>
        </w:tc>
        <w:tc>
          <w:tcPr>
            <w:tcW w:type="dxa" w:w="12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r>
      <w:tr>
        <w:trPr>
          <w:cantSplit/>
        </w:trPr>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Unendliches Scrollen, Autoplay</w:t>
            </w:r>
          </w:p>
        </w:tc>
        <w:tc>
          <w:tcPr>
            <w:tcW w:type="dxa" w:w="290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Wegfall natürlicher Stopp-Punkte; Entscheidung „weiter“ wird zur Voreinstellung</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Längere Sitzungen, geringere Selbstkontrolle</w:t>
            </w:r>
          </w:p>
        </w:tc>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A–B</w:t>
            </w:r>
          </w:p>
        </w:tc>
      </w:tr>
      <w:tr>
        <w:trPr>
          <w:cantSplit/>
        </w:trPr>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Unvorhersehbare Qualität des nächsten Videos</w:t>
            </w:r>
          </w:p>
        </w:tc>
        <w:tc>
          <w:tcPr>
            <w:tcW w:type="dxa" w:w="290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Variable Verstärkung (variabler Quotenplan), analog zum Glücksspielautomaten</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Hohe Löschungsresistenz des Scroll-Verhaltens</w:t>
            </w:r>
          </w:p>
        </w:tc>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 (Mechanismus gut belegt, Übertragung plausibel)</w:t>
            </w:r>
          </w:p>
        </w:tc>
      </w:tr>
      <w:tr>
        <w:trPr>
          <w:cantSplit/>
        </w:trPr>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Push-Benachrichtigungen</w:t>
            </w:r>
          </w:p>
        </w:tc>
        <w:tc>
          <w:tcPr>
            <w:tcW w:type="dxa" w:w="290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Externe Hinweisreize (Cues) für Gewohnheitsschleifen</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Häufiges Öffnen, fragmentierte Aufmerksamkeit</w:t>
            </w:r>
          </w:p>
        </w:tc>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Personalisierung über Verweildauer</w:t>
            </w:r>
          </w:p>
        </w:tc>
        <w:tc>
          <w:tcPr>
            <w:tcW w:type="dxa" w:w="290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Operante Kopplung von Aufmerksamkeit und Inhalt</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Schnelle Verengung auf reizintensive Inhalte</w:t>
            </w:r>
          </w:p>
        </w:tc>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Kurze Formate</w:t>
            </w:r>
          </w:p>
        </w:tc>
        <w:tc>
          <w:tcPr>
            <w:tcW w:type="dxa" w:w="290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Sehr kurze Belohnungslatenz</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Niedrige Einstiegsschwelle, hohe Frequenz</w:t>
            </w:r>
          </w:p>
        </w:tc>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C–D</w:t>
            </w:r>
          </w:p>
        </w:tc>
      </w:tr>
    </w:tbl>
    <w:p>
      <w:pPr>
        <w:spacing w:after="200" w:before="60"/>
        <w:jc w:val="left"/>
      </w:pPr>
      <w:r>
        <w:rPr>
          <w:color w:val="595959"/>
          <w:sz w:val="16"/>
          <w:szCs w:val="16"/>
        </w:rPr>
        <w:t xml:space="preserve">Quellen: Flayelle et al. (2023); Europäische Kommission (2026); Brand et al. (2019) zum I-PACE-Modell.</w:t>
      </w:r>
    </w:p>
    <w:p>
      <w:pPr>
        <w:spacing w:after="120" w:line="276"/>
        <w:jc w:val="both"/>
      </w:pPr>
      <w:r>
        <w:t xml:space="preserve">Das I-PACE-Modell (Brand et al., 2019) beschreibt, wie Persönlichkeitsmerkmale, affektive und kognitive Reaktionen sowie exekutive Kontrolle zusammenwirken, bis aus einem belohnenden Verhalten ein automatisiertes, schwer kontrollierbares Muster wird. Es bildet den theoretischen Rahmen der Verhaltensanalyse in Kapitel 9.</w:t>
      </w:r>
    </w:p>
    <w:p>
      <w:pPr>
        <w:pStyle w:val="Heading1"/>
      </w:pPr>
      <w:r>
        <w:t xml:space="preserve">6  Filterblasen: Entstehung, Wirkung und politisches Agenda-Setting</w:t>
      </w:r>
    </w:p>
    <w:p>
      <w:pPr>
        <w:pStyle w:val="Heading2"/>
      </w:pPr>
      <w:r>
        <w:t xml:space="preserve">6.1  Empirische Belege für rasche Verengung</w:t>
      </w:r>
    </w:p>
    <w:p>
      <w:pPr>
        <w:keepNext/>
        <w:spacing w:after="80" w:before="200"/>
      </w:pPr>
      <w:r>
        <w:rPr>
          <w:b/>
          <w:bCs/>
          <w:color w:val="1F3864"/>
          <w:sz w:val="20"/>
          <w:szCs w:val="20"/>
        </w:rPr>
        <w:t xml:space="preserve">Tabelle 5: Audit-Studien zur Geschwindigkeit der Verengung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177"/>
        <w:gridCol w:w="4172"/>
        <w:gridCol w:w="726"/>
      </w:tblGrid>
      <w:tr>
        <w:trPr>
          <w:tblHeader/>
        </w:trPr>
        <w:tc>
          <w:tcPr>
            <w:tcW w:type="dxa" w:w="199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Studie</w:t>
            </w:r>
          </w:p>
        </w:tc>
        <w:tc>
          <w:tcPr>
            <w:tcW w:type="dxa" w:w="21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Design</w:t>
            </w:r>
          </w:p>
        </w:tc>
        <w:tc>
          <w:tcPr>
            <w:tcW w:type="dxa" w:w="41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Befund</w:t>
            </w:r>
          </w:p>
        </w:tc>
        <w:tc>
          <w:tcPr>
            <w:tcW w:type="dxa" w:w="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r>
      <w:tr>
        <w:trPr>
          <w:cantSplit/>
        </w:trPr>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Baker, Ging &amp; Andreasen (2024), DCU „Recommending Toxicity“</w:t>
            </w:r>
          </w:p>
        </w:tc>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10 Sockenpuppen (5 TikTok, 5 YouTube Shorts), Profile 16- und 18-jähriger Jungen; über 29 h Videomaterial codiert</w:t>
            </w:r>
          </w:p>
        </w:tc>
        <w:tc>
          <w:tcPr>
            <w:tcW w:type="dxa" w:w="417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Alle Accounts – auch jene mit neutralen Jungen-Interessen wie Sport oder Gaming – erhielten innerhalb von 23 min toxische und innerhalb von 26 min „Manosphere“-Inhalte. Anteil toxischer Inhalte: YouTube Shorts 61,5 %, TikTok 34,7 %. Neutrale TikTok-Profile: Manosphere nach unter 9 bzw. 15 min.</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Regehr et al. (2024), zit. n. Baker et al.</w:t>
            </w:r>
          </w:p>
        </w:tc>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TikTok-Audit, 5 Tage</w:t>
            </w:r>
          </w:p>
        </w:tc>
        <w:tc>
          <w:tcPr>
            <w:tcW w:type="dxa" w:w="417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Vervierfachung misogyner Inhalte im „Für dich“-Feed.</w:t>
            </w:r>
          </w:p>
        </w:tc>
        <w:tc>
          <w:tcPr>
            <w:tcW w:type="dxa" w:w="72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Amnesty International (2023; 2025)</w:t>
            </w:r>
          </w:p>
        </w:tc>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Automatisierte und manuelle Accounts von 13-Jährigen (Kenia, Philippinen, USA; 2025 Frankreich)</w:t>
            </w:r>
          </w:p>
        </w:tc>
        <w:tc>
          <w:tcPr>
            <w:tcW w:type="dxa" w:w="417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Nach 5–6 h war fast jedes zweite Video psychisch belastend und potenziell schädlich (rund zehnmal mehr als bei Kontroll-Accounts); manuell nach 3–20 min über die Hälfte. Folgestudie 2025: Muster besteht fort.</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WSJ &amp; Edelson (2024)</w:t>
            </w:r>
          </w:p>
        </w:tc>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Neue Instagram-Accounts mit Alter 13, sieben Monate</w:t>
            </w:r>
          </w:p>
        </w:tc>
        <w:tc>
          <w:tcPr>
            <w:tcW w:type="dxa" w:w="417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Sexualisierte Inhalte teils nach 3 min; nach unter 20 min war der Reels-Feed voll mit Werbung von Sexarbeiterinnen und Creator-Angeboten, teils mit Nacktbild-Versprechen gegen Interaktion. Vergleichstests auf Snapchat und TikTok zeigten dieses Muster nicht. Meta bezeichnete den Test als künstlich.</w:t>
            </w:r>
          </w:p>
        </w:tc>
        <w:tc>
          <w:tcPr>
            <w:tcW w:type="dxa" w:w="72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Universität Potsdam &amp; Bertelsmann Stiftung (2025)</w:t>
            </w:r>
          </w:p>
        </w:tc>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268 Sockenpuppen, 2,6 Mio. Videos, Profile 21–25 J., vor der Bundestagswahl 2025</w:t>
            </w:r>
          </w:p>
        </w:tc>
        <w:tc>
          <w:tcPr>
            <w:tcW w:type="dxa" w:w="417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Inhalte von Parteien an den Rändern wurden häufiger ausgespielt; Videos mit #afd erschienen auf TikTok nach durchschnittlich 11–12 min und machten plattformübergreifend etwa die Hälfte aller parteibezogenen Inhalte aus.</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bl>
    <w:p>
      <w:pPr>
        <w:spacing w:after="200" w:before="60"/>
        <w:jc w:val="left"/>
      </w:pPr>
      <w:r>
        <w:rPr>
          <w:color w:val="595959"/>
          <w:sz w:val="16"/>
          <w:szCs w:val="16"/>
        </w:rPr>
        <w:t xml:space="preserve">Quellen: siehe Literaturverzeichnis. Hinweis: Sockenpuppen simulieren Verhalten; Stichproben sind klein; die Plattformen bestreiten die Übertragbarkeit teilweise.</w:t>
      </w:r>
    </w:p>
    <w:p>
      <w:pPr>
        <w:pBdr>
          <w:left w:val="single" w:color="2E5496" w:sz="24" w:space="8"/>
        </w:pBdr>
        <w:shd w:fill="EAF1FB" w:color="auto" w:val="clear"/>
        <w:spacing w:after="60" w:before="120"/>
        <w:ind w:left="200" w:right="200"/>
      </w:pPr>
      <w:r>
        <w:rPr>
          <w:b/>
          <w:bCs/>
          <w:color w:val="1F3864"/>
        </w:rPr>
        <w:t xml:space="preserve">Kernbefund zu TF1</w:t>
      </w:r>
    </w:p>
    <w:p>
      <w:pPr>
        <w:pBdr>
          <w:left w:val="single" w:color="2E5496" w:sz="24" w:space="8"/>
        </w:pBdr>
        <w:shd w:fill="EAF1FB" w:color="auto" w:val="clear"/>
        <w:spacing w:after="200" w:line="264"/>
        <w:ind w:left="200" w:right="200"/>
      </w:pPr>
      <w:r>
        <w:t xml:space="preserve">Die Verengung geschieht nicht über Wochen, sondern über Minuten bis wenige Stunden. Für junge Männer zeigen zwei unabhängige Audit-Reihen parallel eine Verengung in Richtung </w:t>
      </w:r>
      <w:r>
        <w:rPr>
          <w:b/>
          <w:bCs/>
        </w:rPr>
        <w:t xml:space="preserve">Manosphere/Misogynie</w:t>
      </w:r>
      <w:r>
        <w:t xml:space="preserve"> (DCU) und in Richtung </w:t>
      </w:r>
      <w:r>
        <w:rPr>
          <w:b/>
          <w:bCs/>
        </w:rPr>
        <w:t xml:space="preserve">sexualisierter Creator-Inhalte</w:t>
      </w:r>
      <w:r>
        <w:t xml:space="preserve"> (WSJ, Instagram) – ohne aktive Suche. H1 wird gestützt (Grad B).</w:t>
      </w:r>
    </w:p>
    <w:p>
      <w:pPr>
        <w:pStyle w:val="Heading2"/>
      </w:pPr>
      <w:r>
        <w:t xml:space="preserve">6.2  Algorithmisches Agenda-Setting</w:t>
      </w:r>
    </w:p>
    <w:p>
      <w:pPr>
        <w:spacing w:after="120" w:line="276"/>
        <w:jc w:val="both"/>
      </w:pPr>
      <w:r>
        <w:t xml:space="preserve">Die klassische Agenda-Setting-Forschung zeigte, dass Medien weniger bestimmen, </w:t>
      </w:r>
      <w:r>
        <w:rPr>
          <w:i/>
          <w:iCs/>
        </w:rPr>
        <w:t xml:space="preserve">was</w:t>
      </w:r>
      <w:r>
        <w:t xml:space="preserve"> Menschen denken, als </w:t>
      </w:r>
      <w:r>
        <w:rPr>
          <w:i/>
          <w:iCs/>
        </w:rPr>
        <w:t xml:space="preserve">worüber</w:t>
      </w:r>
      <w:r>
        <w:t xml:space="preserve"> sie nachdenken (McCombs &amp; Shaw, 1972). In Kurzvideo-Feeds übernimmt das Ranking die Funktion der Redaktion. Da ein Viertel der Jugendlichen Informationen direkt über TikTok und Instagram sucht (mpfs, 2025), wird die Sortierlogik des Feeds zur faktischen Themensetzung für einen relevanten Teil der Jungwählerschaft.</w:t>
      </w:r>
    </w:p>
    <w:p>
      <w:pPr>
        <w:spacing w:after="120" w:line="276"/>
        <w:jc w:val="both"/>
      </w:pPr>
      <w:r>
        <w:t xml:space="preserve">Bei der Bundestagswahl 2025 erreichte bei den 18- bis 24-Jährigen Die Linke 25 % und die AfD 21 %, während Grüne und FDP gegenüber 2021 stark verloren (Konrad-Adenauer-Stiftung, 2025). Beide Parteien waren auf TikTok besonders präsent. Die Potsdamer Audit-Daten belegen eine überproportionale Sichtbarkeit der Ränder im Feed (Grad B); ein </w:t>
      </w:r>
      <w:r>
        <w:rPr>
          <w:b/>
          <w:bCs/>
        </w:rPr>
        <w:t xml:space="preserve">Kausalschluss</w:t>
      </w:r>
      <w:r>
        <w:t xml:space="preserve"> vom Feed auf das Wahlverhalten ist aus diesen Querschnittsdaten jedoch </w:t>
      </w:r>
      <w:r>
        <w:rPr>
          <w:b/>
          <w:bCs/>
        </w:rPr>
        <w:t xml:space="preserve">nicht</w:t>
      </w:r>
      <w:r>
        <w:t xml:space="preserve"> zulässig.</w:t>
      </w:r>
    </w:p>
    <w:p>
      <w:pPr>
        <w:spacing w:after="120" w:line="276"/>
        <w:jc w:val="both"/>
      </w:pPr>
      <w:r>
        <w:t xml:space="preserve">Für junge Männer ist ein weiterer, weniger beachteter Agenda-Effekt relevant: Die Manosphere setzt Themen wie „Status“, „Marktwert“ und die Deutung von Beziehungen als Tauschgeschäft. Es ist theoretisch plausibel, dass eine solche transaktionale Rahmung von Intimität den Schritt zu bezahlter, simulierter Nähe erleichtert. Diese Brücke ist bisher nicht empirisch geprüft (Grad D) und wird hier ausdrücklich als Hypothese für künftige Forschung formuliert.</w:t>
      </w:r>
    </w:p>
    <w:p>
      <w:pPr>
        <w:pStyle w:val="Heading2"/>
      </w:pPr>
      <w:r>
        <w:t xml:space="preserve">6.3  Gegenbefunde und Differenzierung</w:t>
      </w:r>
    </w:p>
    <w:p>
      <w:pPr>
        <w:spacing w:after="120" w:line="276"/>
        <w:jc w:val="both"/>
      </w:pPr>
      <w:r>
        <w:t xml:space="preserve">Eine seriöse Analyse muss die Befunde berücksichtigen, die gegen einfache Filterblasen-Erzählungen sprechen:</w:t>
      </w:r>
    </w:p>
    <w:p>
      <w:pPr>
        <w:pStyle w:val="ListParagraph"/>
        <w:numPr>
          <w:ilvl w:val="0"/>
          <w:numId w:val="4"/>
        </w:numPr>
        <w:spacing w:after="60" w:line="264"/>
        <w:jc w:val="left"/>
      </w:pPr>
      <w:r>
        <w:rPr>
          <w:b/>
          <w:bCs/>
        </w:rPr>
        <w:t xml:space="preserve">Facebook/Instagram 2020:</w:t>
      </w:r>
      <w:r>
        <w:t xml:space="preserve"> Inhalte aus gleichgesinnten Quellen dominieren zwar die Feeds, doch ihre experimentelle Reduktion bei 23.377 Personen veränderte die politische Polarisierung nicht messbar (Nyhan et al., 2023). Auch die Umstellung auf einen chronologischen Feed blieb ohne nachweisbaren Einfluss auf Einstellungen (Guess et al., 2023). Grad A.</w:t>
      </w:r>
    </w:p>
    <w:p>
      <w:pPr>
        <w:pStyle w:val="ListParagraph"/>
        <w:numPr>
          <w:ilvl w:val="0"/>
          <w:numId w:val="4"/>
        </w:numPr>
        <w:spacing w:after="60" w:line="264"/>
        <w:jc w:val="left"/>
      </w:pPr>
      <w:r>
        <w:rPr>
          <w:b/>
          <w:bCs/>
        </w:rPr>
        <w:t xml:space="preserve">YouTube:</w:t>
      </w:r>
      <w:r>
        <w:t xml:space="preserve"> Kontrafaktische Bots zeigten, dass der Algorithmus seit den Änderungen von 2019 im Mittel eher mäßigt; wer nur Empfehlungen folgt, konsumiert weniger parteiische Inhalte als reale Nutzende mit gleicher Vorgeschichte. Starker Konsum parteiischer Inhalte spiegelt vor allem eigene Präferenzen (Hosseinmardi et al., 2024). Grad A.</w:t>
      </w:r>
    </w:p>
    <w:p>
      <w:pPr>
        <w:pStyle w:val="ListParagraph"/>
        <w:numPr>
          <w:ilvl w:val="0"/>
          <w:numId w:val="4"/>
        </w:numPr>
        <w:spacing w:after="60" w:line="264"/>
        <w:jc w:val="left"/>
      </w:pPr>
      <w:r>
        <w:rPr>
          <w:b/>
          <w:bCs/>
        </w:rPr>
        <w:t xml:space="preserve">X (vormals Twitter):</w:t>
      </w:r>
      <w:r>
        <w:t xml:space="preserve"> Ein randomisiertes Feldexperiment mit 4.965 aktiven US-Nutzenden fand dagegen, dass das </w:t>
      </w:r>
      <w:r>
        <w:rPr>
          <w:i/>
          <w:iCs/>
        </w:rPr>
        <w:t xml:space="preserve">Einschalten</w:t>
      </w:r>
      <w:r>
        <w:t xml:space="preserve"> des algorithmischen Feeds über sieben Wochen Einstellungen zu politischen Prioritäten und aktuellen Ereignissen in konservative Richtung verschob – das </w:t>
      </w:r>
      <w:r>
        <w:rPr>
          <w:i/>
          <w:iCs/>
        </w:rPr>
        <w:t xml:space="preserve">Ausschalten</w:t>
      </w:r>
      <w:r>
        <w:t xml:space="preserve"> aber nichts rückgängig machte. Grund: Der Algorithmus brachte Nutzende dazu, Aktivisten-Accounts zu folgen, und diese Folge-Beziehungen blieben bestehen (Gauthier et al., 2026). Grad A.</w:t>
      </w:r>
    </w:p>
    <w:p>
      <w:pPr>
        <w:pStyle w:val="ListParagraph"/>
        <w:numPr>
          <w:ilvl w:val="0"/>
          <w:numId w:val="4"/>
        </w:numPr>
        <w:spacing w:after="60" w:line="264"/>
        <w:jc w:val="left"/>
      </w:pPr>
      <w:r>
        <w:rPr>
          <w:b/>
          <w:bCs/>
        </w:rPr>
        <w:t xml:space="preserve">Umsortieren wirkt in beide Richtungen:</w:t>
      </w:r>
      <w:r>
        <w:t xml:space="preserve"> Ein browserbasiertes Umsortieren von X-Feeds bei 1.256 Personen über zehn Tage veränderte die feindselige Haltung gegenüber der anderen politischen Seite um rund zwei Punkte auf einer 100-Punkte-Skala – eine Größenordnung, die etwa drei Jahren Polarisierungsentwicklung in den USA entspricht –, und zwar sowohl beim Hoch- als auch beim Herabstufen (Piccardi et al., 2025). Grad A.</w:t>
      </w:r>
    </w:p>
    <w:p>
      <w:pPr>
        <w:pBdr>
          <w:left w:val="single" w:color="2E5496" w:sz="24" w:space="8"/>
        </w:pBdr>
        <w:shd w:fill="EAF1FB" w:color="auto" w:val="clear"/>
        <w:spacing w:after="60" w:before="120"/>
        <w:ind w:left="200" w:right="200"/>
      </w:pPr>
      <w:r>
        <w:rPr>
          <w:b/>
          <w:bCs/>
          <w:color w:val="1F3864"/>
        </w:rPr>
        <w:t xml:space="preserve">Synthese: Zwei Ebenen der Blase</w:t>
      </w:r>
    </w:p>
    <w:p>
      <w:pPr>
        <w:pBdr>
          <w:left w:val="single" w:color="2E5496" w:sz="24" w:space="8"/>
        </w:pBdr>
        <w:shd w:fill="EAF1FB" w:color="auto" w:val="clear"/>
        <w:spacing w:after="60" w:line="264"/>
        <w:ind w:left="200" w:right="200"/>
      </w:pPr>
      <w:r>
        <w:rPr>
          <w:b/>
          <w:bCs/>
        </w:rPr>
        <w:t xml:space="preserve">Ebene 1 – Feed-Blase:</w:t>
      </w:r>
      <w:r>
        <w:t xml:space="preserve"> Sie entsteht schnell und ist technisch schnell umkehrbar (Algorithmen „vergessen“ bei verändertem Verhalten binnen Dutzender Videos).</w:t>
      </w:r>
    </w:p>
    <w:p>
      <w:pPr>
        <w:pBdr>
          <w:left w:val="single" w:color="2E5496" w:sz="24" w:space="8"/>
        </w:pBdr>
        <w:shd w:fill="EAF1FB" w:color="auto" w:val="clear"/>
        <w:spacing w:after="200" w:line="264"/>
        <w:ind w:left="200" w:right="200"/>
      </w:pPr>
      <w:r>
        <w:rPr>
          <w:b/>
          <w:bCs/>
        </w:rPr>
        <w:t xml:space="preserve">Ebene 2 – Kopf-Blase:</w:t>
      </w:r>
      <w:r>
        <w:t xml:space="preserve"> Einstellungen, Folge-Netzwerke und Gewohnheiten entstehen langsamer, bleiben aber nach Abschalten des Algorithmus bestehen. Die Befunde von Gauthier et al. (2026) erklären, warum Abschalt-Experimente auf Meta-Plattformen keine Effekte fanden: Die Blase war bereits in die Folgeliste „ausgelagert“. H2 wird gestützt.</w:t>
      </w:r>
    </w:p>
    <w:p>
      <w:pPr>
        <w:pStyle w:val="Heading1"/>
      </w:pPr>
      <w:r>
        <w:t xml:space="preserve">7  Pornografie: Exposition und problematischer Konsum</w:t>
      </w:r>
    </w:p>
    <w:p>
      <w:pPr>
        <w:pStyle w:val="Heading2"/>
      </w:pPr>
      <w:r>
        <w:t xml:space="preserve">7.1  Erstkontakt und Exposition</w:t>
      </w:r>
    </w:p>
    <w:p>
      <w:pPr>
        <w:keepNext/>
        <w:spacing w:after="80" w:before="200"/>
      </w:pPr>
      <w:r>
        <w:rPr>
          <w:b/>
          <w:bCs/>
          <w:color w:val="1F3864"/>
          <w:sz w:val="20"/>
          <w:szCs w:val="20"/>
        </w:rPr>
        <w:t xml:space="preserve">Tabelle 6: Exposition und Prävalenzen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4716"/>
        <w:gridCol w:w="726"/>
      </w:tblGrid>
      <w:tr>
        <w:trPr>
          <w:tblHeader/>
        </w:trPr>
        <w:tc>
          <w:tcPr>
            <w:tcW w:type="dxa" w:w="18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Studie</w:t>
            </w:r>
          </w:p>
        </w:tc>
        <w:tc>
          <w:tcPr>
            <w:tcW w:type="dxa" w:w="18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Stichprobe</w:t>
            </w:r>
          </w:p>
        </w:tc>
        <w:tc>
          <w:tcPr>
            <w:tcW w:type="dxa" w:w="47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Kernbefunde</w:t>
            </w:r>
          </w:p>
        </w:tc>
        <w:tc>
          <w:tcPr>
            <w:tcW w:type="dxa" w:w="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r>
      <w:tr>
        <w:trPr>
          <w:cantSplit/>
        </w:trPr>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Common Sense Media (2023)</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 = 1.358, 13–17 J., USA (Erhebung Sept. 2022)</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73 % haben Online-Pornografie gesehen; Durchschnittsalter beim Erstkontakt 12 Jahre; 15 % mit 10 Jahren oder jünger; 54 % bis 13 Jahre. Mehr als die Hälfte hat gewalthaltige Pornografie gesehen. Unter jenen mit ausschließlich unbeabsichtigtem Kontakt hatten 63 % diesen in der Vorwoche.</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Children’s Commissioner for England (2023)</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&gt; 1.000, 16–21 J., repräsentativ</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Durchschnittliches Erstkontaktalter 13; 10 % bis 9 Jahre, 27 % bis 11 Jahre. 79 % der 18–21-Jährigen sahen vor dem 18. Geburtstag Pornografie mit sexueller Gewalt. Häufigste Orte: Twitter/X 41 %, Pornoseiten 37 %, Instagram 33 %, Snapchat 32 %.</w:t>
            </w:r>
          </w:p>
        </w:tc>
        <w:tc>
          <w:tcPr>
            <w:tcW w:type="dxa" w:w="72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Children’s Commissioner for England (2025)</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 = 1.010, 16–21 J., Mai 2025</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70 % Kontakt vor 18 (2023: 64 %), Jungen 73 %, Mädchen 65 %; unbeabsichtigter Kontakt 59 % (2023: 38 %); 82 % stimmen zu, dass Pornografie Erwartungen an Sex prägt.</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Andrie et al. (2021), zit. n. Martel et al. (2025)</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n = 10.930, 14–17 J., sechs EU-Länder</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Jungen: 76,8 % Konsum im letzten Jahr (40 % wöchentlich); Mädchen: 42,9 % (8,9 % wöchentlich).</w:t>
            </w:r>
          </w:p>
        </w:tc>
        <w:tc>
          <w:tcPr>
            <w:tcW w:type="dxa" w:w="72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Übersichtsliteratur (Journal of Sex Research, 2024)</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Mehrere Studien</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10–24 % der männlichen Jugendlichen konsumieren täglich; problematischer Konsum betrifft ca. 5–14 % der jugendlichen Konsumierenden.</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GeSiD – Briken et al. (2022)</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n = 4.633, repräsentativ, DE, Erwachsene</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Hinweise auf CSBD nach ICD-11: Lebenszeit 4,9 % der Männer, 3,0 % der Frauen; 12 Monate 3,2 % bzw. 1,8 %.</w:t>
            </w:r>
          </w:p>
        </w:tc>
        <w:tc>
          <w:tcPr>
            <w:tcW w:type="dxa" w:w="72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International Sex Survey – Bőthe et al. (2023)</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 = 82.243, 42 Länder</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Hohes CSBD-Risiko (CSBD-19): Männer 8,17 %, Frauen 2,42 %; nur 14 % der Hochrisiko-Personen hatten Behandlung gesucht.</w:t>
            </w:r>
          </w:p>
        </w:tc>
        <w:tc>
          <w:tcPr>
            <w:tcW w:type="dxa" w:w="7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bl>
    <w:p>
      <w:pPr>
        <w:spacing w:after="200" w:before="60"/>
        <w:jc w:val="left"/>
      </w:pPr>
      <w:r>
        <w:rPr>
          <w:color w:val="595959"/>
          <w:sz w:val="16"/>
          <w:szCs w:val="16"/>
        </w:rPr>
        <w:t xml:space="preserve">Quellen: siehe Literaturverzeichnis. Die ISS-Werte nach Geschlecht werden in einer Übersichtsarbeit (Current Addiction Reports, 2025) berichtet.</w:t>
      </w:r>
    </w:p>
    <w:p>
      <w:pPr>
        <w:spacing w:after="120" w:line="276"/>
        <w:jc w:val="both"/>
      </w:pPr>
      <w:r>
        <w:t xml:space="preserve">Zwei Trends verdienen besondere Beachtung. Erstens verlagert sich der Erstkontakt vom aktiven Suchen zum </w:t>
      </w:r>
      <w:r>
        <w:rPr>
          <w:b/>
          <w:bCs/>
        </w:rPr>
        <w:t xml:space="preserve">unbeabsichtigten Kontakt über gewöhnliche soziale Netzwerke</w:t>
      </w:r>
      <w:r>
        <w:t xml:space="preserve">: In England stieg der Anteil zufälliger Erstkontakte binnen zwei Jahren von 38 % auf 59 %. Zweitens ist der Konsum stark geschlechtsspezifisch; tägliche Nutzung und problematische Muster finden sich überwiegend bei Jungen und jungen Männern.</w:t>
      </w:r>
    </w:p>
    <w:p>
      <w:pPr>
        <w:pStyle w:val="Heading2"/>
      </w:pPr>
      <w:r>
        <w:t xml:space="preserve">7.2  „Pornosucht“ – was die Forschung darunter versteht</w:t>
      </w:r>
    </w:p>
    <w:p>
      <w:pPr>
        <w:spacing w:after="120" w:line="276"/>
        <w:jc w:val="both"/>
      </w:pPr>
      <w:r>
        <w:t xml:space="preserve">Der Begriff „Pornosucht“ ist keine Diagnose. Die ICD-11 führt seit 2022 die Zwanghafte Sexualverhaltensstörung (6C72) als Impulskontrollstörung; problematischer Pornografiekonsum ist die häufigste Erscheinungsform. Entscheidend ist nicht die Häufigkeit, sondern der Verlust an Kontrolle bei gleichzeitigem Leidensdruck oder Funktionsbeeinträchtigung über mindestens sechs Monate.</w:t>
      </w:r>
    </w:p>
    <w:p>
      <w:pPr>
        <w:spacing w:after="120" w:line="276"/>
        <w:jc w:val="both"/>
      </w:pPr>
      <w:r>
        <w:t xml:space="preserve">Für die Prävention besonders wichtig ist das Modell der </w:t>
      </w:r>
      <w:r>
        <w:rPr>
          <w:b/>
          <w:bCs/>
        </w:rPr>
        <w:t xml:space="preserve">moralischen Inkongruenz</w:t>
      </w:r>
      <w:r>
        <w:t xml:space="preserve">: In einer Metaanalyse war die Diskrepanz zwischen eigenen Werten und eigenem Konsum ein stärkerer Prädiktor dafür, sich selbst als „süchtig“ zu erleben, als die tatsächliche Konsummenge (Grubbs et al., 2019). Spätere Arbeiten zeigen, dass allgemeine Dysregulation, Konsumgewohnheiten und moralische Inkongruenz jeweils eigenständig beitragen (Lewczuk et al., 2020). Daraus folgt eine zentrale Designregel: </w:t>
      </w:r>
      <w:r>
        <w:rPr>
          <w:b/>
          <w:bCs/>
        </w:rPr>
        <w:t xml:space="preserve">Beschämende Botschaften können Leidensdruck erhöhen, ohne das Verhalten zu verändern.</w:t>
      </w:r>
    </w:p>
    <w:p>
      <w:pPr>
        <w:pStyle w:val="Heading1"/>
      </w:pPr>
      <w:r>
        <w:t xml:space="preserve">8  Der Funnel: Von der Kurzvideo-Plattform zu OnlyFans</w:t>
      </w:r>
    </w:p>
    <w:p>
      <w:pPr>
        <w:pStyle w:val="Heading2"/>
      </w:pPr>
      <w:r>
        <w:t xml:space="preserve">8.1  Ökonomischer Rahmen</w:t>
      </w:r>
    </w:p>
    <w:p>
      <w:pPr>
        <w:keepNext/>
        <w:spacing w:after="80" w:before="200"/>
      </w:pPr>
      <w:r>
        <w:rPr>
          <w:b/>
          <w:bCs/>
          <w:color w:val="1F3864"/>
          <w:sz w:val="20"/>
          <w:szCs w:val="20"/>
        </w:rPr>
        <w:t xml:space="preserve">Tabelle 7: Kennzahlen der Betreibergesellschaft Fenix International (OnlyFans)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09"/>
        <w:gridCol w:w="1995"/>
        <w:gridCol w:w="3266"/>
      </w:tblGrid>
      <w:tr>
        <w:trPr>
          <w:tblHeader/>
        </w:trPr>
        <w:tc>
          <w:tcPr>
            <w:tcW w:type="dxa" w:w="380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Kennzahl</w:t>
            </w:r>
          </w:p>
        </w:tc>
        <w:tc>
          <w:tcPr>
            <w:tcW w:type="dxa" w:w="199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Wert</w:t>
            </w:r>
          </w:p>
        </w:tc>
        <w:tc>
          <w:tcPr>
            <w:tcW w:type="dxa" w:w="326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Quelle / Status</w:t>
            </w:r>
          </w:p>
        </w:tc>
      </w:tr>
      <w:tr>
        <w:trPr>
          <w:cantSplit/>
        </w:trPr>
        <w:tc>
          <w:tcPr>
            <w:tcW w:type="dxa" w:w="3809"/>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Zahlungen der Fans, Geschäftsjahr 2024 (bis 30.11.2024)</w:t>
            </w:r>
          </w:p>
        </w:tc>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7,22 Mrd. US-$ (+9 %)</w:t>
            </w:r>
          </w:p>
        </w:tc>
        <w:tc>
          <w:tcPr>
            <w:tcW w:type="dxa" w:w="326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Geprüfter Jahresabschluss, berichtet von Variety (2025)</w:t>
            </w:r>
          </w:p>
        </w:tc>
      </w:tr>
      <w:tr>
        <w:trPr>
          <w:cantSplit/>
        </w:trPr>
        <w:tc>
          <w:tcPr>
            <w:tcW w:type="dxa" w:w="3809"/>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Davon an Creator:innen (80/20-Aufteilung)</w:t>
            </w:r>
          </w:p>
        </w:tc>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5,80 Mrd. US-$</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Variety (2025)</w:t>
            </w:r>
          </w:p>
        </w:tc>
      </w:tr>
      <w:tr>
        <w:trPr>
          <w:cantSplit/>
        </w:trPr>
        <w:tc>
          <w:tcPr>
            <w:tcW w:type="dxa" w:w="3809"/>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Registrierte Accounts, GJ 2024</w:t>
            </w:r>
          </w:p>
        </w:tc>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4,63 Mio. Creator; 377,5 Mio. Fans</w:t>
            </w:r>
          </w:p>
        </w:tc>
        <w:tc>
          <w:tcPr>
            <w:tcW w:type="dxa" w:w="326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Jahresabschluss; Angaben aus Sekundärauswertungen</w:t>
            </w:r>
          </w:p>
        </w:tc>
      </w:tr>
      <w:tr>
        <w:trPr>
          <w:cantSplit/>
        </w:trPr>
        <w:tc>
          <w:tcPr>
            <w:tcW w:type="dxa" w:w="3809"/>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Zahlungen der Fans, GJ 2025</w:t>
            </w:r>
          </w:p>
        </w:tc>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ca. 7,8 Mrd. US-$</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Financial Times, zit. n. Startup Fortune (2026)</w:t>
            </w:r>
          </w:p>
        </w:tc>
      </w:tr>
      <w:tr>
        <w:trPr>
          <w:cantSplit/>
        </w:trPr>
        <w:tc>
          <w:tcPr>
            <w:tcW w:type="dxa" w:w="3809"/>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Auszahlung an Creator:innen, GJ 2025</w:t>
            </w:r>
          </w:p>
        </w:tc>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6,3 Mrd. US-$</w:t>
            </w:r>
          </w:p>
        </w:tc>
        <w:tc>
          <w:tcPr>
            <w:tcW w:type="dxa" w:w="326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Variety (2026)</w:t>
            </w:r>
          </w:p>
        </w:tc>
      </w:tr>
      <w:tr>
        <w:trPr>
          <w:cantSplit/>
        </w:trPr>
        <w:tc>
          <w:tcPr>
            <w:tcW w:type="dxa" w:w="3809"/>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Vorsteuergewinn, GJ 2025</w:t>
            </w:r>
          </w:p>
        </w:tc>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715 Mio. US-$ (+5 %)</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Companies House, zit. n. Startup Fortune (2026)</w:t>
            </w:r>
          </w:p>
        </w:tc>
      </w:tr>
      <w:tr>
        <w:trPr>
          <w:cantSplit/>
        </w:trPr>
        <w:tc>
          <w:tcPr>
            <w:tcW w:type="dxa" w:w="3809"/>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Beschäftigte der Betreibergesellschaft, GJ 2025</w:t>
            </w:r>
          </w:p>
        </w:tc>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47</w:t>
            </w:r>
          </w:p>
        </w:tc>
        <w:tc>
          <w:tcPr>
            <w:tcW w:type="dxa" w:w="326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Variety (2026)</w:t>
            </w:r>
          </w:p>
        </w:tc>
      </w:tr>
      <w:tr>
        <w:trPr>
          <w:cantSplit/>
        </w:trPr>
        <w:tc>
          <w:tcPr>
            <w:tcW w:type="dxa" w:w="3809"/>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Creator mit über 1 Mio. US-$ Lebenseinnahmen</w:t>
            </w:r>
          </w:p>
        </w:tc>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5.076</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Unternehmensangabe, Variety (2026)</w:t>
            </w:r>
          </w:p>
        </w:tc>
      </w:tr>
      <w:tr>
        <w:trPr>
          <w:cantSplit/>
        </w:trPr>
        <w:tc>
          <w:tcPr>
            <w:tcW w:type="dxa" w:w="3809"/>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Anteil männlicher Besucher (Web-Traffic)</w:t>
            </w:r>
          </w:p>
        </w:tc>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ca. 71–79 %</w:t>
            </w:r>
          </w:p>
        </w:tc>
        <w:tc>
          <w:tcPr>
            <w:tcW w:type="dxa" w:w="326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Similarweb-Schätzungen aus Sekundärquellen; nicht geprüft</w:t>
            </w:r>
          </w:p>
        </w:tc>
      </w:tr>
    </w:tbl>
    <w:p>
      <w:pPr>
        <w:spacing w:after="120" w:line="276"/>
        <w:jc w:val="both"/>
      </w:pPr>
      <w:r>
        <w:t xml:space="preserve">Die Zahlen verdeutlichen die Größenordnung: Eine Plattform mit weniger als 50 Beschäftigten bewegt jährlich fast acht Milliarden US-Dollar. Die Reichweite erzeugt OnlyFans dabei kaum selbst – die Plattform besitzt keinen eigenen Entdeckungs-Feed wie TikTok. Laut Branchenleitfäden müssen Creator:innen ihren Traffic vollständig von außen heranführen. Genau hier setzen die Kurzvideo-Plattformen an.</w:t>
      </w:r>
    </w:p>
    <w:p>
      <w:pPr>
        <w:pStyle w:val="Heading2"/>
      </w:pPr>
      <w:r>
        <w:t xml:space="preserve">8.2  Funnel-Architektur (Dokumentenanalyse)</w:t>
      </w:r>
    </w:p>
    <w:p>
      <w:pPr>
        <w:spacing w:after="120" w:line="276"/>
        <w:jc w:val="both"/>
      </w:pPr>
      <w:r>
        <w:t xml:space="preserve">Die folgende Rekonstruktion beruht auf Selbstbeschreibungen der Vermarktungsbranche. Sie belegt keine Wirksamkeit, sondern dokumentiert, wie Agenturen und Affiliates ihr Vorgehen selbst beschreiben (Grad C).</w:t>
      </w:r>
    </w:p>
    <w:p>
      <w:pPr>
        <w:keepNext/>
        <w:spacing w:after="80" w:before="200"/>
      </w:pPr>
      <w:r>
        <w:rPr>
          <w:b/>
          <w:bCs/>
          <w:color w:val="1F3864"/>
          <w:sz w:val="20"/>
          <w:szCs w:val="20"/>
        </w:rPr>
        <w:t xml:space="preserve">Tabelle 8: Stufen des Funnels laut Branchendokumenten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1633"/>
        <w:gridCol w:w="4535"/>
        <w:gridCol w:w="1632"/>
      </w:tblGrid>
      <w:tr>
        <w:trPr>
          <w:tblHeader/>
        </w:trPr>
        <w:tc>
          <w:tcPr>
            <w:tcW w:type="dxa" w:w="12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Stufe</w:t>
            </w:r>
          </w:p>
        </w:tc>
        <w:tc>
          <w:tcPr>
            <w:tcW w:type="dxa" w:w="16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Plattform</w:t>
            </w:r>
          </w:p>
        </w:tc>
        <w:tc>
          <w:tcPr>
            <w:tcW w:type="dxa" w:w="45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Dokumentierte Praxis</w:t>
            </w:r>
          </w:p>
        </w:tc>
        <w:tc>
          <w:tcPr>
            <w:tcW w:type="dxa" w:w="16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Beleg</w:t>
            </w:r>
          </w:p>
        </w:tc>
      </w:tr>
      <w:tr>
        <w:trPr>
          <w:cantSplit/>
        </w:trPr>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1 Reichweite</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TikTok, Reels, Shorts</w:t>
            </w:r>
          </w:p>
        </w:tc>
        <w:tc>
          <w:tcPr>
            <w:tcW w:type="dxa" w:w="45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Virale, formal regelkonforme Inhalte ohne Link („Get Ready With Me“, Trend-Sounds, sogenannte Thirst Traps). Direkte OnlyFans-Links gelten als Sperrrisiko.</w:t>
            </w:r>
          </w:p>
        </w:tc>
        <w:tc>
          <w:tcPr>
            <w:tcW w:type="dxa" w:w="163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CreatorHero (2025); OFM-Tools (2026)</w:t>
            </w:r>
          </w:p>
        </w:tc>
      </w:tr>
      <w:tr>
        <w:trPr>
          <w:cantSplit/>
        </w:trPr>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2 Bindung</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Instagram (Stories, Profil), teils Zweit-Accounts</w:t>
            </w:r>
          </w:p>
        </w:tc>
        <w:tc>
          <w:tcPr>
            <w:tcW w:type="dxa" w:w="45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Lifestyle-Inhalte als Vertrauensaufbau; Instagram dient als „Filter“ zwischen Reichweite und Bezahlangebot. Kommentar-Schlüsselwörter lösen automatisierte Direktnachrichten mit Link aus.</w:t>
            </w:r>
          </w:p>
        </w:tc>
        <w:tc>
          <w:tcPr>
            <w:tcW w:type="dxa" w:w="163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OFM-Tools (2026); Inrō (2026)</w:t>
            </w:r>
          </w:p>
        </w:tc>
      </w:tr>
      <w:tr>
        <w:trPr>
          <w:cantSplit/>
        </w:trPr>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3 Brücke</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Link-in-Bio-Aggregatoren</w:t>
            </w:r>
          </w:p>
        </w:tc>
        <w:tc>
          <w:tcPr>
            <w:tcW w:type="dxa" w:w="45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Aggregatoren schalten eine Zwischenseite vor, weil Instagram und TikTok direkte OnlyFans-Links unterdrücken; weniger bekannte Dienste werden wegen geringerer Kontrolle bevorzugt. Foren beschreiben Ketten über mehrere Accounts und Umgehung des In-App-Browsers.</w:t>
            </w:r>
          </w:p>
        </w:tc>
        <w:tc>
          <w:tcPr>
            <w:tcW w:type="dxa" w:w="163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Aruna Talent (2026); BlackHatWorld (2024)</w:t>
            </w:r>
          </w:p>
        </w:tc>
      </w:tr>
      <w:tr>
        <w:trPr>
          <w:cantSplit/>
        </w:trPr>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4 Skalierung</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Account-Farmen</w:t>
            </w:r>
          </w:p>
        </w:tc>
        <w:tc>
          <w:tcPr>
            <w:tcW w:type="dxa" w:w="45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Affiliate-Anbieter berichten von 30–40 neu angelegten TikTok-Accounts pro Tag; Hashtags dienen der Alters- und Geschlechtsausrichtung; Link-Verschleierung („Cloaking“).</w:t>
            </w:r>
          </w:p>
        </w:tc>
        <w:tc>
          <w:tcPr>
            <w:tcW w:type="dxa" w:w="163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cpa.live (2025)</w:t>
            </w:r>
          </w:p>
        </w:tc>
      </w:tr>
      <w:tr>
        <w:trPr>
          <w:cantSplit/>
        </w:trPr>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5 Konversion</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OnlyFans</w:t>
            </w:r>
          </w:p>
        </w:tc>
        <w:tc>
          <w:tcPr>
            <w:tcW w:type="dxa" w:w="45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Gestaffelte Angebote inklusive kostenloser Einstiegsstufe; wachsende Preise für exklusivere Inhalte.</w:t>
            </w:r>
          </w:p>
        </w:tc>
        <w:tc>
          <w:tcPr>
            <w:tcW w:type="dxa" w:w="163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Ball (2025)</w:t>
            </w:r>
          </w:p>
        </w:tc>
      </w:tr>
      <w:tr>
        <w:trPr>
          <w:cantSplit/>
        </w:trPr>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6 Monetarisierung</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Direktnachrichten</w:t>
            </w:r>
          </w:p>
        </w:tc>
        <w:tc>
          <w:tcPr>
            <w:tcW w:type="dxa" w:w="45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Pay-per-View, Trinkgelder, „persönliche“ Chats; bei vielen reichweitenstarken Accounts geführt von bezahlten Chattern mit Skripten.</w:t>
            </w:r>
          </w:p>
        </w:tc>
        <w:tc>
          <w:tcPr>
            <w:tcW w:type="dxa" w:w="163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Reuters (2024); Gerichtsakten 2024/25</w:t>
            </w:r>
          </w:p>
        </w:tc>
      </w:tr>
    </w:tbl>
    <w:p>
      <w:pPr>
        <w:spacing w:after="200" w:before="60"/>
        <w:jc w:val="left"/>
      </w:pPr>
      <w:r>
        <w:rPr>
          <w:color w:val="595959"/>
          <w:sz w:val="16"/>
          <w:szCs w:val="16"/>
        </w:rPr>
        <w:t xml:space="preserve">Hinweis: Die genannten Anbieter werden als Primärquellen für die Beschreibung der Branchenpraxis zitiert, nicht als Empfehlung.</w:t>
      </w:r>
    </w:p>
    <w:p>
      <w:pPr>
        <w:pBdr>
          <w:left w:val="single" w:color="2E5496" w:sz="24" w:space="8"/>
        </w:pBdr>
        <w:shd w:fill="EAF1FB" w:color="auto" w:val="clear"/>
        <w:spacing w:after="60" w:before="120"/>
        <w:ind w:left="200" w:right="200"/>
      </w:pPr>
      <w:r>
        <w:rPr>
          <w:b/>
          <w:bCs/>
          <w:color w:val="1F3864"/>
        </w:rPr>
        <w:t xml:space="preserve">Kernbefund zu TF3</w:t>
      </w:r>
    </w:p>
    <w:p>
      <w:pPr>
        <w:pBdr>
          <w:left w:val="single" w:color="2E5496" w:sz="24" w:space="8"/>
        </w:pBdr>
        <w:shd w:fill="EAF1FB" w:color="auto" w:val="clear"/>
        <w:spacing w:after="200" w:line="264"/>
        <w:ind w:left="200" w:right="200"/>
      </w:pPr>
      <w:r>
        <w:t xml:space="preserve">Der Übergang von TikTok zu OnlyFans ist in der Branche als arbeitsteiliger, mehrstufiger Prozess organisiert, der Moderationsregeln gezielt umgeht (Zwischenseiten, Zweit-Accounts, Account-Farmen, Link-Verschleierung). Der Algorithmus liefert die Reichweite; die Konversion ist geplantes Marketing. H3 wird gestützt (Grad C).</w:t>
      </w:r>
    </w:p>
    <w:p>
      <w:pPr>
        <w:pStyle w:val="Heading2"/>
      </w:pPr>
      <w:r>
        <w:t xml:space="preserve">8.3  Monetarisierung von Nähe: Die Chatter-Ökonomie</w:t>
      </w:r>
    </w:p>
    <w:p>
      <w:pPr>
        <w:spacing w:after="120" w:line="276"/>
        <w:jc w:val="both"/>
      </w:pPr>
      <w:r>
        <w:t xml:space="preserve">Das eigentliche Produkt ist häufig nicht das Bild, sondern die Illusion persönlicher Zuwendung. Ball (2025) hält fest, dass viele Fans für parasoziale Beziehungen und Fantasien von Verbundenheit bezahlen. Eine Reuters-Recherche (2024) dokumentierte, dass reichweitenstarke Creator:innen die Kommunikation an bezahlte „Chatter“ auslagern, deren Aufgabe es ist, Abonnenten zu weiteren Käufen zu bewegen. Sammelklagen in den USA werfen Agenturen vor, Chatter – oft aus Niedriglohnländern – mit Skripten zu trainieren und intime Kommunikation an Dritte weiterzugeben (Hagens Berman, 2024). Eine ältere Klage gegen eine Agentur behauptete, Fans seien dazu gebracht worden, tief persönliche Informationen bis hin zu Suizidgedanken preiszugeben.</w:t>
      </w:r>
    </w:p>
    <w:p>
      <w:pPr>
        <w:spacing w:after="120" w:line="276"/>
        <w:jc w:val="both"/>
      </w:pPr>
      <w:r>
        <w:t xml:space="preserve">Die rechtliche Bewertung ist offen: Ein US-Bundesgericht wies im Dezember 2025 eine solche Klage (N. Z. v. Fenix) ab, weil die Nutzungsbedingungen die Einbindung Dritter offenlegten (Goldman, 2025); weitere Verfahren laufen. Für die Verhaltensanalyse ist entscheidend, dass die Kommunikation systematisch darauf optimiert ist, Ausgaben zu steigern – mit Mitteln, die aus der Überzeugungspsychologie bekannt sind (Kapitel 9).</w:t>
      </w:r>
    </w:p>
    <w:p>
      <w:pPr>
        <w:pStyle w:val="Heading2"/>
      </w:pPr>
      <w:r>
        <w:t xml:space="preserve">8.4  Minderjährige im Vorfeld des Funnels</w:t>
      </w:r>
    </w:p>
    <w:p>
      <w:pPr>
        <w:spacing w:after="120" w:line="276"/>
        <w:jc w:val="both"/>
      </w:pPr>
      <w:r>
        <w:t xml:space="preserve">OnlyFans selbst verlangt eine Volljährigkeit und Altersprüfung. Die Stufen 1 bis 3 finden jedoch auf Plattformen statt, die ab 13 Jahren nutzbar sind. Die WSJ-Tests (2024) und die englischen Daten zum zufälligen Erstkontakt über soziale Netzwerke zeigen, dass Minderjährige die Vorstufen des Funnels erreichen. Der Schutz setzt damit erst an der letzten Tür an, während die Werbung bereits im Kinderzimmer läuft.</w:t>
      </w:r>
    </w:p>
    <w:p>
      <w:pPr>
        <w:pStyle w:val="Heading1"/>
      </w:pPr>
      <w:r>
        <w:t xml:space="preserve">9  Verhaltensanalyse</w:t>
      </w:r>
    </w:p>
    <w:p>
      <w:pPr>
        <w:pStyle w:val="Heading2"/>
      </w:pPr>
      <w:r>
        <w:t xml:space="preserve">9.1  Typologie: Die Mehrheit und die Risikogruppen</w:t>
      </w:r>
    </w:p>
    <w:p>
      <w:pPr>
        <w:spacing w:after="120" w:line="276"/>
        <w:jc w:val="both"/>
      </w:pPr>
      <w:r>
        <w:t xml:space="preserve">Die HBSC-Studie unterscheidet vier Nutzungstypen. Diese Typologie eignet sich, um die „Mehrheit“ präzise zu beschreiben: Sie ist aktiv bis intensiv, aber nicht problematisch.</w:t>
      </w:r>
    </w:p>
    <w:p>
      <w:pPr>
        <w:keepNext/>
        <w:spacing w:after="80" w:before="200"/>
      </w:pPr>
      <w:r>
        <w:rPr>
          <w:b/>
          <w:bCs/>
          <w:color w:val="1F3864"/>
          <w:sz w:val="20"/>
          <w:szCs w:val="20"/>
        </w:rPr>
        <w:t xml:space="preserve">Tabelle 9: Nutzungstypen und typisches Verhalten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1814"/>
        <w:gridCol w:w="2902"/>
        <w:gridCol w:w="2359"/>
      </w:tblGrid>
      <w:tr>
        <w:trPr>
          <w:tblHeader/>
        </w:trPr>
        <w:tc>
          <w:tcPr>
            <w:tcW w:type="dxa" w:w="199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Typ</w:t>
            </w:r>
          </w:p>
        </w:tc>
        <w:tc>
          <w:tcPr>
            <w:tcW w:type="dxa" w:w="18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Anteil (Orientierung)</w:t>
            </w:r>
          </w:p>
        </w:tc>
        <w:tc>
          <w:tcPr>
            <w:tcW w:type="dxa" w:w="29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Typisches Verhalten</w:t>
            </w:r>
          </w:p>
        </w:tc>
        <w:tc>
          <w:tcPr>
            <w:tcW w:type="dxa" w:w="23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Risiko im untersuchten Pfad</w:t>
            </w:r>
          </w:p>
        </w:tc>
      </w:tr>
      <w:tr>
        <w:trPr>
          <w:cantSplit/>
        </w:trPr>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Nicht aktive Nutzende</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Minderheit</w:t>
            </w:r>
          </w:p>
        </w:tc>
        <w:tc>
          <w:tcPr>
            <w:tcW w:type="dxa" w:w="290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Selten Kontakt, kaum Kurzvideo-Konsum</w:t>
            </w:r>
          </w:p>
        </w:tc>
        <w:tc>
          <w:tcPr>
            <w:tcW w:type="dxa" w:w="2359"/>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Gering; teils geringeres soziales Wohlbefinden</w:t>
            </w:r>
          </w:p>
        </w:tc>
      </w:tr>
      <w:tr>
        <w:trPr>
          <w:cantSplit/>
        </w:trPr>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Aktive Nutzende</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Größte Gruppe</w:t>
            </w:r>
          </w:p>
        </w:tc>
        <w:tc>
          <w:tcPr>
            <w:tcW w:type="dxa" w:w="290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Tägliche, begrenzte Nutzung; überwiegend Unterhaltung und Freundeskreis</w:t>
            </w:r>
          </w:p>
        </w:tc>
        <w:tc>
          <w:tcPr>
            <w:tcW w:type="dxa" w:w="2359"/>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Gering; Kontakt mit sexualisierten Inhalten möglich, meist ohne Folgeverhalten</w:t>
            </w:r>
          </w:p>
        </w:tc>
      </w:tr>
      <w:tr>
        <w:trPr>
          <w:cantSplit/>
        </w:trPr>
        <w:tc>
          <w:tcPr>
            <w:tcW w:type="dxa" w:w="199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Intensive, nicht problematische Nutzende</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Bedeutende Gruppe</w:t>
            </w:r>
          </w:p>
        </w:tc>
        <w:tc>
          <w:tcPr>
            <w:tcW w:type="dxa" w:w="290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Nahezu dauernde Erreichbarkeit, aber Kontrolle erhalten</w:t>
            </w:r>
          </w:p>
        </w:tc>
        <w:tc>
          <w:tcPr>
            <w:tcW w:type="dxa" w:w="2359"/>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Mittel; hohe Exposition, jedoch Schutz durch soziale Einbindung</w:t>
            </w:r>
          </w:p>
        </w:tc>
      </w:tr>
      <w:tr>
        <w:trPr>
          <w:cantSplit/>
        </w:trPr>
        <w:tc>
          <w:tcPr>
            <w:tcW w:type="dxa" w:w="199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Problematische Nutzende</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ca. 11 % (HBSC); riskant/pathologisch ca. 20–28 % (DAK, DE)</w:t>
            </w:r>
          </w:p>
        </w:tc>
        <w:tc>
          <w:tcPr>
            <w:tcW w:type="dxa" w:w="290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Kontrollverlust, Vernachlässigung anderer Aktivitäten, Entzugserleben</w:t>
            </w:r>
          </w:p>
        </w:tc>
        <w:tc>
          <w:tcPr>
            <w:tcW w:type="dxa" w:w="2359"/>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Hoch; Kumulation von Exposition und Vulnerabilität</w:t>
            </w:r>
          </w:p>
        </w:tc>
      </w:tr>
    </w:tbl>
    <w:p>
      <w:pPr>
        <w:spacing w:after="200" w:before="60"/>
        <w:jc w:val="left"/>
      </w:pPr>
      <w:r>
        <w:rPr>
          <w:color w:val="595959"/>
          <w:sz w:val="16"/>
          <w:szCs w:val="16"/>
        </w:rPr>
        <w:t xml:space="preserve">Quellen: WHO Europa (2024); DAK-Gesundheit (2026). Anteile sind Orientierungswerte aus unterschiedlichen Messinstrumenten.</w:t>
      </w:r>
    </w:p>
    <w:p>
      <w:pPr>
        <w:pStyle w:val="Heading2"/>
      </w:pPr>
      <w:r>
        <w:t xml:space="preserve">9.2  Stufenmodell: Vom 30-Sekunden-Video zum problematischen Konsum</w:t>
      </w:r>
    </w:p>
    <w:p>
      <w:pPr>
        <w:spacing w:after="120" w:line="276"/>
        <w:jc w:val="both"/>
      </w:pPr>
      <w:r>
        <w:t xml:space="preserve">Das folgende Modell integriert die Befunde der Kapitel 4 bis 8. Es beschreibt einen </w:t>
      </w:r>
      <w:r>
        <w:rPr>
          <w:b/>
          <w:bCs/>
        </w:rPr>
        <w:t xml:space="preserve">Risikopfad mit Ausstiegsmöglichkeiten auf jeder Stufe</w:t>
      </w:r>
      <w:r>
        <w:t xml:space="preserve">, keinen Automatismus. Der Großteil der Nutzenden verlässt den Pfad früh.</w:t>
      </w:r>
    </w:p>
    <w:p>
      <w:pPr>
        <w:keepNext/>
        <w:spacing w:after="80" w:before="200"/>
      </w:pPr>
      <w:r>
        <w:rPr>
          <w:b/>
          <w:bCs/>
          <w:color w:val="1F3864"/>
          <w:sz w:val="20"/>
          <w:szCs w:val="20"/>
        </w:rPr>
        <w:t xml:space="preserve">Tabelle 10: Stufenmodell mit Mechanismen und beobachtbaren Indikatoren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1451"/>
        <w:gridCol w:w="2721"/>
        <w:gridCol w:w="2540"/>
        <w:gridCol w:w="1088"/>
      </w:tblGrid>
      <w:tr>
        <w:trPr>
          <w:tblHeader/>
        </w:trPr>
        <w:tc>
          <w:tcPr>
            <w:tcW w:type="dxa" w:w="12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Stufe</w:t>
            </w:r>
          </w:p>
        </w:tc>
        <w:tc>
          <w:tcPr>
            <w:tcW w:type="dxa" w:w="14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Plattformseite</w:t>
            </w:r>
          </w:p>
        </w:tc>
        <w:tc>
          <w:tcPr>
            <w:tcW w:type="dxa" w:w="27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Psychologischer Mechanismus</w:t>
            </w:r>
          </w:p>
        </w:tc>
        <w:tc>
          <w:tcPr>
            <w:tcW w:type="dxa" w:w="25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Beobachtbarer Indikator</w:t>
            </w:r>
          </w:p>
        </w:tc>
        <w:tc>
          <w:tcPr>
            <w:tcW w:type="dxa" w:w="10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r>
      <w:tr>
        <w:trPr>
          <w:cantSplit/>
        </w:trPr>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0 Vulnerabilität</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Depressive Stimmung, Einsamkeit, Langeweile, Stress, Impulsivität; Medienkonsum als Stimmungsregulation</w:t>
            </w:r>
          </w:p>
        </w:tc>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Nächtliche Nutzung, Rückzug, sinkende Offline-Aktivität</w:t>
            </w:r>
          </w:p>
        </w:tc>
        <w:tc>
          <w:tcPr>
            <w:tcW w:type="dxa" w:w="108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A–B</w:t>
            </w:r>
          </w:p>
        </w:tc>
      </w:tr>
      <w:tr>
        <w:trPr>
          <w:cantSplit/>
        </w:trPr>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 Beiläufiger Konsum</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Autoplay, Endlos-Feed, kurze Formate</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Variable Verstärkung, geringe Belohnungslatenz, Gewohnheitsbildung</w:t>
            </w:r>
          </w:p>
        </w:tc>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Sitzungsdauer, App-Öffnungen pro Tag</w:t>
            </w:r>
          </w:p>
        </w:tc>
        <w:tc>
          <w:tcPr>
            <w:tcW w:type="dxa" w:w="1088"/>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2 Implizites Signal</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Verweildauer-Tracking</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Aufmerksamkeitsbindung durch sexuelle Reize (evolutionär hohe Salienz)</w:t>
            </w:r>
          </w:p>
        </w:tc>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Steigender Anteil sexualisierter Inhalte im Feed</w:t>
            </w:r>
          </w:p>
        </w:tc>
        <w:tc>
          <w:tcPr>
            <w:tcW w:type="dxa" w:w="108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3 Verengung / Rabbit Hole</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Personalisierung, Manosphere-Inhalte</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Normalisierung, Habituation mit Bedarf an stärkeren Reizen; transaktionale Deutung von Beziehungen</w:t>
            </w:r>
          </w:p>
        </w:tc>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Sinkende Themenvielfalt; Anstieg misogyner Inhalte</w:t>
            </w:r>
          </w:p>
        </w:tc>
        <w:tc>
          <w:tcPr>
            <w:tcW w:type="dxa" w:w="1088"/>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 / D</w:t>
            </w:r>
          </w:p>
        </w:tc>
      </w:tr>
      <w:tr>
        <w:trPr>
          <w:cantSplit/>
        </w:trPr>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4 Parasoziale Bindung</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Creator-Accounts, Stories, Direktnachrichten</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Parasoziale Interaktion; Exklusivitäts- und Knappheitsappelle; Salamitaktik (Foot-in-the-door)</w:t>
            </w:r>
          </w:p>
        </w:tc>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Folgen von Creator-Accounts, Profilbesuche, Kommentare auf Schlüsselwörter</w:t>
            </w:r>
          </w:p>
        </w:tc>
        <w:tc>
          <w:tcPr>
            <w:tcW w:type="dxa" w:w="108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w:t>
            </w:r>
          </w:p>
        </w:tc>
      </w:tr>
      <w:tr>
        <w:trPr>
          <w:cantSplit/>
        </w:trPr>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5 Plattformwechsel</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Link-Aggregatoren, Zweit-Accounts</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Neugier und Belohnungserwartung; kostenlose Einstiegsstufe senkt Hemmschwelle</w:t>
            </w:r>
          </w:p>
        </w:tc>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Aufrufe von Link-Aggregatoren, anschließend Erotikdomains</w:t>
            </w:r>
          </w:p>
        </w:tc>
        <w:tc>
          <w:tcPr>
            <w:tcW w:type="dxa" w:w="1088"/>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w:t>
            </w:r>
          </w:p>
        </w:tc>
      </w:tr>
      <w:tr>
        <w:trPr>
          <w:cantSplit/>
        </w:trPr>
        <w:tc>
          <w:tcPr>
            <w:tcW w:type="dxa" w:w="127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6 Monetarisierung</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Abos, Pay-per-View, Chat</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Reziprozität, Sunk-Cost-Effekt, intermittierende Zuwendung durch Chatter, Illusion der Intimität</w:t>
            </w:r>
          </w:p>
        </w:tc>
        <w:tc>
          <w:tcPr>
            <w:tcW w:type="dxa" w:w="254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Wiederkehrende Zahlungen, Käufe spät nachts, steigende Frequenz</w:t>
            </w:r>
          </w:p>
        </w:tc>
        <w:tc>
          <w:tcPr>
            <w:tcW w:type="dxa" w:w="108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 / D</w:t>
            </w:r>
          </w:p>
        </w:tc>
      </w:tr>
      <w:tr>
        <w:trPr>
          <w:cantSplit/>
        </w:trPr>
        <w:tc>
          <w:tcPr>
            <w:tcW w:type="dxa" w:w="127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7 Problematischer Konsum</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Kontrollverlust, Fortsetzung trotz negativer Folgen (ICD-11 6C72)</w:t>
            </w:r>
          </w:p>
        </w:tc>
        <w:tc>
          <w:tcPr>
            <w:tcW w:type="dxa" w:w="2540"/>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Erfolglose Reduktionsversuche, Leidensdruck, Funktionsbeeinträchtigung</w:t>
            </w:r>
          </w:p>
        </w:tc>
        <w:tc>
          <w:tcPr>
            <w:tcW w:type="dxa" w:w="1088"/>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bl>
    <w:p>
      <w:pPr>
        <w:spacing w:after="200" w:before="60"/>
        <w:jc w:val="left"/>
      </w:pPr>
      <w:r>
        <w:rPr>
          <w:color w:val="595959"/>
          <w:sz w:val="16"/>
          <w:szCs w:val="16"/>
        </w:rPr>
        <w:t xml:space="preserve">Mechanismen: Horton &amp; Wohl (1956); Freedman &amp; Fraser (1966); Arkes &amp; Blumer (1985); Brand et al. (2019). Belege der Stufen: Kapitel 4–8.</w:t>
      </w:r>
    </w:p>
    <w:p>
      <w:pPr>
        <w:pStyle w:val="Heading2"/>
      </w:pPr>
      <w:r>
        <w:t xml:space="preserve">9.3  Übergangswahrscheinlichkeiten – was wir nicht wissen</w:t>
      </w:r>
    </w:p>
    <w:p>
      <w:pPr>
        <w:spacing w:after="120" w:line="276"/>
        <w:jc w:val="both"/>
      </w:pPr>
      <w:r>
        <w:t xml:space="preserve">Für keine der Stufenübergänge liegen belastbare Längsschnittdaten vor, die angeben, welcher Anteil der Nutzenden von einer Stufe zur nächsten wechselt. Der Funnel ist daher im Wortsinn ein Trichter: Auf jeder Stufe steigt die große Mehrheit aus. Gesichert sind (a) die hohe Exposition auf Stufe 1 und 2, (b) die Existenz einer professionell betriebenen Überleitung auf Stufe 4 bis 6 und (c) die Prävalenz problematischer Muster auf Stufe 7 bei einigen Prozent der Männer. Die Verknüpfung dieser Befunde zu einer Kausalkette bleibt eine begründete Arbeitshypothese.</w:t>
      </w:r>
    </w:p>
    <w:p>
      <w:pPr>
        <w:pStyle w:val="Heading2"/>
      </w:pPr>
      <w:r>
        <w:t xml:space="preserve">9.4  Geschlechtsspezifische Muster</w:t>
      </w:r>
    </w:p>
    <w:p>
      <w:pPr>
        <w:pStyle w:val="ListParagraph"/>
        <w:numPr>
          <w:ilvl w:val="0"/>
          <w:numId w:val="4"/>
        </w:numPr>
        <w:spacing w:after="60" w:line="264"/>
        <w:jc w:val="left"/>
      </w:pPr>
      <w:r>
        <w:rPr>
          <w:b/>
          <w:bCs/>
        </w:rPr>
        <w:t xml:space="preserve">Junge Männer:</w:t>
      </w:r>
      <w:r>
        <w:t xml:space="preserve"> Doppelte Verengung in Richtung sexualisierter Creator-Inhalte und Manosphere; deutlich höherer täglicher und problematischer Pornografiekonsum; Zielgruppe der Funnel-Ausrichtung per Hashtag.</w:t>
      </w:r>
    </w:p>
    <w:p>
      <w:pPr>
        <w:pStyle w:val="ListParagraph"/>
        <w:numPr>
          <w:ilvl w:val="0"/>
          <w:numId w:val="4"/>
        </w:numPr>
        <w:spacing w:after="60" w:line="264"/>
        <w:jc w:val="left"/>
      </w:pPr>
      <w:r>
        <w:rPr>
          <w:b/>
          <w:bCs/>
        </w:rPr>
        <w:t xml:space="preserve">Junge Frauen:</w:t>
      </w:r>
      <w:r>
        <w:t xml:space="preserve"> Höhere Raten problematischer Social-Media-Nutzung (HBSC: 13 % vs. 9 %); häufiger sexuelle Belästigung im Netz; Rabbit-Hole-Effekte bei psychisch belastenden Inhalten (Amnesty). Zudem sind junge Frauen die Angebotsseite des Funnels: Agenturen rekrutieren und vermarkten Creator:innen. Diese Seite ist in der Forschung kaum untersucht und sollte in der Software mitgedacht werden.</w:t>
      </w:r>
    </w:p>
    <w:p>
      <w:pPr>
        <w:pStyle w:val="Heading1"/>
      </w:pPr>
      <w:r>
        <w:t xml:space="preserve">10  Differenzialdiagnostische Einordnung</w:t>
      </w:r>
    </w:p>
    <w:p>
      <w:pPr>
        <w:spacing w:after="120" w:line="276"/>
        <w:jc w:val="both"/>
      </w:pPr>
      <w:r>
        <w:t xml:space="preserve">Wenn im Rahmen einer Präventionssoftware oder Beratung der Verdacht auf „Pornosucht“ entsteht, sind folgende Differenzialdiagnosen und Abgrenzungen zu prüfen. Eine Software kann Hinweise liefern, aber keine Diagnose stellen.</w:t>
      </w:r>
    </w:p>
    <w:p>
      <w:pPr>
        <w:pStyle w:val="ListParagraph"/>
        <w:numPr>
          <w:ilvl w:val="0"/>
          <w:numId w:val="5"/>
        </w:numPr>
        <w:spacing w:after="80" w:line="264"/>
        <w:jc w:val="left"/>
      </w:pPr>
      <w:r>
        <w:rPr>
          <w:b/>
          <w:bCs/>
        </w:rPr>
        <w:t xml:space="preserve">Nicht problematischer, auch häufiger Konsum:</w:t>
      </w:r>
      <w:r>
        <w:t xml:space="preserve"> keine Kontrollverluste, kein Leidensdruck, keine Beeinträchtigung – Häufigkeit allein ist kein Kriterium.</w:t>
      </w:r>
    </w:p>
    <w:p>
      <w:pPr>
        <w:pStyle w:val="ListParagraph"/>
        <w:numPr>
          <w:ilvl w:val="0"/>
          <w:numId w:val="5"/>
        </w:numPr>
        <w:spacing w:after="80" w:line="264"/>
        <w:jc w:val="left"/>
      </w:pPr>
      <w:r>
        <w:rPr>
          <w:b/>
          <w:bCs/>
        </w:rPr>
        <w:t xml:space="preserve">Pornografiebezogene Probleme durch moralische Inkongruenz:</w:t>
      </w:r>
      <w:r>
        <w:t xml:space="preserve"> Leidensdruck entsteht primär aus der Wert-Verhaltens-Diskrepanz; nach ICD-11 reicht rein moralisch begründetes Leiden für CSBD nicht aus.</w:t>
      </w:r>
    </w:p>
    <w:p>
      <w:pPr>
        <w:pStyle w:val="ListParagraph"/>
        <w:numPr>
          <w:ilvl w:val="0"/>
          <w:numId w:val="5"/>
        </w:numPr>
        <w:spacing w:after="80" w:line="264"/>
        <w:jc w:val="left"/>
      </w:pPr>
      <w:r>
        <w:rPr>
          <w:b/>
          <w:bCs/>
        </w:rPr>
        <w:t xml:space="preserve">Zwanghafte Sexualverhaltensstörung (ICD-11 6C72):</w:t>
      </w:r>
      <w:r>
        <w:t xml:space="preserve"> anhaltender Kontrollverlust über mindestens sechs Monate, erfolglose Reduktionsversuche, Fortsetzung trotz negativer Folgen oder geringer Befriedigung, deutliche Beeinträchtigung.</w:t>
      </w:r>
    </w:p>
    <w:p>
      <w:pPr>
        <w:pStyle w:val="ListParagraph"/>
        <w:numPr>
          <w:ilvl w:val="0"/>
          <w:numId w:val="5"/>
        </w:numPr>
        <w:spacing w:after="80" w:line="264"/>
        <w:jc w:val="left"/>
      </w:pPr>
      <w:r>
        <w:rPr>
          <w:b/>
          <w:bCs/>
        </w:rPr>
        <w:t xml:space="preserve">Depressive Störung oder Angststörung:</w:t>
      </w:r>
      <w:r>
        <w:t xml:space="preserve"> Konsum als dysfunktionale Emotionsregulation; zeitliche Abfolge prüfen – bei Video-Streaming geht Depression der problematischen Nutzung voraus (Cloes et al., 2026).</w:t>
      </w:r>
    </w:p>
    <w:p>
      <w:pPr>
        <w:pStyle w:val="ListParagraph"/>
        <w:numPr>
          <w:ilvl w:val="0"/>
          <w:numId w:val="5"/>
        </w:numPr>
        <w:spacing w:after="80" w:line="264"/>
        <w:jc w:val="left"/>
      </w:pPr>
      <w:r>
        <w:rPr>
          <w:b/>
          <w:bCs/>
        </w:rPr>
        <w:t xml:space="preserve">Aufmerksamkeitsdefizit-/Hyperaktivitätsstörung (ADHS):</w:t>
      </w:r>
      <w:r>
        <w:t xml:space="preserve"> Impulsivität und Belohnungssensitivität, Beginn in der Kindheit, Beeinträchtigung in mehreren Lebensbereichen.</w:t>
      </w:r>
    </w:p>
    <w:p>
      <w:pPr>
        <w:pStyle w:val="ListParagraph"/>
        <w:numPr>
          <w:ilvl w:val="0"/>
          <w:numId w:val="5"/>
        </w:numPr>
        <w:spacing w:after="80" w:line="264"/>
        <w:jc w:val="left"/>
      </w:pPr>
      <w:r>
        <w:rPr>
          <w:b/>
          <w:bCs/>
        </w:rPr>
        <w:t xml:space="preserve">Bipolare Störung (hypomane oder manische Episode):</w:t>
      </w:r>
      <w:r>
        <w:t xml:space="preserve"> episodische Hypersexualität zusammen mit vermindertem Schlafbedürfnis, Antriebssteigerung, Größenideen.</w:t>
      </w:r>
    </w:p>
    <w:p>
      <w:pPr>
        <w:pStyle w:val="ListParagraph"/>
        <w:numPr>
          <w:ilvl w:val="0"/>
          <w:numId w:val="5"/>
        </w:numPr>
        <w:spacing w:after="80" w:line="264"/>
        <w:jc w:val="left"/>
      </w:pPr>
      <w:r>
        <w:rPr>
          <w:b/>
          <w:bCs/>
        </w:rPr>
        <w:t xml:space="preserve">Social-Media- oder Streaming-Nutzungsstörung ohne sexuellen Schwerpunkt:</w:t>
      </w:r>
      <w:r>
        <w:t xml:space="preserve"> Kontrollverlust betrifft die Plattformnutzung insgesamt; sexualisierte Inhalte sind Begleiterscheinung.</w:t>
      </w:r>
    </w:p>
    <w:p>
      <w:pPr>
        <w:pStyle w:val="ListParagraph"/>
        <w:numPr>
          <w:ilvl w:val="0"/>
          <w:numId w:val="5"/>
        </w:numPr>
        <w:spacing w:after="80" w:line="264"/>
        <w:jc w:val="left"/>
      </w:pPr>
      <w:r>
        <w:rPr>
          <w:b/>
          <w:bCs/>
        </w:rPr>
        <w:t xml:space="preserve">Zwangsstörung mit sexuellen Zwangsgedanken:</w:t>
      </w:r>
      <w:r>
        <w:t xml:space="preserve"> ich-fremde, angstbesetzte Intrusionen; Konsum dient eher der „Überprüfung“ als der Lust.</w:t>
      </w:r>
    </w:p>
    <w:p>
      <w:pPr>
        <w:pStyle w:val="ListParagraph"/>
        <w:numPr>
          <w:ilvl w:val="0"/>
          <w:numId w:val="5"/>
        </w:numPr>
        <w:spacing w:after="80" w:line="264"/>
        <w:jc w:val="left"/>
      </w:pPr>
      <w:r>
        <w:rPr>
          <w:b/>
          <w:bCs/>
        </w:rPr>
        <w:t xml:space="preserve">Substanzkonsumstörung (Komorbidität):</w:t>
      </w:r>
      <w:r>
        <w:t xml:space="preserve"> enthemmende Wirkung, sexualisierter Substanzkonsum.</w:t>
      </w:r>
    </w:p>
    <w:p>
      <w:pPr>
        <w:pStyle w:val="ListParagraph"/>
        <w:numPr>
          <w:ilvl w:val="0"/>
          <w:numId w:val="5"/>
        </w:numPr>
        <w:spacing w:after="80" w:line="264"/>
        <w:jc w:val="left"/>
      </w:pPr>
      <w:r>
        <w:rPr>
          <w:b/>
          <w:bCs/>
        </w:rPr>
        <w:t xml:space="preserve">Traumafolgestörungen:</w:t>
      </w:r>
      <w:r>
        <w:t xml:space="preserve"> sexualisiertes Verhalten als Regulation oder Reinszenierung; bei Minderjährigen immer Kinderschutzaspekte mitdenken.</w:t>
      </w:r>
    </w:p>
    <w:p>
      <w:pPr>
        <w:pStyle w:val="ListParagraph"/>
        <w:numPr>
          <w:ilvl w:val="0"/>
          <w:numId w:val="5"/>
        </w:numPr>
        <w:spacing w:after="80" w:line="264"/>
        <w:jc w:val="left"/>
      </w:pPr>
      <w:r>
        <w:rPr>
          <w:b/>
          <w:bCs/>
        </w:rPr>
        <w:t xml:space="preserve">Paraphile Störungen:</w:t>
      </w:r>
      <w:r>
        <w:t xml:space="preserve"> Fokus auf spezifische atypische Erregungsmuster; eigenständige diagnostische Kategorie.</w:t>
      </w:r>
    </w:p>
    <w:p>
      <w:pPr>
        <w:pStyle w:val="ListParagraph"/>
        <w:numPr>
          <w:ilvl w:val="0"/>
          <w:numId w:val="5"/>
        </w:numPr>
        <w:spacing w:after="80" w:line="264"/>
        <w:jc w:val="left"/>
      </w:pPr>
      <w:r>
        <w:rPr>
          <w:b/>
          <w:bCs/>
        </w:rPr>
        <w:t xml:space="preserve">Organische oder medikamentöse Ursachen:</w:t>
      </w:r>
      <w:r>
        <w:t xml:space="preserve"> z. B. Dopaminagonisten, frontale Hirnläsionen – bei jungen Menschen selten, bei plötzlichem Beginn aber zu prüfen.</w:t>
      </w:r>
    </w:p>
    <w:p>
      <w:pPr>
        <w:pStyle w:val="Heading1"/>
      </w:pPr>
      <w:r>
        <w:t xml:space="preserve">11  Sind Blasen reversibel?</w:t>
      </w:r>
    </w:p>
    <w:p>
      <w:pPr>
        <w:pStyle w:val="Heading2"/>
      </w:pPr>
      <w:r>
        <w:t xml:space="preserve">11.1  Befundlage</w:t>
      </w:r>
    </w:p>
    <w:p>
      <w:pPr>
        <w:keepNext/>
        <w:spacing w:after="80" w:before="200"/>
      </w:pPr>
      <w:r>
        <w:rPr>
          <w:b/>
          <w:bCs/>
          <w:color w:val="1F3864"/>
          <w:sz w:val="20"/>
          <w:szCs w:val="20"/>
        </w:rPr>
        <w:t xml:space="preserve">Tabelle 11: Evidenz zur Reversibilität nach Ebene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3"/>
        <w:gridCol w:w="4535"/>
        <w:gridCol w:w="2177"/>
        <w:gridCol w:w="725"/>
      </w:tblGrid>
      <w:tr>
        <w:trPr>
          <w:tblHeader/>
        </w:trPr>
        <w:tc>
          <w:tcPr>
            <w:tcW w:type="dxa" w:w="16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Ebene</w:t>
            </w:r>
          </w:p>
        </w:tc>
        <w:tc>
          <w:tcPr>
            <w:tcW w:type="dxa" w:w="45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Befund</w:t>
            </w:r>
          </w:p>
        </w:tc>
        <w:tc>
          <w:tcPr>
            <w:tcW w:type="dxa" w:w="21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Quelle</w:t>
            </w:r>
          </w:p>
        </w:tc>
        <w:tc>
          <w:tcPr>
            <w:tcW w:type="dxa" w:w="7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Feed (technisch)</w:t>
            </w:r>
          </w:p>
        </w:tc>
        <w:tc>
          <w:tcPr>
            <w:tcW w:type="dxa" w:w="45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Nach Verhaltenswechsel werden Seitenleisten-Empfehlungen auf YouTube binnen ca. 30 Videos moderat; die Startseite passt sich langsamer an.</w:t>
            </w:r>
          </w:p>
        </w:tc>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Hosseinmardi et al. (2024)</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Feed (Nutzeroption)</w:t>
            </w:r>
          </w:p>
        </w:tc>
        <w:tc>
          <w:tcPr>
            <w:tcW w:type="dxa" w:w="45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TikTok bietet in Europa eine „Neustart-Option“ und einen nicht personalisierten Feed (DSA Art. 38). Das OLG Bamberg urteilte 2026, TikTok habe diese Option zu gut versteckt; Revision zum BGH zugelassen.</w:t>
            </w:r>
          </w:p>
        </w:tc>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TikTok (2023); heise (2026)</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Einstellungen</w:t>
            </w:r>
          </w:p>
        </w:tc>
        <w:tc>
          <w:tcPr>
            <w:tcW w:type="dxa" w:w="45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Algorithmus-Abschalten macht erworbene Einstellungen nicht rückgängig, weil Folge-Beziehungen bleiben.</w:t>
            </w:r>
          </w:p>
        </w:tc>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Gauthier et al. (2026)</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Einstellungen</w:t>
            </w:r>
          </w:p>
        </w:tc>
        <w:tc>
          <w:tcPr>
            <w:tcW w:type="dxa" w:w="45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Umsortieren polarisierender Inhalte verändert Feindseligkeit in beide Richtungen.</w:t>
            </w:r>
          </w:p>
        </w:tc>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Piccardi et al. (2025)</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Einstellungen</w:t>
            </w:r>
          </w:p>
        </w:tc>
        <w:tc>
          <w:tcPr>
            <w:tcW w:type="dxa" w:w="45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Vollständige Deaktivierung von Facebook reduzierte politische Polarisierung.</w:t>
            </w:r>
          </w:p>
        </w:tc>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Allcott et al. (2020)</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Aufmerksamkeit / Wohlbefinden</w:t>
            </w:r>
          </w:p>
        </w:tc>
        <w:tc>
          <w:tcPr>
            <w:tcW w:type="dxa" w:w="45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Zwei Wochen ohne mobiles Internet verbesserten Daueraufmerksamkeit, psychische Gesundheit und Wohlbefinden.</w:t>
            </w:r>
          </w:p>
        </w:tc>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Castelo et al. (2025)</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Klinisch</w:t>
            </w:r>
          </w:p>
        </w:tc>
        <w:tc>
          <w:tcPr>
            <w:tcW w:type="dxa" w:w="45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Psychotherapie (v. a. KVT, ACT) reduziert problematischen Pornografiekonsum mit großen Effekten; kleine Effekte auf Verlangen (Craving); hohes Verzerrungsrisiko der Primärstudien.</w:t>
            </w:r>
          </w:p>
        </w:tc>
        <w:tc>
          <w:tcPr>
            <w:tcW w:type="dxa" w:w="2177"/>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López-Pinar et al. (2025): 20 Studien, n = 2.021</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Politik</w:t>
            </w:r>
          </w:p>
        </w:tc>
        <w:tc>
          <w:tcPr>
            <w:tcW w:type="dxa" w:w="45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Australiens Verbot unter 16 J.: 4,7 Mio. Accounts gesperrt, aber nach drei Monaten nutzten über 80 % der Unter-16-Jährigen weiterhin Plattformen.</w:t>
            </w:r>
          </w:p>
        </w:tc>
        <w:tc>
          <w:tcPr>
            <w:tcW w:type="dxa" w:w="2177"/>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eSafety (2026); Al Jazeera (2026)</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bl>
    <w:p>
      <w:pPr>
        <w:pBdr>
          <w:left w:val="single" w:color="2E5496" w:sz="24" w:space="8"/>
        </w:pBdr>
        <w:shd w:fill="EAF1FB" w:color="auto" w:val="clear"/>
        <w:spacing w:after="60" w:before="120"/>
        <w:ind w:left="200" w:right="200"/>
      </w:pPr>
      <w:r>
        <w:rPr>
          <w:b/>
          <w:bCs/>
          <w:color w:val="1F3864"/>
        </w:rPr>
        <w:t xml:space="preserve">Antwort auf TF5</w:t>
      </w:r>
    </w:p>
    <w:p>
      <w:pPr>
        <w:pBdr>
          <w:left w:val="single" w:color="2E5496" w:sz="24" w:space="8"/>
        </w:pBdr>
        <w:shd w:fill="EAF1FB" w:color="auto" w:val="clear"/>
        <w:spacing w:after="200" w:line="264"/>
        <w:ind w:left="200" w:right="200"/>
      </w:pPr>
      <w:r>
        <w:t xml:space="preserve">Blasen sind </w:t>
      </w:r>
      <w:r>
        <w:rPr>
          <w:b/>
          <w:bCs/>
        </w:rPr>
        <w:t xml:space="preserve">reversibel, aber asymmetrisch</w:t>
      </w:r>
      <w:r>
        <w:t xml:space="preserve">. Der Feed lässt sich innerhalb von Tagen umtrainieren. Folge-Netzwerke, Einstellungen, Gewohnheiten und parasoziale Bindungen müssen dagegen aktiv abgebaut werden: durch </w:t>
      </w:r>
      <w:r>
        <w:rPr>
          <w:b/>
          <w:bCs/>
        </w:rPr>
        <w:t xml:space="preserve">Entfolgen</w:t>
      </w:r>
      <w:r>
        <w:t xml:space="preserve">, Unterbrechung der Hinweisreize, alternative Belohnungsquellen und – bei klinischer Relevanz – Psychotherapie. Reines „Algorithmus aus“ genügt nicht; Verbote allein werden umgangen.</w:t>
      </w:r>
    </w:p>
    <w:p>
      <w:pPr>
        <w:pStyle w:val="Heading2"/>
      </w:pPr>
      <w:r>
        <w:t xml:space="preserve">11.2  Maßnahmen nach Ebene</w:t>
      </w:r>
    </w:p>
    <w:p>
      <w:pPr>
        <w:pStyle w:val="Heading3"/>
      </w:pPr>
      <w:r>
        <w:t xml:space="preserve">Individuum</w:t>
      </w:r>
    </w:p>
    <w:p>
      <w:pPr>
        <w:pStyle w:val="ListParagraph"/>
        <w:numPr>
          <w:ilvl w:val="0"/>
          <w:numId w:val="6"/>
        </w:numPr>
        <w:spacing w:after="80" w:line="264"/>
        <w:jc w:val="left"/>
      </w:pPr>
      <w:r>
        <w:t xml:space="preserve">Feed zurücksetzen oder nicht personalisierten Feed aktivieren (in der EU verpflichtend angeboten).</w:t>
      </w:r>
    </w:p>
    <w:p>
      <w:pPr>
        <w:pStyle w:val="ListParagraph"/>
        <w:numPr>
          <w:ilvl w:val="0"/>
          <w:numId w:val="6"/>
        </w:numPr>
        <w:spacing w:after="80" w:line="264"/>
        <w:jc w:val="left"/>
      </w:pPr>
      <w:r>
        <w:rPr>
          <w:b/>
          <w:bCs/>
        </w:rPr>
        <w:t xml:space="preserve">Aktiv entfolgen</w:t>
      </w:r>
      <w:r>
        <w:t xml:space="preserve"> – insbesondere Creator- und Aktivisten-Accounts, die über den Algorithmus hinzukamen; das ist der eigentliche Hebel für die „Kopf-Blase“.</w:t>
      </w:r>
    </w:p>
    <w:p>
      <w:pPr>
        <w:pStyle w:val="ListParagraph"/>
        <w:numPr>
          <w:ilvl w:val="0"/>
          <w:numId w:val="6"/>
        </w:numPr>
        <w:spacing w:after="80" w:line="264"/>
        <w:jc w:val="left"/>
      </w:pPr>
      <w:r>
        <w:t xml:space="preserve">Gegen-Signale setzen: „Nicht interessiert“ markieren, gezielt andere Themen suchen und ansehen.</w:t>
      </w:r>
    </w:p>
    <w:p>
      <w:pPr>
        <w:pStyle w:val="ListParagraph"/>
        <w:numPr>
          <w:ilvl w:val="0"/>
          <w:numId w:val="6"/>
        </w:numPr>
        <w:spacing w:after="80" w:line="264"/>
        <w:jc w:val="left"/>
      </w:pPr>
      <w:r>
        <w:t xml:space="preserve">Hinweisreize reduzieren: Push-Benachrichtigungen aus, Smartphone nachts außerhalb des Schlafzimmers.</w:t>
      </w:r>
    </w:p>
    <w:p>
      <w:pPr>
        <w:pStyle w:val="ListParagraph"/>
        <w:numPr>
          <w:ilvl w:val="0"/>
          <w:numId w:val="6"/>
        </w:numPr>
        <w:spacing w:after="80" w:line="264"/>
        <w:jc w:val="left"/>
      </w:pPr>
      <w:r>
        <w:t xml:space="preserve">Befristete Abstinenzphasen (z. B. zwei Wochen ohne mobiles Internet) als Selbstexperiment.</w:t>
      </w:r>
    </w:p>
    <w:p>
      <w:pPr>
        <w:pStyle w:val="Heading3"/>
      </w:pPr>
      <w:r>
        <w:t xml:space="preserve">Familie, Schule, Jugendarbeit</w:t>
      </w:r>
    </w:p>
    <w:p>
      <w:pPr>
        <w:pStyle w:val="ListParagraph"/>
        <w:numPr>
          <w:ilvl w:val="0"/>
          <w:numId w:val="4"/>
        </w:numPr>
        <w:spacing w:after="60" w:line="264"/>
        <w:jc w:val="left"/>
      </w:pPr>
      <w:r>
        <w:t xml:space="preserve">Offene Gespräche über Pornografie – laut Common Sense Media hat weniger als die Hälfte der Jugendlichen je mit einer Vertrauensperson darüber gesprochen.</w:t>
      </w:r>
    </w:p>
    <w:p>
      <w:pPr>
        <w:pStyle w:val="ListParagraph"/>
        <w:numPr>
          <w:ilvl w:val="0"/>
          <w:numId w:val="4"/>
        </w:numPr>
        <w:spacing w:after="60" w:line="264"/>
        <w:jc w:val="left"/>
      </w:pPr>
      <w:r>
        <w:t xml:space="preserve">Funnel-Aufklärung als „Impfung“ (Prebunking): Wer weiß, dass „persönliche“ Nachrichten oft von bezahlten Chattern stammen, ist weniger anfällig. Inokulation ist gegen Desinformation wirksam (Roozenbeek et al., 2022); die Übertragung auf diesen Kontext ist ungeprüft (Grad D).</w:t>
      </w:r>
    </w:p>
    <w:p>
      <w:pPr>
        <w:pStyle w:val="ListParagraph"/>
        <w:numPr>
          <w:ilvl w:val="0"/>
          <w:numId w:val="4"/>
        </w:numPr>
        <w:spacing w:after="60" w:line="264"/>
        <w:jc w:val="left"/>
      </w:pPr>
      <w:r>
        <w:t xml:space="preserve">Die Expertenkommission des Bundes empfiehlt u. a. ein bundesweit einheitliches Verbot privater Handynutzung an Schulen bis Klasse 7, eigene Social-Media-Accounts grundsätzlich ab 13 Jahren mit wirksamer Altersprüfung und weiteren Schutzstufen bis 18 sowie Jugendschutz „by Design und by Default“ (Expertenkommission, 2026).</w:t>
      </w:r>
    </w:p>
    <w:p>
      <w:pPr>
        <w:pStyle w:val="Heading3"/>
      </w:pPr>
      <w:r>
        <w:t xml:space="preserve">Klinik und Beratung</w:t>
      </w:r>
    </w:p>
    <w:p>
      <w:pPr>
        <w:pStyle w:val="ListParagraph"/>
        <w:numPr>
          <w:ilvl w:val="0"/>
          <w:numId w:val="4"/>
        </w:numPr>
        <w:spacing w:after="60" w:line="264"/>
        <w:jc w:val="left"/>
      </w:pPr>
      <w:r>
        <w:t xml:space="preserve">Kognitive Verhaltenstherapie und Akzeptanz- und Commitment-Therapie als Mittel der ersten Wahl; Online-Selbsthilfeprogramme zeigen erste positive Ergebnisse (Bőthe et al., 2021).</w:t>
      </w:r>
    </w:p>
    <w:p>
      <w:pPr>
        <w:pStyle w:val="ListParagraph"/>
        <w:numPr>
          <w:ilvl w:val="0"/>
          <w:numId w:val="4"/>
        </w:numPr>
        <w:spacing w:after="60" w:line="264"/>
        <w:jc w:val="left"/>
      </w:pPr>
      <w:r>
        <w:t xml:space="preserve">Deutsche Behandlungsleitlinien für Social-Networking-Nutzungsstörungen liegen seit 2025 vor (Müller et al., 2025).</w:t>
      </w:r>
    </w:p>
    <w:p>
      <w:pPr>
        <w:pStyle w:val="ListParagraph"/>
        <w:numPr>
          <w:ilvl w:val="0"/>
          <w:numId w:val="4"/>
        </w:numPr>
        <w:spacing w:after="60" w:line="264"/>
        <w:jc w:val="left"/>
      </w:pPr>
      <w:r>
        <w:t xml:space="preserve">Komorbide Depression gleichzeitig behandeln.</w:t>
      </w:r>
    </w:p>
    <w:p>
      <w:pPr>
        <w:pStyle w:val="Heading3"/>
      </w:pPr>
      <w:r>
        <w:t xml:space="preserve">Plattformen und Regulierung</w:t>
      </w:r>
    </w:p>
    <w:p>
      <w:pPr>
        <w:pStyle w:val="ListParagraph"/>
        <w:numPr>
          <w:ilvl w:val="0"/>
          <w:numId w:val="4"/>
        </w:numPr>
        <w:spacing w:after="60" w:line="264"/>
        <w:jc w:val="left"/>
      </w:pPr>
      <w:r>
        <w:t xml:space="preserve">Durchsetzung von DSA Art. 28 (Minderjährigenschutz), 34/35 (Risikobewertung und -minderung) und 38 (Feed ohne Profiling, leicht auffindbar).</w:t>
      </w:r>
    </w:p>
    <w:p>
      <w:pPr>
        <w:pStyle w:val="ListParagraph"/>
        <w:numPr>
          <w:ilvl w:val="0"/>
          <w:numId w:val="4"/>
        </w:numPr>
        <w:spacing w:after="60" w:line="264"/>
        <w:jc w:val="left"/>
      </w:pPr>
      <w:r>
        <w:t xml:space="preserve">Gestaltungsänderungen statt reiner Altersgrenzen: Begrenzung des Endlos-Scrollens, nächtliche Pausen, Anpassung des Empfehlungssystems – so von der EU-Kommission gegenüber TikTok gefordert.</w:t>
      </w:r>
    </w:p>
    <w:p>
      <w:pPr>
        <w:pStyle w:val="ListParagraph"/>
        <w:numPr>
          <w:ilvl w:val="0"/>
          <w:numId w:val="4"/>
        </w:numPr>
        <w:spacing w:after="60" w:line="264"/>
        <w:jc w:val="left"/>
      </w:pPr>
      <w:r>
        <w:t xml:space="preserve">Plattformübergreifende Verantwortung: Link-Aggregatoren und Zweit-Account-Ketten als eigene Risikokategorie behandeln.</w:t>
      </w:r>
    </w:p>
    <w:p>
      <w:pPr>
        <w:pStyle w:val="Heading1"/>
      </w:pPr>
      <w:r>
        <w:t xml:space="preserve">12  Implikationen für eine Präventionssoftware</w:t>
      </w:r>
    </w:p>
    <w:p>
      <w:pPr>
        <w:pStyle w:val="Heading2"/>
      </w:pPr>
      <w:r>
        <w:t xml:space="preserve">12.1  Leitprinzipien</w:t>
      </w:r>
    </w:p>
    <w:p>
      <w:pPr>
        <w:pStyle w:val="ListParagraph"/>
        <w:numPr>
          <w:ilvl w:val="0"/>
          <w:numId w:val="7"/>
        </w:numPr>
        <w:spacing w:after="80" w:line="264"/>
        <w:jc w:val="left"/>
      </w:pPr>
      <w:r>
        <w:rPr>
          <w:b/>
          <w:bCs/>
        </w:rPr>
        <w:t xml:space="preserve">Schutz ohne Überwachung:</w:t>
      </w:r>
      <w:r>
        <w:t xml:space="preserve"> Verarbeitung möglichst auf dem Gerät; keine Übertragung von Inhalten an Server; Datensparsamkeit und datenschutzfreundliche Voreinstellungen (Art. 5 und 25 DSGVO).</w:t>
      </w:r>
    </w:p>
    <w:p>
      <w:pPr>
        <w:pStyle w:val="ListParagraph"/>
        <w:numPr>
          <w:ilvl w:val="0"/>
          <w:numId w:val="7"/>
        </w:numPr>
        <w:spacing w:after="80" w:line="264"/>
        <w:jc w:val="left"/>
      </w:pPr>
      <w:r>
        <w:rPr>
          <w:b/>
          <w:bCs/>
        </w:rPr>
        <w:t xml:space="preserve">Verhalten vor Inhalt:</w:t>
      </w:r>
      <w:r>
        <w:t xml:space="preserve"> Wo möglich Metadaten (Zeit, Frequenz, Übergänge) statt Inhaltsanalyse nutzen.</w:t>
      </w:r>
    </w:p>
    <w:p>
      <w:pPr>
        <w:pStyle w:val="ListParagraph"/>
        <w:numPr>
          <w:ilvl w:val="0"/>
          <w:numId w:val="7"/>
        </w:numPr>
        <w:spacing w:after="80" w:line="264"/>
        <w:jc w:val="left"/>
      </w:pPr>
      <w:r>
        <w:rPr>
          <w:b/>
          <w:bCs/>
        </w:rPr>
        <w:t xml:space="preserve">Schamfreiheit:</w:t>
      </w:r>
      <w:r>
        <w:t xml:space="preserve"> Keine moralisierenden Botschaften – sie können Leidensdruck erhöhen, ohne Verhalten zu ändern (Grubbs et al., 2019).</w:t>
      </w:r>
    </w:p>
    <w:p>
      <w:pPr>
        <w:pStyle w:val="ListParagraph"/>
        <w:numPr>
          <w:ilvl w:val="0"/>
          <w:numId w:val="7"/>
        </w:numPr>
        <w:spacing w:after="80" w:line="264"/>
        <w:jc w:val="left"/>
      </w:pPr>
      <w:r>
        <w:rPr>
          <w:b/>
          <w:bCs/>
        </w:rPr>
        <w:t xml:space="preserve">Altersdifferenzierung:</w:t>
      </w:r>
      <w:r>
        <w:t xml:space="preserve"> Kinder unter 13 schützen (Blockieren), Jugendliche einbeziehen (Transparenz, Mitbestimmung), Erwachsene nur auf eigenen Wunsch unterstützen.</w:t>
      </w:r>
    </w:p>
    <w:p>
      <w:pPr>
        <w:pStyle w:val="ListParagraph"/>
        <w:numPr>
          <w:ilvl w:val="0"/>
          <w:numId w:val="7"/>
        </w:numPr>
        <w:spacing w:after="80" w:line="264"/>
        <w:jc w:val="left"/>
      </w:pPr>
      <w:r>
        <w:rPr>
          <w:b/>
          <w:bCs/>
        </w:rPr>
        <w:t xml:space="preserve">Transparenz gegenüber Jugendlichen:</w:t>
      </w:r>
      <w:r>
        <w:t xml:space="preserve"> Keine heimliche Elternüberwachung; Jugendliche sehen, was erfasst wird.</w:t>
      </w:r>
    </w:p>
    <w:p>
      <w:pPr>
        <w:pStyle w:val="ListParagraph"/>
        <w:numPr>
          <w:ilvl w:val="0"/>
          <w:numId w:val="7"/>
        </w:numPr>
        <w:spacing w:after="80" w:line="264"/>
        <w:jc w:val="left"/>
      </w:pPr>
      <w:r>
        <w:rPr>
          <w:b/>
          <w:bCs/>
        </w:rPr>
        <w:t xml:space="preserve">Keine Diagnosen:</w:t>
      </w:r>
      <w:r>
        <w:t xml:space="preserve"> Die Software erkennt Risikomuster und verweist auf Hilfe.</w:t>
      </w:r>
    </w:p>
    <w:p>
      <w:pPr>
        <w:pStyle w:val="ListParagraph"/>
        <w:numPr>
          <w:ilvl w:val="0"/>
          <w:numId w:val="7"/>
        </w:numPr>
        <w:spacing w:after="80" w:line="264"/>
        <w:jc w:val="left"/>
      </w:pPr>
      <w:r>
        <w:rPr>
          <w:b/>
          <w:bCs/>
        </w:rPr>
        <w:t xml:space="preserve">Wirksamkeit belegen:</w:t>
      </w:r>
      <w:r>
        <w:t xml:space="preserve"> Randomisierte, präregistrierte Evaluation vor breiter Einführung.</w:t>
      </w:r>
    </w:p>
    <w:p>
      <w:pPr>
        <w:pStyle w:val="Heading2"/>
      </w:pPr>
      <w:r>
        <w:t xml:space="preserve">12.2  Signal-Katalog</w:t>
      </w:r>
    </w:p>
    <w:p>
      <w:pPr>
        <w:keepNext/>
        <w:spacing w:after="80" w:before="200"/>
      </w:pPr>
      <w:r>
        <w:rPr>
          <w:b/>
          <w:bCs/>
          <w:color w:val="1F3864"/>
          <w:sz w:val="20"/>
          <w:szCs w:val="20"/>
        </w:rPr>
        <w:t xml:space="preserve">Tabelle 12: Mögliche Signale, Operationalisierung und Datenschutzstufe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3"/>
        <w:gridCol w:w="3265"/>
        <w:gridCol w:w="2721"/>
        <w:gridCol w:w="1451"/>
      </w:tblGrid>
      <w:tr>
        <w:trPr>
          <w:tblHeader/>
        </w:trPr>
        <w:tc>
          <w:tcPr>
            <w:tcW w:type="dxa" w:w="16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Signal</w:t>
            </w:r>
          </w:p>
        </w:tc>
        <w:tc>
          <w:tcPr>
            <w:tcW w:type="dxa" w:w="32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Operationalisierung</w:t>
            </w:r>
          </w:p>
        </w:tc>
        <w:tc>
          <w:tcPr>
            <w:tcW w:type="dxa" w:w="27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Begründung</w:t>
            </w:r>
          </w:p>
        </w:tc>
        <w:tc>
          <w:tcPr>
            <w:tcW w:type="dxa" w:w="14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Datenschutzstufe*</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Nutzungsintensität</w:t>
            </w:r>
          </w:p>
        </w:tc>
        <w:tc>
          <w:tcPr>
            <w:tcW w:type="dxa" w:w="326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Tägliche Kurzvideo-Zeit; Sitzungen über 60 min</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DAK (2026); EU-Kommission (2026)</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1</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Nachtnutzung</w:t>
            </w:r>
          </w:p>
        </w:tc>
        <w:tc>
          <w:tcPr>
            <w:tcW w:type="dxa" w:w="326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Nutzung zwischen 23 und 5 Uhr, v. a. an Schultagen</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Von der EU-Kommission ausdrücklich als Indikator genannt</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Öffnungsfrequenz</w:t>
            </w:r>
          </w:p>
        </w:tc>
        <w:tc>
          <w:tcPr>
            <w:tcW w:type="dxa" w:w="326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App-Starts pro Tag, Anstieg über Wochen</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EU-Kommission (2026)</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1</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Feed-Diversität</w:t>
            </w:r>
          </w:p>
        </w:tc>
        <w:tc>
          <w:tcPr>
            <w:tcW w:type="dxa" w:w="326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Themenvielfalt (z. B. Shannon-Entropie der Kategorien) im rollierenden Fenster; Abfall als Blasen-Indikator</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H1, Audit-Studien</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2</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Sexualisierungsanteil</w:t>
            </w:r>
          </w:p>
        </w:tc>
        <w:tc>
          <w:tcPr>
            <w:tcW w:type="dxa" w:w="326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Anteil als anzüglich klassifizierter Inhalte</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WSJ &amp; Edelson (2024)</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2</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Misogynie-Anteil</w:t>
            </w:r>
          </w:p>
        </w:tc>
        <w:tc>
          <w:tcPr>
            <w:tcW w:type="dxa" w:w="326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Anteil als manosphere-nah klassifizierter Inhalte</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Baker et al. (2024)</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2</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Funnel-Übergang</w:t>
            </w:r>
          </w:p>
        </w:tc>
        <w:tc>
          <w:tcPr>
            <w:tcW w:type="dxa" w:w="326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Aufruf eines Link-Aggregators aus einer Social-App, gefolgt von einer Erotikdomain</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Branchendokumente (Kap. 8)</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1</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Zahlungsmuster</w:t>
            </w:r>
          </w:p>
        </w:tc>
        <w:tc>
          <w:tcPr>
            <w:tcW w:type="dxa" w:w="326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Wiederkehrende Creator-Abos, Käufe spät nachts</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Chatter-Ökonomie (Kap. 8.3)</w:t>
            </w:r>
          </w:p>
        </w:tc>
        <w:tc>
          <w:tcPr>
            <w:tcW w:type="dxa" w:w="145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3</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Selbstauskunft</w:t>
            </w:r>
          </w:p>
        </w:tc>
        <w:tc>
          <w:tcPr>
            <w:tcW w:type="dxa" w:w="326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Kurze validierte Skalen: Social Media Disorder Scale, PPCS-6-A (Jugendliche), CSBD-19 (Erwachsene)</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HBSC; Bőthe et al.</w:t>
            </w:r>
          </w:p>
        </w:tc>
        <w:tc>
          <w:tcPr>
            <w:tcW w:type="dxa" w:w="145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3</w:t>
            </w:r>
          </w:p>
        </w:tc>
      </w:tr>
    </w:tbl>
    <w:p>
      <w:pPr>
        <w:spacing w:after="200" w:before="60"/>
        <w:jc w:val="left"/>
      </w:pPr>
      <w:r>
        <w:rPr>
          <w:i/>
          <w:iCs/>
          <w:color w:val="595959"/>
          <w:sz w:val="16"/>
          <w:szCs w:val="16"/>
        </w:rPr>
        <w:t xml:space="preserve"> Stufe 1 = Metadaten auf dem Gerät; Stufe 2 = Inhaltsklassifikation auf dem Gerät ohne Speicherung der Inhalte; Stufe 3 = nur mit ausdrücklicher Einwilligung bzw. freiwilliger Angabe</w:t>
      </w:r>
    </w:p>
    <w:p>
      <w:pPr>
        <w:pStyle w:val="Heading2"/>
      </w:pPr>
      <w:r>
        <w:t xml:space="preserve">12.3  Gestufte Interventionsleiter</w:t>
      </w:r>
    </w:p>
    <w:p>
      <w:pPr>
        <w:keepNext/>
        <w:spacing w:after="80" w:before="200"/>
      </w:pPr>
      <w:r>
        <w:rPr>
          <w:b/>
          <w:bCs/>
          <w:color w:val="1F3864"/>
          <w:sz w:val="20"/>
          <w:szCs w:val="20"/>
        </w:rPr>
        <w:t xml:space="preserve">Tabelle 13: Interventionsleiter (stepped care)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3"/>
        <w:gridCol w:w="2721"/>
        <w:gridCol w:w="4716"/>
      </w:tblGrid>
      <w:tr>
        <w:trPr>
          <w:tblHeader/>
        </w:trPr>
        <w:tc>
          <w:tcPr>
            <w:tcW w:type="dxa" w:w="16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Stufe</w:t>
            </w:r>
          </w:p>
        </w:tc>
        <w:tc>
          <w:tcPr>
            <w:tcW w:type="dxa" w:w="27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Auslöser</w:t>
            </w:r>
          </w:p>
        </w:tc>
        <w:tc>
          <w:tcPr>
            <w:tcW w:type="dxa" w:w="47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Intervention</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0 Transparenz</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Immer</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Persönliches Dashboard: eigene Nutzung, Themenvielfalt, Nachtanteil</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 Reibung</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Lange Sitzungen, Nachtnutzung</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Pausenhinweise, Countdown vor Weiterscrollen, Graustufen nachts</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2 Blasen-Hinweis</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Abfall der Feed-Diversität</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Erklärung der Blase plus Schritt-für-Schritt-Anleitung: Feed zurücksetzen, nicht personalisierten Feed aktivieren, entfolgen</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3 Aufklärung</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Hoher Sexualisierungs- oder Misogynie-Anteil; Funnel-Übergang</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Kurze, schamfreie Einheiten: „Wie der Funnel funktioniert“, „Wer schreibt dir wirklich?“</w:t>
            </w:r>
          </w:p>
        </w:tc>
      </w:tr>
      <w:tr>
        <w:trPr>
          <w:cantSplit/>
        </w:trPr>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4 Selbsttest und Hilfe</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Mehrere Signale über Wochen</w:t>
            </w:r>
          </w:p>
        </w:tc>
        <w:tc>
          <w:tcPr>
            <w:tcW w:type="dxa" w:w="471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Freiwilliger Kurztest, Verweis auf Beratung (z. B. Mediensucht-Screening, Online-Anlaufstellen)</w:t>
            </w:r>
          </w:p>
        </w:tc>
      </w:tr>
      <w:tr>
        <w:trPr>
          <w:cantSplit/>
        </w:trPr>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5 Schutzmodus (unter 18)</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Funnel-Übergang bei Minderjährigen</w:t>
            </w:r>
          </w:p>
        </w:tc>
        <w:tc>
          <w:tcPr>
            <w:tcW w:type="dxa" w:w="4716"/>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Blockieren von Erotikdomains und Aggregator-Ketten; transparente, altersgerechte Einbindung der Eltern</w:t>
            </w:r>
          </w:p>
        </w:tc>
      </w:tr>
    </w:tbl>
    <w:p>
      <w:pPr>
        <w:pStyle w:val="Heading2"/>
      </w:pPr>
      <w:r>
        <w:t xml:space="preserve">12.4  Was die Software nicht tun sollte</w:t>
      </w:r>
    </w:p>
    <w:p>
      <w:pPr>
        <w:pStyle w:val="ListParagraph"/>
        <w:numPr>
          <w:ilvl w:val="0"/>
          <w:numId w:val="4"/>
        </w:numPr>
        <w:spacing w:after="60" w:line="264"/>
        <w:jc w:val="left"/>
      </w:pPr>
      <w:r>
        <w:t xml:space="preserve">Private Nachrichten inhaltlich scannen oder an Dritte melden.</w:t>
      </w:r>
    </w:p>
    <w:p>
      <w:pPr>
        <w:pStyle w:val="ListParagraph"/>
        <w:numPr>
          <w:ilvl w:val="0"/>
          <w:numId w:val="4"/>
        </w:numPr>
        <w:spacing w:after="60" w:line="264"/>
        <w:jc w:val="left"/>
      </w:pPr>
      <w:r>
        <w:t xml:space="preserve">Jugendliche heimlich überwachen – das zerstört Vertrauen, den stärksten bekannten Schutzfaktor.</w:t>
      </w:r>
    </w:p>
    <w:p>
      <w:pPr>
        <w:pStyle w:val="ListParagraph"/>
        <w:numPr>
          <w:ilvl w:val="0"/>
          <w:numId w:val="4"/>
        </w:numPr>
        <w:spacing w:after="60" w:line="264"/>
        <w:jc w:val="left"/>
      </w:pPr>
      <w:r>
        <w:t xml:space="preserve">Mit Angst, Scham oder religiös-moralischen Botschaften arbeiten.</w:t>
      </w:r>
    </w:p>
    <w:p>
      <w:pPr>
        <w:pStyle w:val="ListParagraph"/>
        <w:numPr>
          <w:ilvl w:val="0"/>
          <w:numId w:val="4"/>
        </w:numPr>
        <w:spacing w:after="60" w:line="264"/>
        <w:jc w:val="left"/>
      </w:pPr>
      <w:r>
        <w:t xml:space="preserve">Starre Grenzwerte als „Sucht“ ausgeben; die Audit-Zeiten (z. B. 23 Minuten) sind Studienergebnisse, keine validierten Schwellenwerte.</w:t>
      </w:r>
    </w:p>
    <w:p>
      <w:pPr>
        <w:pStyle w:val="Heading2"/>
      </w:pPr>
      <w:r>
        <w:t xml:space="preserve">12.5  Evaluation</w:t>
      </w:r>
    </w:p>
    <w:p>
      <w:pPr>
        <w:spacing w:after="120" w:line="276"/>
        <w:jc w:val="both"/>
      </w:pPr>
      <w:r>
        <w:t xml:space="preserve">Empfohlen wird eine präregistrierte randomisierte Studie mit Warteliste oder aktiver Kontrollbedingung, Laufzeit mindestens drei Monate plus Follow-up. Primäre Endpunkte: problematische Social-Media-Nutzung (Social Media Disorder Scale) und – ab 18 Jahren – problematischer Pornografiekonsum (PPCS-6 bzw. CSBD-19). Sekundäre Endpunkte: Schlaf, Wohlbefinden, depressive Symptome (PHQ-9), Feed-Diversität. Ein positives Votum einer Ethikkommission sowie ein Datenschutzkonzept sind vor Beginn einzuholen; bei Minderjährigen sind Einwilligung der Sorgeberechtigten und Zustimmung der Jugendlichen erforderlich.</w:t>
      </w:r>
    </w:p>
    <w:p>
      <w:pPr>
        <w:pStyle w:val="Heading1"/>
      </w:pPr>
      <w:r>
        <w:t xml:space="preserve">13  Diskussion und Limitationen</w:t>
      </w:r>
    </w:p>
    <w:p>
      <w:pPr>
        <w:spacing w:after="120" w:line="276"/>
        <w:jc w:val="both"/>
      </w:pPr>
      <w:r>
        <w:t xml:space="preserve">Die Arbeit zeigt eine robuste Datenlage für die Anfangs- und die Endstufen des untersuchten Pfades: Exposition, rasche algorithmische Verengung und die Prävalenz problematischer Muster sind gut belegt. Die Mittelstufen – der Übergang von Aufmerksamkeit zu Bindung und Bezahlung – sind dagegen vor allem durch Branchendokumente, Journalismus und Gerichtsakten belegt (Grad C). Das ist für die Beschreibung von Praktiken angemessen, erlaubt aber keine Aussagen darüber, wie viele Nutzende diese Stufen tatsächlich durchlaufen.</w:t>
      </w:r>
    </w:p>
    <w:p>
      <w:pPr>
        <w:spacing w:after="120" w:line="276"/>
        <w:jc w:val="both"/>
      </w:pPr>
      <w:r>
        <w:t xml:space="preserve">Eine zweite Grenze betrifft die Kausalität. Die längsschnittlichen Daten zu Video-Streaming sprechen dafür, dass psychische Belastung problematischer Nutzung vorausgeht. Für Pornografie fehlen vergleichbare Daten weitgehend. Das warnt vor der Erzählung, Plattformen „machten“ junge Menschen süchtig; plausibler ist ein Wechselspiel, in dem kommerziell optimierte Systeme bestehende Verletzlichkeiten finden und verstärken.</w:t>
      </w:r>
    </w:p>
    <w:p>
      <w:pPr>
        <w:spacing w:after="120" w:line="276"/>
        <w:jc w:val="both"/>
      </w:pPr>
      <w:r>
        <w:t xml:space="preserve">Drittens sind die Algorithmen nicht statisch. Die YouTube-Befunde nach 2019 zeigen, dass Plattformänderungen die Richtung der Effekte umkehren können; umgekehrt belegen die X-Daten, dass Eigentümerinteressen die Ausrichtung prägen. Regulierung nach dem DSA und Urteile wie das des OLG Bamberg verändern das Feld laufend.</w:t>
      </w:r>
    </w:p>
    <w:p>
      <w:pPr>
        <w:spacing w:after="120" w:line="276"/>
        <w:jc w:val="both"/>
      </w:pPr>
      <w:r>
        <w:t xml:space="preserve">Viertens: Der Vergleich mit KI trägt nur begrenzt. Die Daten stützen die Einschätzung, dass die Risiken von Empfehlungssystemen unterschätzt werden; sie stützen nicht die Annahme, dass KI im Vergleich harmlos sei. Beide Technologien teilen dasselbe Geschäftsmodell der Aufmerksamkeitsbindung und sollten gemeinsam betrachtet werden.</w:t>
      </w:r>
    </w:p>
    <w:p>
      <w:pPr>
        <w:pStyle w:val="Heading1"/>
      </w:pPr>
      <w:r>
        <w:t xml:space="preserve">14  Fazit: Beantwortung der Leitfrage</w:t>
      </w:r>
    </w:p>
    <w:p>
      <w:pPr>
        <w:pStyle w:val="ListParagraph"/>
        <w:numPr>
          <w:ilvl w:val="0"/>
          <w:numId w:val="8"/>
        </w:numPr>
        <w:spacing w:after="80" w:line="264"/>
        <w:jc w:val="left"/>
      </w:pPr>
      <w:r>
        <w:rPr>
          <w:b/>
          <w:bCs/>
        </w:rPr>
        <w:t xml:space="preserve">Die Verengung ist real und schnell.</w:t>
      </w:r>
      <w:r>
        <w:t xml:space="preserve"> Kurzvideo-Algorithmen verengen Feeds innerhalb von Minuten bis Stunden; für junge Männer zugleich in Richtung sexualisierter Inhalte und Manosphere (H1 gestützt).</w:t>
      </w:r>
    </w:p>
    <w:p>
      <w:pPr>
        <w:pStyle w:val="ListParagraph"/>
        <w:numPr>
          <w:ilvl w:val="0"/>
          <w:numId w:val="8"/>
        </w:numPr>
        <w:spacing w:after="80" w:line="264"/>
        <w:jc w:val="left"/>
      </w:pPr>
      <w:r>
        <w:rPr>
          <w:b/>
          <w:bCs/>
        </w:rPr>
        <w:t xml:space="preserve">Der Weg zu OnlyFans ist gemacht, nicht zufällig.</w:t>
      </w:r>
      <w:r>
        <w:t xml:space="preserve"> Algorithmen liefern Reichweite; Agenturen bauen darauf einen arbeitsteiligen Funnel, der Plattformregeln umgeht und Nähe monetarisiert (H3 gestützt).</w:t>
      </w:r>
    </w:p>
    <w:p>
      <w:pPr>
        <w:pStyle w:val="ListParagraph"/>
        <w:numPr>
          <w:ilvl w:val="0"/>
          <w:numId w:val="8"/>
        </w:numPr>
        <w:spacing w:after="80" w:line="264"/>
        <w:jc w:val="left"/>
      </w:pPr>
      <w:r>
        <w:rPr>
          <w:b/>
          <w:bCs/>
        </w:rPr>
        <w:t xml:space="preserve">Die Mehrheit steigt früh aus.</w:t>
      </w:r>
      <w:r>
        <w:t xml:space="preserve"> Problematischer Konsum betrifft eine Minderheit von einigen Prozent der Männer; psychische Vorbelastungen spielen eine zentrale Rolle (H4 gestützt).</w:t>
      </w:r>
    </w:p>
    <w:p>
      <w:pPr>
        <w:pStyle w:val="ListParagraph"/>
        <w:numPr>
          <w:ilvl w:val="0"/>
          <w:numId w:val="8"/>
        </w:numPr>
        <w:spacing w:after="80" w:line="264"/>
        <w:jc w:val="left"/>
      </w:pPr>
      <w:r>
        <w:rPr>
          <w:b/>
          <w:bCs/>
        </w:rPr>
        <w:t xml:space="preserve">Blasen sind asymmetrisch reversibel.</w:t>
      </w:r>
      <w:r>
        <w:t xml:space="preserve"> Der Feed vergisst schnell, der Kopf nicht: Folge-Netzwerke, Einstellungen und Gewohnheiten bleiben; wirksam sind Entfolgen, Reizkontrolle, Aufklärung und bei Bedarf Therapie (H2 gestützt).</w:t>
      </w:r>
    </w:p>
    <w:p>
      <w:pPr>
        <w:pStyle w:val="ListParagraph"/>
        <w:numPr>
          <w:ilvl w:val="0"/>
          <w:numId w:val="8"/>
        </w:numPr>
        <w:spacing w:after="80" w:line="264"/>
        <w:jc w:val="left"/>
      </w:pPr>
      <w:r>
        <w:rPr>
          <w:b/>
          <w:bCs/>
        </w:rPr>
        <w:t xml:space="preserve">Die Kette „30-Sekunden-Video → Pornosucht“ ist kein Automatismus, aber ein kommerziell optimierter Risikopfad</w:t>
      </w:r>
      <w:r>
        <w:t xml:space="preserve"> mit klar benennbaren Eingriffspunkten: Gestaltung der Feeds, Übergänge zwischen Plattformen und Vulnerabilitäten der Nutzenden. Genau dort sollte eine Präventionssoftware ansetzen.</w:t>
      </w:r>
    </w:p>
    <w:p>
      <w:r>
        <w:br w:type="page"/>
      </w:r>
    </w:p>
    <w:p>
      <w:pPr>
        <w:pStyle w:val="Heading1"/>
      </w:pPr>
      <w:r>
        <w:t xml:space="preserve">Literaturverzeichnis</w:t>
      </w:r>
    </w:p>
    <w:p>
      <w:pPr>
        <w:spacing w:after="80" w:line="250"/>
        <w:ind w:left="567" w:hanging="567"/>
        <w:jc w:val="left"/>
      </w:pPr>
      <w:r>
        <w:rPr>
          <w:sz w:val="18"/>
          <w:szCs w:val="18"/>
        </w:rPr>
        <w:t xml:space="preserve">Al Jazeera. (2026, 3. August). </w:t>
      </w:r>
      <w:r>
        <w:rPr>
          <w:i/>
          <w:iCs/>
          <w:sz w:val="18"/>
          <w:szCs w:val="18"/>
        </w:rPr>
        <w:t xml:space="preserve">Australia’s under-16 social media ban failing, study shows.</w:t>
      </w:r>
      <w:r>
        <w:rPr>
          <w:sz w:val="18"/>
          <w:szCs w:val="18"/>
        </w:rPr>
        <w:t xml:space="preserve"> https://www.aljazeera.com/news/2026/8/3/australias-under-16-social-media-ban-failing-study-shows-what-it-means</w:t>
      </w:r>
    </w:p>
    <w:p>
      <w:pPr>
        <w:spacing w:after="80" w:line="250"/>
        <w:ind w:left="567" w:hanging="567"/>
        <w:jc w:val="left"/>
      </w:pPr>
      <w:r>
        <w:rPr>
          <w:sz w:val="18"/>
          <w:szCs w:val="18"/>
        </w:rPr>
        <w:t xml:space="preserve">Allcott, H., Braghieri, L., Eichmeyer, S., &amp; Gentzkow, M. (2020). The welfare effects of social media. </w:t>
      </w:r>
      <w:r>
        <w:rPr>
          <w:i/>
          <w:iCs/>
          <w:sz w:val="18"/>
          <w:szCs w:val="18"/>
        </w:rPr>
        <w:t xml:space="preserve">American Economic Review, 110</w:t>
      </w:r>
      <w:r>
        <w:rPr>
          <w:sz w:val="18"/>
          <w:szCs w:val="18"/>
        </w:rPr>
        <w:t xml:space="preserve">(3), 629–676.</w:t>
      </w:r>
    </w:p>
    <w:p>
      <w:pPr>
        <w:spacing w:after="80" w:line="250"/>
        <w:ind w:left="567" w:hanging="567"/>
        <w:jc w:val="left"/>
      </w:pPr>
      <w:r>
        <w:rPr>
          <w:sz w:val="18"/>
          <w:szCs w:val="18"/>
        </w:rPr>
        <w:t xml:space="preserve">Amnesty International. (2023). </w:t>
      </w:r>
      <w:r>
        <w:rPr>
          <w:i/>
          <w:iCs/>
          <w:sz w:val="18"/>
          <w:szCs w:val="18"/>
        </w:rPr>
        <w:t xml:space="preserve">Driven into darkness: How TikTok’s ‘For You’ feed encourages self-harm and suicidal ideation</w:t>
      </w:r>
      <w:r>
        <w:rPr>
          <w:sz w:val="18"/>
          <w:szCs w:val="18"/>
        </w:rPr>
        <w:t xml:space="preserve"> (POL 40/7350/2023). https://www.amnesty.org/en/documents/pol40/7350/2023/en/</w:t>
      </w:r>
    </w:p>
    <w:p>
      <w:pPr>
        <w:spacing w:after="80" w:line="250"/>
        <w:ind w:left="567" w:hanging="567"/>
        <w:jc w:val="left"/>
      </w:pPr>
      <w:r>
        <w:rPr>
          <w:sz w:val="18"/>
          <w:szCs w:val="18"/>
        </w:rPr>
        <w:t xml:space="preserve">Amnesty International. (2025). </w:t>
      </w:r>
      <w:r>
        <w:rPr>
          <w:i/>
          <w:iCs/>
          <w:sz w:val="18"/>
          <w:szCs w:val="18"/>
        </w:rPr>
        <w:t xml:space="preserve">Dragged into the rabbit hole: New evidence of TikTok’s risks to children’s mental health.</w:t>
      </w:r>
      <w:r>
        <w:rPr>
          <w:sz w:val="18"/>
          <w:szCs w:val="18"/>
        </w:rPr>
        <w:t xml:space="preserve"> https://www.amnesty.org/en/latest/news/2025/10/tiktok-steering-children-towards-depressive-and-suicidal-content/</w:t>
      </w:r>
    </w:p>
    <w:p>
      <w:pPr>
        <w:spacing w:after="80" w:line="250"/>
        <w:ind w:left="567" w:hanging="567"/>
        <w:jc w:val="left"/>
      </w:pPr>
      <w:r>
        <w:rPr>
          <w:sz w:val="18"/>
          <w:szCs w:val="18"/>
        </w:rPr>
        <w:t xml:space="preserve">Arkes, H. R., &amp; Blumer, C. (1985). The psychology of sunk cost. </w:t>
      </w:r>
      <w:r>
        <w:rPr>
          <w:i/>
          <w:iCs/>
          <w:sz w:val="18"/>
          <w:szCs w:val="18"/>
        </w:rPr>
        <w:t xml:space="preserve">Organizational Behavior and Human Decision Processes, 35</w:t>
      </w:r>
      <w:r>
        <w:rPr>
          <w:sz w:val="18"/>
          <w:szCs w:val="18"/>
        </w:rPr>
        <w:t xml:space="preserve">(1), 124–140.</w:t>
      </w:r>
    </w:p>
    <w:p>
      <w:pPr>
        <w:spacing w:after="80" w:line="250"/>
        <w:ind w:left="567" w:hanging="567"/>
        <w:jc w:val="left"/>
      </w:pPr>
      <w:r>
        <w:rPr>
          <w:sz w:val="18"/>
          <w:szCs w:val="18"/>
        </w:rPr>
        <w:t xml:space="preserve">Aruna Talent. (2026). </w:t>
      </w:r>
      <w:r>
        <w:rPr>
          <w:i/>
          <w:iCs/>
          <w:sz w:val="18"/>
          <w:szCs w:val="18"/>
        </w:rPr>
        <w:t xml:space="preserve">OnlyFans link-in-bio tools: What converts in 2026</w:t>
      </w:r>
      <w:r>
        <w:rPr>
          <w:sz w:val="18"/>
          <w:szCs w:val="18"/>
        </w:rPr>
        <w:t xml:space="preserve"> [Branchendokument]. https://arunatalent.com/blog/onlyfans-link-in-bio-tools/</w:t>
      </w:r>
    </w:p>
    <w:p>
      <w:pPr>
        <w:spacing w:after="80" w:line="250"/>
        <w:ind w:left="567" w:hanging="567"/>
        <w:jc w:val="left"/>
      </w:pPr>
      <w:r>
        <w:rPr>
          <w:sz w:val="18"/>
          <w:szCs w:val="18"/>
        </w:rPr>
        <w:t xml:space="preserve">Baker, C., Ging, D., &amp; Andreasen, M. B. (2024). </w:t>
      </w:r>
      <w:r>
        <w:rPr>
          <w:i/>
          <w:iCs/>
          <w:sz w:val="18"/>
          <w:szCs w:val="18"/>
        </w:rPr>
        <w:t xml:space="preserve">Recommending toxicity: The role of algorithmic recommender functions on YouTube Shorts and TikTok in promoting male supremacist influencers.</w:t>
      </w:r>
      <w:r>
        <w:rPr>
          <w:sz w:val="18"/>
          <w:szCs w:val="18"/>
        </w:rPr>
        <w:t xml:space="preserve"> DCU Anti-Bullying Centre. https://www.dcu.ie/antibullyingcentre/recommending-toxicity</w:t>
      </w:r>
    </w:p>
    <w:p>
      <w:pPr>
        <w:spacing w:after="80" w:line="250"/>
        <w:ind w:left="567" w:hanging="567"/>
        <w:jc w:val="left"/>
      </w:pPr>
      <w:r>
        <w:rPr>
          <w:sz w:val="18"/>
          <w:szCs w:val="18"/>
        </w:rPr>
        <w:t xml:space="preserve">Ball, M. (2025). </w:t>
      </w:r>
      <w:r>
        <w:rPr>
          <w:i/>
          <w:iCs/>
          <w:sz w:val="18"/>
          <w:szCs w:val="18"/>
        </w:rPr>
        <w:t xml:space="preserve">Breaking down OnlyFans’ stunning economics.</w:t>
      </w:r>
      <w:r>
        <w:rPr>
          <w:sz w:val="18"/>
          <w:szCs w:val="18"/>
        </w:rPr>
        <w:t xml:space="preserve"> https://www.matthewball.co/all/ofpl</w:t>
      </w:r>
    </w:p>
    <w:p>
      <w:pPr>
        <w:spacing w:after="80" w:line="250"/>
        <w:ind w:left="567" w:hanging="567"/>
        <w:jc w:val="left"/>
      </w:pPr>
      <w:r>
        <w:rPr>
          <w:sz w:val="18"/>
          <w:szCs w:val="18"/>
        </w:rPr>
        <w:t xml:space="preserve">Bertelsmann Stiftung &amp; Universität Potsdam. (2025). </w:t>
      </w:r>
      <w:r>
        <w:rPr>
          <w:i/>
          <w:iCs/>
          <w:sz w:val="18"/>
          <w:szCs w:val="18"/>
        </w:rPr>
        <w:t xml:space="preserve">Digitalisiert, politisiert, polarisiert? Eine Analyse von Social-Media-Feeds junger Menschen zur Bundestagswahl 2025.</w:t>
      </w:r>
      <w:r>
        <w:rPr>
          <w:sz w:val="18"/>
          <w:szCs w:val="18"/>
        </w:rPr>
        <w:t xml:space="preserve"> https://www.bertelsmann-stiftung.de/de/unsere-projekte/engagement-junger-menschen-fuer-demokratie/projektnachrichten/algorithmen-im-wahlkampf</w:t>
      </w:r>
    </w:p>
    <w:p>
      <w:pPr>
        <w:spacing w:after="80" w:line="250"/>
        <w:ind w:left="567" w:hanging="567"/>
        <w:jc w:val="left"/>
      </w:pPr>
      <w:r>
        <w:rPr>
          <w:sz w:val="18"/>
          <w:szCs w:val="18"/>
        </w:rPr>
        <w:t xml:space="preserve">BlackHatWorld. (2024). </w:t>
      </w:r>
      <w:r>
        <w:rPr>
          <w:i/>
          <w:iCs/>
          <w:sz w:val="18"/>
          <w:szCs w:val="18"/>
        </w:rPr>
        <w:t xml:space="preserve">Funneling traffic from TikTok to OnlyFans</w:t>
      </w:r>
      <w:r>
        <w:rPr>
          <w:sz w:val="18"/>
          <w:szCs w:val="18"/>
        </w:rPr>
        <w:t xml:space="preserve"> [Forenbeitrag]. https://www.blackhatworld.com/seo/funneling-traffic-from-tiktok-to-onlyfans.1571475/</w:t>
      </w:r>
    </w:p>
    <w:p>
      <w:pPr>
        <w:spacing w:after="80" w:line="250"/>
        <w:ind w:left="567" w:hanging="567"/>
        <w:jc w:val="left"/>
      </w:pPr>
      <w:r>
        <w:rPr>
          <w:sz w:val="18"/>
          <w:szCs w:val="18"/>
        </w:rPr>
        <w:t xml:space="preserve">Bőthe, B., Koós, M., Nagy, L., Kraus, S. W., Demetrovics, Z., Potenza, M. N., et al. (2023). Compulsive sexual behavior disorder in 42 countries: Insights from the International Sex Survey and introduction of standardized assessment tools. </w:t>
      </w:r>
      <w:r>
        <w:rPr>
          <w:i/>
          <w:iCs/>
          <w:sz w:val="18"/>
          <w:szCs w:val="18"/>
        </w:rPr>
        <w:t xml:space="preserve">Journal of Behavioral Addictions, 12</w:t>
      </w:r>
      <w:r>
        <w:rPr>
          <w:sz w:val="18"/>
          <w:szCs w:val="18"/>
        </w:rPr>
        <w:t xml:space="preserve">(2), 393–407. https://doi.org/10.1556/2006.2023.00028</w:t>
      </w:r>
    </w:p>
    <w:p>
      <w:pPr>
        <w:spacing w:after="80" w:line="250"/>
        <w:ind w:left="567" w:hanging="567"/>
        <w:jc w:val="left"/>
      </w:pPr>
      <w:r>
        <w:rPr>
          <w:sz w:val="18"/>
          <w:szCs w:val="18"/>
        </w:rPr>
        <w:t xml:space="preserve">Bőthe, B., et al. (2021). Hands-off: Feasibility and preliminary results of a two-armed randomized controlled trial of a web-based self-help tool to reduce problematic pornography use. </w:t>
      </w:r>
      <w:r>
        <w:rPr>
          <w:i/>
          <w:iCs/>
          <w:sz w:val="18"/>
          <w:szCs w:val="18"/>
        </w:rPr>
        <w:t xml:space="preserve">Journal of Behavioral Addictions.</w:t>
      </w:r>
      <w:r>
        <w:rPr>
          <w:sz w:val="18"/>
          <w:szCs w:val="18"/>
        </w:rPr>
        <w:t xml:space="preserve"> https://www.ncbi.nlm.nih.gov/pmc/articles/PMC8987418/</w:t>
      </w:r>
    </w:p>
    <w:p>
      <w:pPr>
        <w:spacing w:after="80" w:line="250"/>
        <w:ind w:left="567" w:hanging="567"/>
        <w:jc w:val="left"/>
      </w:pPr>
      <w:r>
        <w:rPr>
          <w:sz w:val="18"/>
          <w:szCs w:val="18"/>
        </w:rPr>
        <w:t xml:space="preserve">Brand, M., Wegmann, E., Stark, R., Müller, A., Wölfling, K., Robbins, T. W., &amp; Potenza, M. N. (2019). The Interaction of Person-Affect-Cognition-Execution (I-PACE) model for addictive behaviors. </w:t>
      </w:r>
      <w:r>
        <w:rPr>
          <w:i/>
          <w:iCs/>
          <w:sz w:val="18"/>
          <w:szCs w:val="18"/>
        </w:rPr>
        <w:t xml:space="preserve">Neuroscience &amp; Biobehavioral Reviews, 104</w:t>
      </w:r>
      <w:r>
        <w:rPr>
          <w:sz w:val="18"/>
          <w:szCs w:val="18"/>
        </w:rPr>
        <w:t xml:space="preserve">, 1–10.</w:t>
      </w:r>
    </w:p>
    <w:p>
      <w:pPr>
        <w:spacing w:after="80" w:line="250"/>
        <w:ind w:left="567" w:hanging="567"/>
        <w:jc w:val="left"/>
      </w:pPr>
      <w:r>
        <w:rPr>
          <w:sz w:val="18"/>
          <w:szCs w:val="18"/>
        </w:rPr>
        <w:t xml:space="preserve">Briken, P., Wiessner, C., Štulhofer, A., Klein, V., Fuß, J., Reed, G. M., &amp; Dekker, A. (2022). Who feels affected by „out of control“ sexual behavior? Prevalence and correlates of indicators for ICD-11 Compulsive Sexual Behavior Disorder in the German Health and Sexuality Survey (GeSiD). </w:t>
      </w:r>
      <w:r>
        <w:rPr>
          <w:i/>
          <w:iCs/>
          <w:sz w:val="18"/>
          <w:szCs w:val="18"/>
        </w:rPr>
        <w:t xml:space="preserve">Journal of Behavioral Addictions, 11</w:t>
      </w:r>
      <w:r>
        <w:rPr>
          <w:sz w:val="18"/>
          <w:szCs w:val="18"/>
        </w:rPr>
        <w:t xml:space="preserve">(3), 900–911. https://doi.org/10.1556/2006.2022.00060</w:t>
      </w:r>
    </w:p>
    <w:p>
      <w:pPr>
        <w:spacing w:after="80" w:line="250"/>
        <w:ind w:left="567" w:hanging="567"/>
        <w:jc w:val="left"/>
      </w:pPr>
      <w:r>
        <w:rPr>
          <w:sz w:val="18"/>
          <w:szCs w:val="18"/>
        </w:rPr>
        <w:t xml:space="preserve">Castelo, N., Kushlev, K., Ward, A. F., Esterman, M., &amp; Reiner, P. B. (2025). Blocking mobile internet on smartphones improves sustained attention, mental health, and subjective well-being. </w:t>
      </w:r>
      <w:r>
        <w:rPr>
          <w:i/>
          <w:iCs/>
          <w:sz w:val="18"/>
          <w:szCs w:val="18"/>
        </w:rPr>
        <w:t xml:space="preserve">PNAS Nexus, 4</w:t>
      </w:r>
      <w:r>
        <w:rPr>
          <w:sz w:val="18"/>
          <w:szCs w:val="18"/>
        </w:rPr>
        <w:t xml:space="preserve">, pgaf017.</w:t>
      </w:r>
    </w:p>
    <w:p>
      <w:pPr>
        <w:spacing w:after="80" w:line="250"/>
        <w:ind w:left="567" w:hanging="567"/>
        <w:jc w:val="left"/>
      </w:pPr>
      <w:r>
        <w:rPr>
          <w:sz w:val="18"/>
          <w:szCs w:val="18"/>
        </w:rPr>
        <w:t xml:space="preserve">Children’s Commissioner for England. (2023). </w:t>
      </w:r>
      <w:r>
        <w:rPr>
          <w:i/>
          <w:iCs/>
          <w:sz w:val="18"/>
          <w:szCs w:val="18"/>
        </w:rPr>
        <w:t xml:space="preserve">Growing up with pornography: Advice for parents and schools.</w:t>
      </w:r>
      <w:r>
        <w:rPr>
          <w:sz w:val="18"/>
          <w:szCs w:val="18"/>
        </w:rPr>
        <w:t xml:space="preserve"> https://www.childrenscommissioner.gov.uk/2023/02/01/growing-up-with-pornography-advice-for-parents-and-schools</w:t>
      </w:r>
    </w:p>
    <w:p>
      <w:pPr>
        <w:spacing w:after="80" w:line="250"/>
        <w:ind w:left="567" w:hanging="567"/>
        <w:jc w:val="left"/>
      </w:pPr>
      <w:r>
        <w:rPr>
          <w:sz w:val="18"/>
          <w:szCs w:val="18"/>
        </w:rPr>
        <w:t xml:space="preserve">Children’s Commissioner for England. (2025). </w:t>
      </w:r>
      <w:r>
        <w:rPr>
          <w:i/>
          <w:iCs/>
          <w:sz w:val="18"/>
          <w:szCs w:val="18"/>
        </w:rPr>
        <w:t xml:space="preserve">‘Sex is kind of broken now’: Children and pornography.</w:t>
      </w:r>
      <w:r>
        <w:rPr>
          <w:sz w:val="18"/>
          <w:szCs w:val="18"/>
        </w:rPr>
        <w:t xml:space="preserve"> https://www.childrenscommissioner.gov.uk/resource/sex-is-kind-of-broken-now-children-and-pornography</w:t>
      </w:r>
    </w:p>
    <w:p>
      <w:pPr>
        <w:spacing w:after="80" w:line="250"/>
        <w:ind w:left="567" w:hanging="567"/>
        <w:jc w:val="left"/>
      </w:pPr>
      <w:r>
        <w:rPr>
          <w:sz w:val="18"/>
          <w:szCs w:val="18"/>
        </w:rPr>
        <w:t xml:space="preserve">Cloes, J.-O., Klamert, L., Busch, K., &amp; Paschke, K. (2026). </w:t>
      </w:r>
      <w:r>
        <w:rPr>
          <w:i/>
          <w:iCs/>
          <w:sz w:val="18"/>
          <w:szCs w:val="18"/>
        </w:rPr>
        <w:t xml:space="preserve">Depression precedes problematic video streaming in adolescents: Prevalence trends and cross-lagged associations from a four-wave population-based study</w:t>
      </w:r>
      <w:r>
        <w:rPr>
          <w:sz w:val="18"/>
          <w:szCs w:val="18"/>
        </w:rPr>
        <w:t xml:space="preserve"> [Preprint, medRxiv]. https://doi.org/10.64898/2026.07.30.26359312</w:t>
      </w:r>
    </w:p>
    <w:p>
      <w:pPr>
        <w:spacing w:after="80" w:line="250"/>
        <w:ind w:left="567" w:hanging="567"/>
        <w:jc w:val="left"/>
      </w:pPr>
      <w:r>
        <w:rPr>
          <w:sz w:val="18"/>
          <w:szCs w:val="18"/>
        </w:rPr>
        <w:t xml:space="preserve">Common Sense Media. (2023). </w:t>
      </w:r>
      <w:r>
        <w:rPr>
          <w:i/>
          <w:iCs/>
          <w:sz w:val="18"/>
          <w:szCs w:val="18"/>
        </w:rPr>
        <w:t xml:space="preserve">Teens and pornography.</w:t>
      </w:r>
      <w:r>
        <w:rPr>
          <w:sz w:val="18"/>
          <w:szCs w:val="18"/>
        </w:rPr>
        <w:t xml:space="preserve"> https://www.commonsensemedia.org/press-releases/new-report-reveals-truths-about-how-teens-engage-with-pornography</w:t>
      </w:r>
    </w:p>
    <w:p>
      <w:pPr>
        <w:spacing w:after="80" w:line="250"/>
        <w:ind w:left="567" w:hanging="567"/>
        <w:jc w:val="left"/>
      </w:pPr>
      <w:r>
        <w:rPr>
          <w:sz w:val="18"/>
          <w:szCs w:val="18"/>
        </w:rPr>
        <w:t xml:space="preserve">cpa.live. (2025). </w:t>
      </w:r>
      <w:r>
        <w:rPr>
          <w:i/>
          <w:iCs/>
          <w:sz w:val="18"/>
          <w:szCs w:val="18"/>
        </w:rPr>
        <w:t xml:space="preserve">OnlyFans affiliate marketing: Best traffic sources &amp; case studies</w:t>
      </w:r>
      <w:r>
        <w:rPr>
          <w:sz w:val="18"/>
          <w:szCs w:val="18"/>
        </w:rPr>
        <w:t xml:space="preserve"> [Branchendokument]. https://cpa.live/en/articles-en/onlyfans-affiliate-marketing/</w:t>
      </w:r>
    </w:p>
    <w:p>
      <w:pPr>
        <w:spacing w:after="80" w:line="250"/>
        <w:ind w:left="567" w:hanging="567"/>
        <w:jc w:val="left"/>
      </w:pPr>
      <w:r>
        <w:rPr>
          <w:sz w:val="18"/>
          <w:szCs w:val="18"/>
        </w:rPr>
        <w:t xml:space="preserve">CreatorHero. (2025). </w:t>
      </w:r>
      <w:r>
        <w:rPr>
          <w:i/>
          <w:iCs/>
          <w:sz w:val="18"/>
          <w:szCs w:val="18"/>
        </w:rPr>
        <w:t xml:space="preserve">OnlyFans marketing strategies that actually work in 2025</w:t>
      </w:r>
      <w:r>
        <w:rPr>
          <w:sz w:val="18"/>
          <w:szCs w:val="18"/>
        </w:rPr>
        <w:t xml:space="preserve"> [Branchendokument]. https://www.creatorhero.com/blog/onlyfans-marketing-strategies</w:t>
      </w:r>
    </w:p>
    <w:p>
      <w:pPr>
        <w:spacing w:after="80" w:line="250"/>
        <w:ind w:left="567" w:hanging="567"/>
        <w:jc w:val="left"/>
      </w:pPr>
      <w:r>
        <w:rPr>
          <w:sz w:val="18"/>
          <w:szCs w:val="18"/>
        </w:rPr>
        <w:t xml:space="preserve">Crosby, J. M., &amp; Twohig, M. P. (2016). Acceptance and commitment therapy for problematic internet pornography use: A randomized trial. </w:t>
      </w:r>
      <w:r>
        <w:rPr>
          <w:i/>
          <w:iCs/>
          <w:sz w:val="18"/>
          <w:szCs w:val="18"/>
        </w:rPr>
        <w:t xml:space="preserve">Behavior Therapy, 47</w:t>
      </w:r>
      <w:r>
        <w:rPr>
          <w:sz w:val="18"/>
          <w:szCs w:val="18"/>
        </w:rPr>
        <w:t xml:space="preserve">(3), 355–366.</w:t>
      </w:r>
    </w:p>
    <w:p>
      <w:pPr>
        <w:spacing w:after="80" w:line="250"/>
        <w:ind w:left="567" w:hanging="567"/>
        <w:jc w:val="left"/>
      </w:pPr>
      <w:r>
        <w:rPr>
          <w:sz w:val="18"/>
          <w:szCs w:val="18"/>
        </w:rPr>
        <w:t xml:space="preserve">DAK-Gesundheit. (2026). </w:t>
      </w:r>
      <w:r>
        <w:rPr>
          <w:i/>
          <w:iCs/>
          <w:sz w:val="18"/>
          <w:szCs w:val="18"/>
        </w:rPr>
        <w:t xml:space="preserve">DAK-Suchtstudie untersucht Jugendtrend: KI-Chatbots erhöhen riskanten Medienkonsum</w:t>
      </w:r>
      <w:r>
        <w:rPr>
          <w:sz w:val="18"/>
          <w:szCs w:val="18"/>
        </w:rPr>
        <w:t xml:space="preserve"> [Pressemitteilung mit Ergebnisbericht 2025/2026]. https://www.dak.de/presse/bundesthemen/kinder-jugendgesundheit/dak-suchtstudie-untersucht-jugendtrend-ki-chatbots-erhoehen-riskanten-medienkonsum_164470</w:t>
      </w:r>
    </w:p>
    <w:p>
      <w:pPr>
        <w:spacing w:after="80" w:line="250"/>
        <w:ind w:left="567" w:hanging="567"/>
        <w:jc w:val="left"/>
      </w:pPr>
      <w:r>
        <w:rPr>
          <w:sz w:val="18"/>
          <w:szCs w:val="18"/>
        </w:rPr>
        <w:t xml:space="preserve">Europäische Kommission. (2026, 6. Februar). </w:t>
      </w:r>
      <w:r>
        <w:rPr>
          <w:i/>
          <w:iCs/>
          <w:sz w:val="18"/>
          <w:szCs w:val="18"/>
        </w:rPr>
        <w:t xml:space="preserve">Commission preliminarily finds TikTok’s addictive design in breach of the Digital Services Act.</w:t>
      </w:r>
      <w:r>
        <w:rPr>
          <w:sz w:val="18"/>
          <w:szCs w:val="18"/>
        </w:rPr>
        <w:t xml:space="preserve"> https://digital-strategy.ec.europa.eu/en/news/commission-preliminarily-finds-tiktoks-addictive-design-breach-digital-services-act</w:t>
      </w:r>
    </w:p>
    <w:p>
      <w:pPr>
        <w:spacing w:after="80" w:line="250"/>
        <w:ind w:left="567" w:hanging="567"/>
        <w:jc w:val="left"/>
      </w:pPr>
      <w:r>
        <w:rPr>
          <w:sz w:val="18"/>
          <w:szCs w:val="18"/>
        </w:rPr>
        <w:t xml:space="preserve">eSafety Commissioner. (2026). </w:t>
      </w:r>
      <w:r>
        <w:rPr>
          <w:i/>
          <w:iCs/>
          <w:sz w:val="18"/>
          <w:szCs w:val="18"/>
        </w:rPr>
        <w:t xml:space="preserve">Platforms restrict access to 4.7 million under-16 accounts across Australia.</w:t>
      </w:r>
      <w:r>
        <w:rPr>
          <w:sz w:val="18"/>
          <w:szCs w:val="18"/>
        </w:rPr>
        <w:t xml:space="preserve"> https://www.esafety.gov.au/newsroom/media-releases/platforms-restrict-access-to-47-million-under-16-accounts-across-australia</w:t>
      </w:r>
    </w:p>
    <w:p>
      <w:pPr>
        <w:spacing w:after="80" w:line="250"/>
        <w:ind w:left="567" w:hanging="567"/>
        <w:jc w:val="left"/>
      </w:pPr>
      <w:r>
        <w:rPr>
          <w:sz w:val="18"/>
          <w:szCs w:val="18"/>
        </w:rPr>
        <w:t xml:space="preserve">Expertenkommission „Kinder- und Jugendschutz in der digitalen Welt“. (2026). </w:t>
      </w:r>
      <w:r>
        <w:rPr>
          <w:i/>
          <w:iCs/>
          <w:sz w:val="18"/>
          <w:szCs w:val="18"/>
        </w:rPr>
        <w:t xml:space="preserve">Entwicklung stärken, Verantwortung übernehmen: Handlungsempfehlungen.</w:t>
      </w:r>
      <w:r>
        <w:rPr>
          <w:sz w:val="18"/>
          <w:szCs w:val="18"/>
        </w:rPr>
        <w:t xml:space="preserve"> BMBFSFJ. https://www.bmbfsfj.bund.de/bmbfsfj/themen/kinder-und-jugend/kinder-und-jugendschutz/handlungsempfehlungen-der-expertenkommission-kinder-und-jugendschutz-in-der-digitalen-welt--290244</w:t>
      </w:r>
    </w:p>
    <w:p>
      <w:pPr>
        <w:spacing w:after="80" w:line="250"/>
        <w:ind w:left="567" w:hanging="567"/>
        <w:jc w:val="left"/>
      </w:pPr>
      <w:r>
        <w:rPr>
          <w:sz w:val="18"/>
          <w:szCs w:val="18"/>
        </w:rPr>
        <w:t xml:space="preserve">Flayelle, M., Brevers, D., King, D. L., Maurage, P., Perales, J. C., &amp; Billieux, J. (2023). A taxonomy of technology design features that promote potentially addictive online behaviours. </w:t>
      </w:r>
      <w:r>
        <w:rPr>
          <w:i/>
          <w:iCs/>
          <w:sz w:val="18"/>
          <w:szCs w:val="18"/>
        </w:rPr>
        <w:t xml:space="preserve">Nature Reviews Psychology, 2</w:t>
      </w:r>
      <w:r>
        <w:rPr>
          <w:sz w:val="18"/>
          <w:szCs w:val="18"/>
        </w:rPr>
        <w:t xml:space="preserve">, 136–150.</w:t>
      </w:r>
    </w:p>
    <w:p>
      <w:pPr>
        <w:spacing w:after="80" w:line="250"/>
        <w:ind w:left="567" w:hanging="567"/>
        <w:jc w:val="left"/>
      </w:pPr>
      <w:r>
        <w:rPr>
          <w:sz w:val="18"/>
          <w:szCs w:val="18"/>
        </w:rPr>
        <w:t xml:space="preserve">Freedman, J. L., &amp; Fraser, S. C. (1966). Compliance without pressure: The foot-in-the-door technique. </w:t>
      </w:r>
      <w:r>
        <w:rPr>
          <w:i/>
          <w:iCs/>
          <w:sz w:val="18"/>
          <w:szCs w:val="18"/>
        </w:rPr>
        <w:t xml:space="preserve">Journal of Personality and Social Psychology, 4</w:t>
      </w:r>
      <w:r>
        <w:rPr>
          <w:sz w:val="18"/>
          <w:szCs w:val="18"/>
        </w:rPr>
        <w:t xml:space="preserve">(2), 195–202.</w:t>
      </w:r>
    </w:p>
    <w:p>
      <w:pPr>
        <w:spacing w:after="80" w:line="250"/>
        <w:ind w:left="567" w:hanging="567"/>
        <w:jc w:val="left"/>
      </w:pPr>
      <w:r>
        <w:rPr>
          <w:sz w:val="18"/>
          <w:szCs w:val="18"/>
        </w:rPr>
        <w:t xml:space="preserve">Gauthier, G., Hodler, R., Widmer, P., &amp; Zhuravskaya, E. (2026). The political effects of X’s feed algorithm. </w:t>
      </w:r>
      <w:r>
        <w:rPr>
          <w:i/>
          <w:iCs/>
          <w:sz w:val="18"/>
          <w:szCs w:val="18"/>
        </w:rPr>
        <w:t xml:space="preserve">Nature, 652</w:t>
      </w:r>
      <w:r>
        <w:rPr>
          <w:sz w:val="18"/>
          <w:szCs w:val="18"/>
        </w:rPr>
        <w:t xml:space="preserve">, 416–423. https://doi.org/10.1038/s41586-026-10098-2</w:t>
      </w:r>
    </w:p>
    <w:p>
      <w:pPr>
        <w:spacing w:after="80" w:line="250"/>
        <w:ind w:left="567" w:hanging="567"/>
        <w:jc w:val="left"/>
      </w:pPr>
      <w:r>
        <w:rPr>
          <w:sz w:val="18"/>
          <w:szCs w:val="18"/>
        </w:rPr>
        <w:t xml:space="preserve">Goldman, E. (2025, 21. Dezember). </w:t>
      </w:r>
      <w:r>
        <w:rPr>
          <w:i/>
          <w:iCs/>
          <w:sz w:val="18"/>
          <w:szCs w:val="18"/>
        </w:rPr>
        <w:t xml:space="preserve">OnlyFans defeats „chatter scam“ claim – N.Z. v. Fenix.</w:t>
      </w:r>
      <w:r>
        <w:rPr>
          <w:sz w:val="18"/>
          <w:szCs w:val="18"/>
        </w:rPr>
        <w:t xml:space="preserve"> Technology &amp; Marketing Law Blog. https://blog.ericgoldman.org/archives/2025/12/onlyfans-defeats-chatter-scam-claim-n-z-v-fenix.htm</w:t>
      </w:r>
    </w:p>
    <w:p>
      <w:pPr>
        <w:spacing w:after="80" w:line="250"/>
        <w:ind w:left="567" w:hanging="567"/>
        <w:jc w:val="left"/>
      </w:pPr>
      <w:r>
        <w:rPr>
          <w:sz w:val="18"/>
          <w:szCs w:val="18"/>
        </w:rPr>
        <w:t xml:space="preserve">Grubbs, J. B., Perry, S. L., Wilt, J. A., &amp; Reid, R. C. (2019). Pornography problems due to moral incongruence: An integrative model with a systematic review and meta-analysis. </w:t>
      </w:r>
      <w:r>
        <w:rPr>
          <w:i/>
          <w:iCs/>
          <w:sz w:val="18"/>
          <w:szCs w:val="18"/>
        </w:rPr>
        <w:t xml:space="preserve">Archives of Sexual Behavior, 48</w:t>
      </w:r>
      <w:r>
        <w:rPr>
          <w:sz w:val="18"/>
          <w:szCs w:val="18"/>
        </w:rPr>
        <w:t xml:space="preserve">(2), 397–415. https://doi.org/10.1007/s10508-018-1248-x</w:t>
      </w:r>
    </w:p>
    <w:p>
      <w:pPr>
        <w:spacing w:after="80" w:line="250"/>
        <w:ind w:left="567" w:hanging="567"/>
        <w:jc w:val="left"/>
      </w:pPr>
      <w:r>
        <w:rPr>
          <w:sz w:val="18"/>
          <w:szCs w:val="18"/>
        </w:rPr>
        <w:t xml:space="preserve">Guess, A. M., et al. (2023). How do social media feed algorithms affect attitudes and behavior in an election campaign? </w:t>
      </w:r>
      <w:r>
        <w:rPr>
          <w:i/>
          <w:iCs/>
          <w:sz w:val="18"/>
          <w:szCs w:val="18"/>
        </w:rPr>
        <w:t xml:space="preserve">Science, 381</w:t>
      </w:r>
      <w:r>
        <w:rPr>
          <w:sz w:val="18"/>
          <w:szCs w:val="18"/>
        </w:rPr>
        <w:t xml:space="preserve">(6656), 398–404. https://doi.org/10.1126/science.abp9364</w:t>
      </w:r>
    </w:p>
    <w:p>
      <w:pPr>
        <w:spacing w:after="80" w:line="250"/>
        <w:ind w:left="567" w:hanging="567"/>
        <w:jc w:val="left"/>
      </w:pPr>
      <w:r>
        <w:rPr>
          <w:sz w:val="18"/>
          <w:szCs w:val="18"/>
        </w:rPr>
        <w:t xml:space="preserve">Hagens Berman. (2024). </w:t>
      </w:r>
      <w:r>
        <w:rPr>
          <w:i/>
          <w:iCs/>
          <w:sz w:val="18"/>
          <w:szCs w:val="18"/>
        </w:rPr>
        <w:t xml:space="preserve">OnlyFans chatters class action.</w:t>
      </w:r>
      <w:r>
        <w:rPr>
          <w:sz w:val="18"/>
          <w:szCs w:val="18"/>
        </w:rPr>
        <w:t xml:space="preserve"> https://www.hbsslaw.com/cases/onlyfans-chatters</w:t>
      </w:r>
    </w:p>
    <w:p>
      <w:pPr>
        <w:spacing w:after="80" w:line="250"/>
        <w:ind w:left="567" w:hanging="567"/>
        <w:jc w:val="left"/>
      </w:pPr>
      <w:r>
        <w:rPr>
          <w:sz w:val="18"/>
          <w:szCs w:val="18"/>
        </w:rPr>
        <w:t xml:space="preserve">heise online. (2026, 31. März). </w:t>
      </w:r>
      <w:r>
        <w:rPr>
          <w:i/>
          <w:iCs/>
          <w:sz w:val="18"/>
          <w:szCs w:val="18"/>
        </w:rPr>
        <w:t xml:space="preserve">OLG Bamberg: TikTok schummelt bei DSA-Pflichten</w:t>
      </w:r>
      <w:r>
        <w:rPr>
          <w:sz w:val="18"/>
          <w:szCs w:val="18"/>
        </w:rPr>
        <w:t xml:space="preserve"> (Az. 3 UKl 5/25 e). https://www.heise.de/news/OLG-Bamberg-TikTok-schummelt-bei-DSA-Pflichten-11242574.html</w:t>
      </w:r>
    </w:p>
    <w:p>
      <w:pPr>
        <w:spacing w:after="80" w:line="250"/>
        <w:ind w:left="567" w:hanging="567"/>
        <w:jc w:val="left"/>
      </w:pPr>
      <w:r>
        <w:rPr>
          <w:sz w:val="18"/>
          <w:szCs w:val="18"/>
        </w:rPr>
        <w:t xml:space="preserve">Horton, D., &amp; Wohl, R. R. (1956). Mass communication and para-social interaction. </w:t>
      </w:r>
      <w:r>
        <w:rPr>
          <w:i/>
          <w:iCs/>
          <w:sz w:val="18"/>
          <w:szCs w:val="18"/>
        </w:rPr>
        <w:t xml:space="preserve">Psychiatry, 19</w:t>
      </w:r>
      <w:r>
        <w:rPr>
          <w:sz w:val="18"/>
          <w:szCs w:val="18"/>
        </w:rPr>
        <w:t xml:space="preserve">(3), 215–229.</w:t>
      </w:r>
    </w:p>
    <w:p>
      <w:pPr>
        <w:spacing w:after="80" w:line="250"/>
        <w:ind w:left="567" w:hanging="567"/>
        <w:jc w:val="left"/>
      </w:pPr>
      <w:r>
        <w:rPr>
          <w:sz w:val="18"/>
          <w:szCs w:val="18"/>
        </w:rPr>
        <w:t xml:space="preserve">Hosseinmardi, H., Ghasemian, A., Rivera-Lanas, M., Horta Ribeiro, M., West, R., &amp; Watts, D. J. (2024). Causally estimating the effect of YouTube’s recommender system using counterfactual bots. </w:t>
      </w:r>
      <w:r>
        <w:rPr>
          <w:i/>
          <w:iCs/>
          <w:sz w:val="18"/>
          <w:szCs w:val="18"/>
        </w:rPr>
        <w:t xml:space="preserve">PNAS, 121</w:t>
      </w:r>
      <w:r>
        <w:rPr>
          <w:sz w:val="18"/>
          <w:szCs w:val="18"/>
        </w:rPr>
        <w:t xml:space="preserve">(8), e2313377121. https://doi.org/10.1073/pnas.2313377121</w:t>
      </w:r>
    </w:p>
    <w:p>
      <w:pPr>
        <w:spacing w:after="80" w:line="250"/>
        <w:ind w:left="567" w:hanging="567"/>
        <w:jc w:val="left"/>
      </w:pPr>
      <w:r>
        <w:rPr>
          <w:sz w:val="18"/>
          <w:szCs w:val="18"/>
        </w:rPr>
        <w:t xml:space="preserve">Inrō. (2026). </w:t>
      </w:r>
      <w:r>
        <w:rPr>
          <w:i/>
          <w:iCs/>
          <w:sz w:val="18"/>
          <w:szCs w:val="18"/>
        </w:rPr>
        <w:t xml:space="preserve">OnlyFans marketing strategy 2026: Funnels, campaigns, and growth</w:t>
      </w:r>
      <w:r>
        <w:rPr>
          <w:sz w:val="18"/>
          <w:szCs w:val="18"/>
        </w:rPr>
        <w:t xml:space="preserve"> [Branchendokument]. https://www.inro.social/blog/best-marketing-tools-onlyfans-creators</w:t>
      </w:r>
    </w:p>
    <w:p>
      <w:pPr>
        <w:spacing w:after="80" w:line="250"/>
        <w:ind w:left="567" w:hanging="567"/>
        <w:jc w:val="left"/>
      </w:pPr>
      <w:r>
        <w:rPr>
          <w:sz w:val="18"/>
          <w:szCs w:val="18"/>
        </w:rPr>
        <w:t xml:space="preserve">Konrad-Adenauer-Stiftung. (2025). </w:t>
      </w:r>
      <w:r>
        <w:rPr>
          <w:i/>
          <w:iCs/>
          <w:sz w:val="18"/>
          <w:szCs w:val="18"/>
        </w:rPr>
        <w:t xml:space="preserve">Lost in Reels und Rage?</w:t>
      </w:r>
      <w:r>
        <w:rPr>
          <w:sz w:val="18"/>
          <w:szCs w:val="18"/>
        </w:rPr>
        <w:t xml:space="preserve"> Die Politische Meinung. https://www.kas.de/de/web/die-politische-meinung/artikel/detail/-/content/lost-in-reels-und-rage-1</w:t>
      </w:r>
    </w:p>
    <w:p>
      <w:pPr>
        <w:spacing w:after="80" w:line="250"/>
        <w:ind w:left="567" w:hanging="567"/>
        <w:jc w:val="left"/>
      </w:pPr>
      <w:r>
        <w:rPr>
          <w:sz w:val="18"/>
          <w:szCs w:val="18"/>
        </w:rPr>
        <w:t xml:space="preserve">Lewczuk, K., Glica, A., Nowakowska, I., Gola, M., &amp; Grubbs, J. B. (2020). Evaluating pornography problems due to moral incongruence model. </w:t>
      </w:r>
      <w:r>
        <w:rPr>
          <w:i/>
          <w:iCs/>
          <w:sz w:val="18"/>
          <w:szCs w:val="18"/>
        </w:rPr>
        <w:t xml:space="preserve">Journal of Sexual Medicine, 17</w:t>
      </w:r>
      <w:r>
        <w:rPr>
          <w:sz w:val="18"/>
          <w:szCs w:val="18"/>
        </w:rPr>
        <w:t xml:space="preserve">(2), 300–311.</w:t>
      </w:r>
    </w:p>
    <w:p>
      <w:pPr>
        <w:spacing w:after="80" w:line="250"/>
        <w:ind w:left="567" w:hanging="567"/>
        <w:jc w:val="left"/>
      </w:pPr>
      <w:r>
        <w:rPr>
          <w:sz w:val="18"/>
          <w:szCs w:val="18"/>
        </w:rPr>
        <w:t xml:space="preserve">López-Pinar, C., Esparza-Reig, J., &amp; Bőthe, B. (2025). Psychotherapy for problematic pornography use: A comprehensive meta-analysis. </w:t>
      </w:r>
      <w:r>
        <w:rPr>
          <w:i/>
          <w:iCs/>
          <w:sz w:val="18"/>
          <w:szCs w:val="18"/>
        </w:rPr>
        <w:t xml:space="preserve">Journal of Behavioral Addictions, 14</w:t>
      </w:r>
      <w:r>
        <w:rPr>
          <w:sz w:val="18"/>
          <w:szCs w:val="18"/>
        </w:rPr>
        <w:t xml:space="preserve">(2), 630–643.</w:t>
      </w:r>
    </w:p>
    <w:p>
      <w:pPr>
        <w:spacing w:after="80" w:line="250"/>
        <w:ind w:left="567" w:hanging="567"/>
        <w:jc w:val="left"/>
      </w:pPr>
      <w:r>
        <w:rPr>
          <w:sz w:val="18"/>
          <w:szCs w:val="18"/>
        </w:rPr>
        <w:t xml:space="preserve">Martel, S., Bergeron, S., Bőthe, B., Vaillancourt-Morel, M.-P., Hébert, M., &amp; Dion, J. (2025). Cross-sectional and longitudinal associations between pornography use and dating violence victimization. </w:t>
      </w:r>
      <w:r>
        <w:rPr>
          <w:i/>
          <w:iCs/>
          <w:sz w:val="18"/>
          <w:szCs w:val="18"/>
        </w:rPr>
        <w:t xml:space="preserve">Journal of Interpersonal Violence.</w:t>
      </w:r>
      <w:r>
        <w:rPr>
          <w:sz w:val="18"/>
          <w:szCs w:val="18"/>
        </w:rPr>
        <w:t xml:space="preserve"> https://doi.org/10.1177/08862605241307228</w:t>
      </w:r>
    </w:p>
    <w:p>
      <w:pPr>
        <w:spacing w:after="80" w:line="250"/>
        <w:ind w:left="567" w:hanging="567"/>
        <w:jc w:val="left"/>
      </w:pPr>
      <w:r>
        <w:rPr>
          <w:sz w:val="18"/>
          <w:szCs w:val="18"/>
        </w:rPr>
        <w:t xml:space="preserve">McCombs, M. E., &amp; Shaw, D. L. (1972). The agenda-setting function of mass media. </w:t>
      </w:r>
      <w:r>
        <w:rPr>
          <w:i/>
          <w:iCs/>
          <w:sz w:val="18"/>
          <w:szCs w:val="18"/>
        </w:rPr>
        <w:t xml:space="preserve">Public Opinion Quarterly, 36</w:t>
      </w:r>
      <w:r>
        <w:rPr>
          <w:sz w:val="18"/>
          <w:szCs w:val="18"/>
        </w:rPr>
        <w:t xml:space="preserve">(2), 176–187.</w:t>
      </w:r>
    </w:p>
    <w:p>
      <w:pPr>
        <w:spacing w:after="80" w:line="250"/>
        <w:ind w:left="567" w:hanging="567"/>
        <w:jc w:val="left"/>
      </w:pPr>
      <w:r>
        <w:rPr>
          <w:sz w:val="18"/>
          <w:szCs w:val="18"/>
        </w:rPr>
        <w:t xml:space="preserve">Medienpädagogischer Forschungsverbund Südwest (mpfs). (2025). </w:t>
      </w:r>
      <w:r>
        <w:rPr>
          <w:i/>
          <w:iCs/>
          <w:sz w:val="18"/>
          <w:szCs w:val="18"/>
        </w:rPr>
        <w:t xml:space="preserve">JIM-Studie 2025: Jugend, Information, Medien.</w:t>
      </w:r>
      <w:r>
        <w:rPr>
          <w:sz w:val="18"/>
          <w:szCs w:val="18"/>
        </w:rPr>
        <w:t xml:space="preserve"> https://mpfs.de/studie/jim-studie-2025/</w:t>
      </w:r>
    </w:p>
    <w:p>
      <w:pPr>
        <w:spacing w:after="80" w:line="250"/>
        <w:ind w:left="567" w:hanging="567"/>
        <w:jc w:val="left"/>
      </w:pPr>
      <w:r>
        <w:rPr>
          <w:sz w:val="18"/>
          <w:szCs w:val="18"/>
        </w:rPr>
        <w:t xml:space="preserve">Müller, K. W., et al. (2025). Guidelines on the treatment of social networking sites use disorder. </w:t>
      </w:r>
      <w:r>
        <w:rPr>
          <w:i/>
          <w:iCs/>
          <w:sz w:val="18"/>
          <w:szCs w:val="18"/>
        </w:rPr>
        <w:t xml:space="preserve">SUCHT, 71</w:t>
      </w:r>
      <w:r>
        <w:rPr>
          <w:sz w:val="18"/>
          <w:szCs w:val="18"/>
        </w:rPr>
        <w:t xml:space="preserve">, 117–122.</w:t>
      </w:r>
    </w:p>
    <w:p>
      <w:pPr>
        <w:spacing w:after="80" w:line="250"/>
        <w:ind w:left="567" w:hanging="567"/>
        <w:jc w:val="left"/>
      </w:pPr>
      <w:r>
        <w:rPr>
          <w:sz w:val="18"/>
          <w:szCs w:val="18"/>
        </w:rPr>
        <w:t xml:space="preserve">Nyhan, B., et al. (2023). Like-minded sources on Facebook are prevalent but not polarizing. </w:t>
      </w:r>
      <w:r>
        <w:rPr>
          <w:i/>
          <w:iCs/>
          <w:sz w:val="18"/>
          <w:szCs w:val="18"/>
        </w:rPr>
        <w:t xml:space="preserve">Nature, 620</w:t>
      </w:r>
      <w:r>
        <w:rPr>
          <w:sz w:val="18"/>
          <w:szCs w:val="18"/>
        </w:rPr>
        <w:t xml:space="preserve">, 137–144. https://doi.org/10.1038/s41586-023-06297-w</w:t>
      </w:r>
    </w:p>
    <w:p>
      <w:pPr>
        <w:spacing w:after="80" w:line="250"/>
        <w:ind w:left="567" w:hanging="567"/>
        <w:jc w:val="left"/>
      </w:pPr>
      <w:r>
        <w:rPr>
          <w:sz w:val="18"/>
          <w:szCs w:val="18"/>
        </w:rPr>
        <w:t xml:space="preserve">OFM-Tools. (2026). </w:t>
      </w:r>
      <w:r>
        <w:rPr>
          <w:i/>
          <w:iCs/>
          <w:sz w:val="18"/>
          <w:szCs w:val="18"/>
        </w:rPr>
        <w:t xml:space="preserve">OnlyFans marketing &amp; promotion (2026): What actually works</w:t>
      </w:r>
      <w:r>
        <w:rPr>
          <w:sz w:val="18"/>
          <w:szCs w:val="18"/>
        </w:rPr>
        <w:t xml:space="preserve"> [Branchendokument]. https://ofm-tools.com/promote-onlyfans/</w:t>
      </w:r>
    </w:p>
    <w:p>
      <w:pPr>
        <w:spacing w:after="80" w:line="250"/>
        <w:ind w:left="567" w:hanging="567"/>
        <w:jc w:val="left"/>
      </w:pPr>
      <w:r>
        <w:rPr>
          <w:sz w:val="18"/>
          <w:szCs w:val="18"/>
        </w:rPr>
        <w:t xml:space="preserve">Pariser, E. (2011). </w:t>
      </w:r>
      <w:r>
        <w:rPr>
          <w:i/>
          <w:iCs/>
          <w:sz w:val="18"/>
          <w:szCs w:val="18"/>
        </w:rPr>
        <w:t xml:space="preserve">The filter bubble: What the Internet is hiding from you.</w:t>
      </w:r>
      <w:r>
        <w:rPr>
          <w:sz w:val="18"/>
          <w:szCs w:val="18"/>
        </w:rPr>
        <w:t xml:space="preserve"> Penguin.</w:t>
      </w:r>
    </w:p>
    <w:p>
      <w:pPr>
        <w:spacing w:after="80" w:line="250"/>
        <w:ind w:left="567" w:hanging="567"/>
        <w:jc w:val="left"/>
      </w:pPr>
      <w:r>
        <w:rPr>
          <w:sz w:val="18"/>
          <w:szCs w:val="18"/>
        </w:rPr>
        <w:t xml:space="preserve">Piccardi, T., Saveski, M., Jia, C., Hancock, J., Tsai, J. L., &amp; Bernstein, M. S. (2025). Reranking partisan animosity in algorithmic social media feeds alters affective polarization. </w:t>
      </w:r>
      <w:r>
        <w:rPr>
          <w:i/>
          <w:iCs/>
          <w:sz w:val="18"/>
          <w:szCs w:val="18"/>
        </w:rPr>
        <w:t xml:space="preserve">Science, 390</w:t>
      </w:r>
      <w:r>
        <w:rPr>
          <w:sz w:val="18"/>
          <w:szCs w:val="18"/>
        </w:rPr>
        <w:t xml:space="preserve">(6776), eadu5584. https://doi.org/10.1126/science.adu5584</w:t>
      </w:r>
    </w:p>
    <w:p>
      <w:pPr>
        <w:spacing w:after="80" w:line="250"/>
        <w:ind w:left="567" w:hanging="567"/>
        <w:jc w:val="left"/>
      </w:pPr>
      <w:r>
        <w:rPr>
          <w:sz w:val="18"/>
          <w:szCs w:val="18"/>
        </w:rPr>
        <w:t xml:space="preserve">Reuters. (2024). </w:t>
      </w:r>
      <w:r>
        <w:rPr>
          <w:i/>
          <w:iCs/>
          <w:sz w:val="18"/>
          <w:szCs w:val="18"/>
        </w:rPr>
        <w:t xml:space="preserve">OnlyFans sex chatters</w:t>
      </w:r>
      <w:r>
        <w:rPr>
          <w:sz w:val="18"/>
          <w:szCs w:val="18"/>
        </w:rPr>
        <w:t xml:space="preserve"> [Investigative Recherche]. https://www.reuters.com/investigates/special-report/onlyfans-sex-chatters/</w:t>
      </w:r>
    </w:p>
    <w:p>
      <w:pPr>
        <w:spacing w:after="80" w:line="250"/>
        <w:ind w:left="567" w:hanging="567"/>
        <w:jc w:val="left"/>
      </w:pPr>
      <w:r>
        <w:rPr>
          <w:sz w:val="18"/>
          <w:szCs w:val="18"/>
        </w:rPr>
        <w:t xml:space="preserve">Roozenbeek, J., van der Linden, S., Goldberg, B., Rathje, S., &amp; Lewandowsky, S. (2022). Psychological inoculation improves resilience against misinformation on social media. </w:t>
      </w:r>
      <w:r>
        <w:rPr>
          <w:i/>
          <w:iCs/>
          <w:sz w:val="18"/>
          <w:szCs w:val="18"/>
        </w:rPr>
        <w:t xml:space="preserve">Science Advances, 8</w:t>
      </w:r>
      <w:r>
        <w:rPr>
          <w:sz w:val="18"/>
          <w:szCs w:val="18"/>
        </w:rPr>
        <w:t xml:space="preserve">(34), eabo6254.</w:t>
      </w:r>
    </w:p>
    <w:p>
      <w:pPr>
        <w:spacing w:after="80" w:line="250"/>
        <w:ind w:left="567" w:hanging="567"/>
        <w:jc w:val="left"/>
      </w:pPr>
      <w:r>
        <w:rPr>
          <w:sz w:val="18"/>
          <w:szCs w:val="18"/>
        </w:rPr>
        <w:t xml:space="preserve">Startup Fortune. (2026). </w:t>
      </w:r>
      <w:r>
        <w:rPr>
          <w:i/>
          <w:iCs/>
          <w:sz w:val="18"/>
          <w:szCs w:val="18"/>
        </w:rPr>
        <w:t xml:space="preserve">OnlyFans turned $715 million in profit last year with just 47 employees.</w:t>
      </w:r>
      <w:r>
        <w:rPr>
          <w:sz w:val="18"/>
          <w:szCs w:val="18"/>
        </w:rPr>
        <w:t xml:space="preserve"> https://startupfortune.com/onlyfans-turned-715-million-in-profit-last-year-with-just-47-employees/</w:t>
      </w:r>
    </w:p>
    <w:p>
      <w:pPr>
        <w:spacing w:after="80" w:line="250"/>
        <w:ind w:left="567" w:hanging="567"/>
        <w:jc w:val="left"/>
      </w:pPr>
      <w:r>
        <w:rPr>
          <w:sz w:val="18"/>
          <w:szCs w:val="18"/>
        </w:rPr>
        <w:t xml:space="preserve">TikTok. (2023). </w:t>
      </w:r>
      <w:r>
        <w:rPr>
          <w:i/>
          <w:iCs/>
          <w:sz w:val="18"/>
          <w:szCs w:val="18"/>
        </w:rPr>
        <w:t xml:space="preserve">Unsere Einhaltung des Digital Services Act.</w:t>
      </w:r>
      <w:r>
        <w:rPr>
          <w:sz w:val="18"/>
          <w:szCs w:val="18"/>
        </w:rPr>
        <w:t xml:space="preserve"> https://newsroom.tiktok.com/unsere-einhaltung-des-digital-services-act?lang=de-DE</w:t>
      </w:r>
    </w:p>
    <w:p>
      <w:pPr>
        <w:spacing w:after="80" w:line="250"/>
        <w:ind w:left="567" w:hanging="567"/>
        <w:jc w:val="left"/>
      </w:pPr>
      <w:r>
        <w:rPr>
          <w:sz w:val="18"/>
          <w:szCs w:val="18"/>
        </w:rPr>
        <w:t xml:space="preserve">Variety. (2025, 22. August). </w:t>
      </w:r>
      <w:r>
        <w:rPr>
          <w:i/>
          <w:iCs/>
          <w:sz w:val="18"/>
          <w:szCs w:val="18"/>
        </w:rPr>
        <w:t xml:space="preserve">OnlyFans 2024 financials: Gross revenue $7.2 billion, up 9%.</w:t>
      </w:r>
      <w:r>
        <w:rPr>
          <w:sz w:val="18"/>
          <w:szCs w:val="18"/>
        </w:rPr>
        <w:t xml:space="preserve"> https://variety.com/2025/digital/news/onlyfans-fiscal-2024-revenue-earnings-1236495750/</w:t>
      </w:r>
    </w:p>
    <w:p>
      <w:pPr>
        <w:spacing w:after="80" w:line="250"/>
        <w:ind w:left="567" w:hanging="567"/>
        <w:jc w:val="left"/>
      </w:pPr>
      <w:r>
        <w:rPr>
          <w:sz w:val="18"/>
          <w:szCs w:val="18"/>
        </w:rPr>
        <w:t xml:space="preserve">Variety. (2026, 25. August). </w:t>
      </w:r>
      <w:r>
        <w:rPr>
          <w:i/>
          <w:iCs/>
          <w:sz w:val="18"/>
          <w:szCs w:val="18"/>
        </w:rPr>
        <w:t xml:space="preserve">OnlyFans millionaires: Site says 5,076 creators have earned more than $1 million to date.</w:t>
      </w:r>
      <w:r>
        <w:rPr>
          <w:sz w:val="18"/>
          <w:szCs w:val="18"/>
        </w:rPr>
        <w:t xml:space="preserve"> https://variety.com/2026/digital/news/onlyfans-millionaires-creators-earned-more-than-1-million-1236842444/</w:t>
      </w:r>
    </w:p>
    <w:p>
      <w:pPr>
        <w:spacing w:after="80" w:line="250"/>
        <w:ind w:left="567" w:hanging="567"/>
        <w:jc w:val="left"/>
      </w:pPr>
      <w:r>
        <w:rPr>
          <w:sz w:val="18"/>
          <w:szCs w:val="18"/>
        </w:rPr>
        <w:t xml:space="preserve">Wall Street Journal &amp; Edelson, L. (2024). Testreihe zu Instagram Reels und Teen-Accounts, berichtet u. a. von MediaPost (21.06.2024). https://www.mediapost.com/publications/article/397055/teens-receiving-recommendations-for-sexual-video-c.html</w:t>
      </w:r>
    </w:p>
    <w:p>
      <w:pPr>
        <w:spacing w:after="80" w:line="250"/>
        <w:ind w:left="567" w:hanging="567"/>
        <w:jc w:val="left"/>
      </w:pPr>
      <w:r>
        <w:rPr>
          <w:sz w:val="18"/>
          <w:szCs w:val="18"/>
        </w:rPr>
        <w:t xml:space="preserve">WHO Regional Office for Europe. (2024). </w:t>
      </w:r>
      <w:r>
        <w:rPr>
          <w:i/>
          <w:iCs/>
          <w:sz w:val="18"/>
          <w:szCs w:val="18"/>
        </w:rPr>
        <w:t xml:space="preserve">Teens, screens and mental health</w:t>
      </w:r>
      <w:r>
        <w:rPr>
          <w:sz w:val="18"/>
          <w:szCs w:val="18"/>
        </w:rPr>
        <w:t xml:space="preserve"> (HBSC 2021/22; Boniel-Nissim et al.). https://www.who.int/europe/news/item/25-09-2024-teens--screens-and-mental-health</w:t>
      </w:r>
    </w:p>
    <w:p>
      <w:pPr>
        <w:spacing w:after="80" w:line="250"/>
        <w:ind w:left="567" w:hanging="567"/>
        <w:jc w:val="left"/>
      </w:pPr>
      <w:r>
        <w:rPr>
          <w:sz w:val="18"/>
          <w:szCs w:val="18"/>
        </w:rPr>
        <w:t xml:space="preserve">ZDFheute. (2026, 15. Juli). </w:t>
      </w:r>
      <w:r>
        <w:rPr>
          <w:i/>
          <w:iCs/>
          <w:sz w:val="18"/>
          <w:szCs w:val="18"/>
        </w:rPr>
        <w:t xml:space="preserve">JIM-Studie: Warum Jugendliche Social Media zwiegespalten sehen</w:t>
      </w:r>
      <w:r>
        <w:rPr>
          <w:sz w:val="18"/>
          <w:szCs w:val="18"/>
        </w:rPr>
        <w:t xml:space="preserve"> (JIMplus). https://www.zdfheute.de/wissen/social-media-nutzung-jugendliche-jim-plus-studie-100.html</w:t>
      </w:r>
    </w:p>
    <w:p>
      <w:r>
        <w:br w:type="page"/>
      </w:r>
    </w:p>
    <w:p>
      <w:pPr>
        <w:pStyle w:val="Heading1"/>
      </w:pPr>
      <w:r>
        <w:t xml:space="preserve">Anhang A: Datensatzregister für die Softwareentwicklung</w:t>
      </w:r>
    </w:p>
    <w:p>
      <w:pPr>
        <w:spacing w:after="120" w:line="276"/>
        <w:jc w:val="both"/>
      </w:pPr>
      <w:r>
        <w:t xml:space="preserve">Das Register fasst die für eine Parametrisierung der Software relevanten Kennzahlen zusammen. Die Werte sind Referenzgrößen für Plausibilitätsprüfungen und Kommunikation, keine validierten Schwellenwerte.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35"/>
        <w:gridCol w:w="1814"/>
        <w:gridCol w:w="1542"/>
        <w:gridCol w:w="2721"/>
        <w:gridCol w:w="1633"/>
        <w:gridCol w:w="725"/>
      </w:tblGrid>
      <w:tr>
        <w:trPr>
          <w:tblHeader/>
        </w:trPr>
        <w:tc>
          <w:tcPr>
            <w:tcW w:type="dxa" w:w="6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ID</w:t>
            </w:r>
          </w:p>
        </w:tc>
        <w:tc>
          <w:tcPr>
            <w:tcW w:type="dxa" w:w="18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Quelle</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Land / n</w:t>
            </w:r>
          </w:p>
        </w:tc>
        <w:tc>
          <w:tcPr>
            <w:tcW w:type="dxa" w:w="27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Kennzahl</w:t>
            </w:r>
          </w:p>
        </w:tc>
        <w:tc>
          <w:tcPr>
            <w:tcW w:type="dxa" w:w="16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Wert</w:t>
            </w:r>
          </w:p>
        </w:tc>
        <w:tc>
          <w:tcPr>
            <w:tcW w:type="dxa" w:w="7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20" w:line="240"/>
              <w:jc w:val="left"/>
            </w:pPr>
            <w:r>
              <w:rPr>
                <w:b/>
                <w:bCs/>
                <w:color w:val="FFFFFF"/>
                <w:sz w:val="17"/>
                <w:szCs w:val="17"/>
              </w:rPr>
              <w:t xml:space="preserve">Grad</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D01</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JIM 2025</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DE / 1.200</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Smartphone-Bildschirmzeit 12–13 J. / 18–19 J.</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166 / 278 min pro Tag</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D02</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DAK 2025/26</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DE / ca. 1.000</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Riskante / pathologische Social-Media-Nutzung</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21,5 % / 6,6 %</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D03</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DAK 2025/26</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DE / ca. 1.000</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Online-Video: riskant / Suchtkriterien</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ca. 20 % / 4 %</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D04</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HBSC 2022</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Europa</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Problematische Social-Media-Nutzung (Mädchen / Jungen)</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11 % (13 % / 9 %)</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D05</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Cloes et al. 2026</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DE / 3.477</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Riskantes Video-Streaming 2025</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25 %</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D06</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DCU 2024</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IE / 10 Accounts</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Zeit bis toxische / Manosphere-Inhalte</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 23 / ≤ 26 min</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D07</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DCU 2024</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IE / 10 Accounts</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Toxischer Anteil YouTube Shorts / TikTok</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61,5 % / 34,7 %</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D08</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WSJ &amp; Edelson 2024</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USA</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Zeit bis sexualisierte Inhalte (Alter 13, Reels)</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teils 3 min; Feed voll &lt; 20 min</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D09</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Amnesty 2023</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3 Länder</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Anteil belastender Videos nach 5–6 h</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fast 50 % (ca. 10-fach)</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D10</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Potsdam/Bertelsmann 2025</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DE / 268 Accounts</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Zeit bis #afd-Videos auf TikTok</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11–12 min</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D11</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Common Sense 2023</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USA / 1.358</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Pornografie gesehen / Erstkontaktalter</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73 % / 12 J.</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D12</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Children’s Comm. 2025</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EN / 1.010</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Kontakt vor 18 / unbeabsichtigt</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70 % / 59 %</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D13</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Andrie et al. 2021</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6 EU-Länder / 10.930</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Jungen: Konsum 12 Monate / wöchentlich</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76,8 % / 40 %</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D14</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GeSiD 2022</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DE / 4.633</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CSBD-Hinweise Lebenszeit Männer / Frauen</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4,9 % / 3,0 %</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D15</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ISS 2023</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42 Länder / 82.243</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Hohes CSBD-Risiko Männer / Frauen</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8,17 % / 2,42 %</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B</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D16</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Hosseinmardi et al. 2024</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USA</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„Vergessenszeit“ Seitenleiste YouTube</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ca. 30 Videos</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D17</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Gauthier et al. 2026</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USA / 4.965</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Effekt Einschalten vs. Ausschalten des Algorithmus</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signifikant vs. kein Effekt</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D18</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Piccardi et al. 2025</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USA / 1.256</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Veränderung der Feindseligkeit durch Umsortieren</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ca. 2 Punkte (0–100)</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63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D19</w:t>
            </w:r>
          </w:p>
        </w:tc>
        <w:tc>
          <w:tcPr>
            <w:tcW w:type="dxa" w:w="1814"/>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López-Pinar et al. 2025</w:t>
            </w:r>
          </w:p>
        </w:tc>
        <w:tc>
          <w:tcPr>
            <w:tcW w:type="dxa" w:w="1542"/>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20 Studien / 2.021</w:t>
            </w:r>
          </w:p>
        </w:tc>
        <w:tc>
          <w:tcPr>
            <w:tcW w:type="dxa" w:w="2721"/>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Psychotherapie-Effekt auf PPU</w:t>
            </w:r>
          </w:p>
        </w:tc>
        <w:tc>
          <w:tcPr>
            <w:tcW w:type="dxa" w:w="1633"/>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groß</w:t>
            </w:r>
          </w:p>
        </w:tc>
        <w:tc>
          <w:tcPr>
            <w:tcW w:type="dxa" w:w="725"/>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top"/>
          </w:tcPr>
          <w:p>
            <w:pPr>
              <w:spacing w:after="20" w:line="240"/>
              <w:jc w:val="left"/>
            </w:pPr>
            <w:r>
              <w:rPr>
                <w:sz w:val="17"/>
                <w:szCs w:val="17"/>
              </w:rPr>
              <w:t xml:space="preserve">A</w:t>
            </w:r>
          </w:p>
        </w:tc>
      </w:tr>
      <w:tr>
        <w:trPr>
          <w:cantSplit/>
        </w:trPr>
        <w:tc>
          <w:tcPr>
            <w:tcW w:type="dxa" w:w="63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D20</w:t>
            </w:r>
          </w:p>
        </w:tc>
        <w:tc>
          <w:tcPr>
            <w:tcW w:type="dxa" w:w="1814"/>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Variety / FT 2026</w:t>
            </w:r>
          </w:p>
        </w:tc>
        <w:tc>
          <w:tcPr>
            <w:tcW w:type="dxa" w:w="1542"/>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global</w:t>
            </w:r>
          </w:p>
        </w:tc>
        <w:tc>
          <w:tcPr>
            <w:tcW w:type="dxa" w:w="2721"/>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OnlyFans-Fanzahlungen GJ 2025</w:t>
            </w:r>
          </w:p>
        </w:tc>
        <w:tc>
          <w:tcPr>
            <w:tcW w:type="dxa" w:w="1633"/>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ca. 7,8 Mrd. US-$</w:t>
            </w:r>
          </w:p>
        </w:tc>
        <w:tc>
          <w:tcPr>
            <w:tcW w:type="dxa" w:w="725"/>
            <w:tcBorders>
              <w:top w:val="single" w:color="BFBFBF" w:sz="4"/>
              <w:left w:val="single" w:color="BFBFBF" w:sz="4"/>
              <w:bottom w:val="single" w:color="BFBFBF" w:sz="4"/>
              <w:right w:val="single" w:color="BFBFBF" w:sz="4"/>
            </w:tcBorders>
            <w:shd w:fill="F3F6FA" w:color="auto" w:val="clear"/>
            <w:tcMar>
              <w:top w:type="dxa" w:w="60"/>
              <w:left w:type="dxa" w:w="90"/>
              <w:bottom w:type="dxa" w:w="60"/>
              <w:right w:type="dxa" w:w="90"/>
            </w:tcMar>
            <w:vAlign w:val="top"/>
          </w:tcPr>
          <w:p>
            <w:pPr>
              <w:spacing w:after="20" w:line="240"/>
              <w:jc w:val="left"/>
            </w:pPr>
            <w:r>
              <w:rPr>
                <w:sz w:val="17"/>
                <w:szCs w:val="17"/>
              </w:rPr>
              <w:t xml:space="preserve">C</w:t>
            </w:r>
          </w:p>
        </w:tc>
      </w:tr>
    </w:tbl>
    <w:sectPr>
      <w:headerReference w:type="default" r:id="rId7"/>
      <w:headerReference w:type="first" r:id="rId8"/>
      <w:footerReference w:type="default" r:id="rId9"/>
      <w:footerReference w:type="first" r:id="rId10"/>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Seite </w:t>
    </w:r>
    <w:r>
      <w:rPr>
        <w:color w:val="595959"/>
        <w:sz w:val="16"/>
        <w:szCs w:val="16"/>
      </w:rPr>
      <w:fldChar w:fldCharType="begin"/>
      <w:instrText xml:space="preserve">PAGE</w:instrText>
      <w:fldChar w:fldCharType="separate"/>
      <w:fldChar w:fldCharType="end"/>
    </w:r>
    <w:r>
      <w:rPr>
        <w:color w:val="595959"/>
        <w:sz w:val="16"/>
        <w:szCs w:val="16"/>
      </w:rPr>
      <w:t xml:space="preserve"> von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Vom 30-Sekunden-Video zur Pornosucht? · Arbeitspapier, Stand 29.09.2026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97"/>
      </w:pPr>
    </w:lvl>
  </w:abstractNum>
  <w:abstractNum w:abstractNumId="4" w15:restartNumberingAfterBreak="0">
    <w:multiLevelType w:val="hybridMultilevel"/>
    <w:lvl w:ilvl="0" w15:tentative="1">
      <w:start w:val="1"/>
      <w:numFmt w:val="decimal"/>
      <w:lvlText w:val="%1."/>
      <w:lvlJc w:val="left"/>
      <w:pPr>
        <w:ind w:left="567" w:hanging="397"/>
      </w:pPr>
    </w:lvl>
  </w:abstractNum>
  <w:abstractNum w:abstractNumId="5" w15:restartNumberingAfterBreak="0">
    <w:multiLevelType w:val="hybridMultilevel"/>
    <w:lvl w:ilvl="0" w15:tentative="1">
      <w:start w:val="1"/>
      <w:numFmt w:val="decimal"/>
      <w:lvlText w:val="%1."/>
      <w:lvlJc w:val="left"/>
      <w:pPr>
        <w:ind w:left="567" w:hanging="397"/>
      </w:pPr>
    </w:lvl>
  </w:abstractNum>
  <w:abstractNum w:abstractNumId="6" w15:restartNumberingAfterBreak="0">
    <w:multiLevelType w:val="hybridMultilevel"/>
    <w:lvl w:ilvl="0" w15:tentative="1">
      <w:start w:val="1"/>
      <w:numFmt w:val="decimal"/>
      <w:lvlText w:val="%1."/>
      <w:lvlJc w:val="left"/>
      <w:pPr>
        <w:ind w:left="567" w:hanging="397"/>
      </w:pPr>
    </w:lvl>
  </w:abstractNum>
  <w:abstractNum w:abstractNumId="7" w15:restartNumberingAfterBreak="0">
    <w:multiLevelType w:val="hybridMultilevel"/>
    <w:lvl w:ilvl="0" w15:tentative="1">
      <w:start w:val="1"/>
      <w:numFmt w:val="decimal"/>
      <w:lvlText w:val="%1."/>
      <w:lvlJc w:val="left"/>
      <w:pPr>
        <w:ind w:left="567" w:hanging="397"/>
      </w:pPr>
    </w:lvl>
  </w:abstractNum>
  <w:abstractNum w:abstractNumId="8"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Vom 30-Sekunden-Video zur Pornosucht?</dc:title>
  <dc:creator>Arbeitspapier</dc:creator>
  <dc:description>Wissenschaftliches Arbeitspapier zu Kurzvideo-Plattformen, Filterblasen und OnlyFans-Marketing</dc:description>
  <cp:lastModifiedBy>Un-named</cp:lastModifiedBy>
  <cp:revision>1</cp:revision>
  <dcterms:created xsi:type="dcterms:W3CDTF">2026-09-29T21:56:32.089Z</dcterms:created>
  <dcterms:modified xsi:type="dcterms:W3CDTF">2026-09-29T21:56:32.089Z</dcterms:modified>
</cp:coreProperties>
</file>

<file path=docProps/custom.xml><?xml version="1.0" encoding="utf-8"?>
<Properties xmlns="http://schemas.openxmlformats.org/officeDocument/2006/custom-properties" xmlns:vt="http://schemas.openxmlformats.org/officeDocument/2006/docPropsVTypes"/>
</file>