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drawings/drawing1.xml" ContentType="application/vnd.openxmlformats-officedocument.drawingml.chartshapes+xml"/>
  <Override PartName="/word/charts/chart13.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D35E3" w14:textId="77777777" w:rsidR="003C293F" w:rsidRPr="00602923" w:rsidRDefault="003C293F" w:rsidP="009E11C8">
      <w:pPr>
        <w:spacing w:after="0" w:line="312" w:lineRule="auto"/>
        <w:jc w:val="center"/>
        <w:rPr>
          <w:rFonts w:ascii="Neutraface Text Bold" w:hAnsi="Neutraface Text Bold" w:cs="Helvetica"/>
          <w:b/>
          <w:bCs/>
          <w:color w:val="595959"/>
          <w:sz w:val="44"/>
          <w:szCs w:val="22"/>
          <w:lang w:eastAsia="zh-CN"/>
        </w:rPr>
      </w:pPr>
    </w:p>
    <w:p w14:paraId="25690A8D" w14:textId="77777777" w:rsidR="003C293F" w:rsidRDefault="003C293F" w:rsidP="009E11C8">
      <w:pPr>
        <w:spacing w:after="0" w:line="312" w:lineRule="auto"/>
        <w:jc w:val="center"/>
        <w:rPr>
          <w:rFonts w:ascii="Neutraface Text Bold" w:hAnsi="Neutraface Text Bold" w:cs="Helvetica"/>
          <w:b/>
          <w:bCs/>
          <w:color w:val="595959"/>
          <w:sz w:val="44"/>
          <w:szCs w:val="22"/>
        </w:rPr>
      </w:pPr>
    </w:p>
    <w:p w14:paraId="49C688D5" w14:textId="77777777" w:rsidR="003C293F" w:rsidRDefault="003C293F" w:rsidP="009E11C8">
      <w:pPr>
        <w:spacing w:after="0" w:line="312" w:lineRule="auto"/>
        <w:jc w:val="center"/>
        <w:rPr>
          <w:rFonts w:ascii="Neutraface Text Bold" w:hAnsi="Neutraface Text Bold" w:cs="Helvetica"/>
          <w:b/>
          <w:bCs/>
          <w:color w:val="595959"/>
          <w:sz w:val="44"/>
          <w:szCs w:val="22"/>
        </w:rPr>
      </w:pPr>
    </w:p>
    <w:p w14:paraId="607C2367" w14:textId="77777777" w:rsidR="004D7928" w:rsidRPr="00BA1076" w:rsidRDefault="004D7928" w:rsidP="009E11C8">
      <w:pPr>
        <w:spacing w:after="0" w:line="312" w:lineRule="auto"/>
        <w:jc w:val="center"/>
        <w:rPr>
          <w:rFonts w:ascii="Neutraface Text Bold" w:hAnsi="Neutraface Text Bold" w:cs="Helvetica"/>
          <w:b/>
          <w:bCs/>
          <w:color w:val="595959"/>
          <w:sz w:val="44"/>
          <w:szCs w:val="22"/>
        </w:rPr>
      </w:pPr>
      <w:r w:rsidRPr="00BA1076">
        <w:rPr>
          <w:rFonts w:ascii="Neutraface Text Bold" w:hAnsi="Neutraface Text Bold" w:cs="Helvetica"/>
          <w:b/>
          <w:bCs/>
          <w:color w:val="595959"/>
          <w:sz w:val="44"/>
          <w:szCs w:val="22"/>
        </w:rPr>
        <w:t>LIFE CYCLE</w:t>
      </w:r>
      <w:r w:rsidR="00BD7F5F">
        <w:rPr>
          <w:rFonts w:ascii="Neutraface Text Bold" w:hAnsi="Neutraface Text Bold" w:cs="Helvetica"/>
          <w:b/>
          <w:bCs/>
          <w:color w:val="595959"/>
          <w:sz w:val="44"/>
          <w:szCs w:val="22"/>
        </w:rPr>
        <w:t xml:space="preserve"> </w:t>
      </w:r>
      <w:r w:rsidR="00EE5377">
        <w:rPr>
          <w:rFonts w:ascii="Neutraface Text Bold" w:hAnsi="Neutraface Text Bold" w:cs="Helvetica"/>
          <w:b/>
          <w:bCs/>
          <w:color w:val="595959"/>
          <w:sz w:val="44"/>
          <w:szCs w:val="22"/>
        </w:rPr>
        <w:t>I</w:t>
      </w:r>
      <w:r w:rsidR="000B4A98">
        <w:rPr>
          <w:rFonts w:ascii="Neutraface Text Bold" w:hAnsi="Neutraface Text Bold" w:cs="Helvetica"/>
          <w:b/>
          <w:bCs/>
          <w:color w:val="595959"/>
          <w:sz w:val="44"/>
          <w:szCs w:val="22"/>
        </w:rPr>
        <w:t>N</w:t>
      </w:r>
      <w:r w:rsidR="00BD7F5F">
        <w:rPr>
          <w:rFonts w:ascii="Neutraface Text Bold" w:hAnsi="Neutraface Text Bold" w:cs="Helvetica"/>
          <w:b/>
          <w:bCs/>
          <w:color w:val="595959"/>
          <w:sz w:val="44"/>
          <w:szCs w:val="22"/>
        </w:rPr>
        <w:t>VE</w:t>
      </w:r>
      <w:r w:rsidRPr="00BA1076">
        <w:rPr>
          <w:rFonts w:ascii="Neutraface Text Bold" w:hAnsi="Neutraface Text Bold" w:cs="Helvetica"/>
          <w:b/>
          <w:bCs/>
          <w:color w:val="595959"/>
          <w:sz w:val="44"/>
          <w:szCs w:val="22"/>
        </w:rPr>
        <w:t xml:space="preserve">NTORY DATA </w:t>
      </w:r>
      <w:r w:rsidR="00BD7F5F">
        <w:rPr>
          <w:rFonts w:ascii="Neutraface Text Bold" w:hAnsi="Neutraface Text Bold" w:cs="Helvetica"/>
          <w:b/>
          <w:bCs/>
          <w:color w:val="595959"/>
          <w:sz w:val="44"/>
          <w:szCs w:val="22"/>
        </w:rPr>
        <w:t xml:space="preserve">AND ENVIRONMENTAL METRICS </w:t>
      </w:r>
      <w:r w:rsidRPr="00BA1076">
        <w:rPr>
          <w:rFonts w:ascii="Neutraface Text Bold" w:hAnsi="Neutraface Text Bold" w:cs="Helvetica"/>
          <w:b/>
          <w:bCs/>
          <w:color w:val="595959"/>
          <w:sz w:val="44"/>
          <w:szCs w:val="22"/>
        </w:rPr>
        <w:t>FOR THE PRIMARY ALUMINIUM INDUSTRY</w:t>
      </w:r>
    </w:p>
    <w:p w14:paraId="1566FFF6" w14:textId="77777777" w:rsidR="004D7928" w:rsidRPr="00BA1076" w:rsidRDefault="004D7928" w:rsidP="009E11C8">
      <w:pPr>
        <w:spacing w:after="0" w:line="312" w:lineRule="auto"/>
        <w:jc w:val="center"/>
        <w:rPr>
          <w:rFonts w:ascii="Neutraface Text Bold" w:hAnsi="Neutraface Text Bold" w:cs="Helvetica"/>
          <w:b/>
          <w:bCs/>
          <w:color w:val="595959"/>
          <w:sz w:val="44"/>
          <w:szCs w:val="22"/>
          <w:u w:val="single"/>
        </w:rPr>
      </w:pPr>
    </w:p>
    <w:p w14:paraId="2B76362B" w14:textId="77777777" w:rsidR="004D7928" w:rsidRPr="00BA1076" w:rsidRDefault="004D7928" w:rsidP="009E11C8">
      <w:pPr>
        <w:spacing w:after="0" w:line="312" w:lineRule="auto"/>
        <w:jc w:val="center"/>
        <w:rPr>
          <w:rFonts w:ascii="Neutraface Text Bold" w:hAnsi="Neutraface Text Bold" w:cs="Helvetica"/>
          <w:b/>
          <w:bCs/>
          <w:color w:val="595959"/>
          <w:sz w:val="44"/>
          <w:szCs w:val="22"/>
          <w:u w:val="single"/>
        </w:rPr>
      </w:pPr>
    </w:p>
    <w:p w14:paraId="7108D321" w14:textId="3E2673CB" w:rsidR="004D7928" w:rsidRPr="00BA1076" w:rsidRDefault="0038344E" w:rsidP="009E11C8">
      <w:pPr>
        <w:spacing w:after="0" w:line="312" w:lineRule="auto"/>
        <w:jc w:val="center"/>
        <w:rPr>
          <w:rFonts w:ascii="Neutraface Text Bold" w:hAnsi="Neutraface Text Bold" w:cs="Helvetica"/>
          <w:b/>
          <w:bCs/>
          <w:color w:val="595959"/>
          <w:sz w:val="44"/>
          <w:szCs w:val="22"/>
        </w:rPr>
      </w:pPr>
      <w:r w:rsidRPr="00BA1076">
        <w:rPr>
          <w:rFonts w:ascii="Neutraface Text Bold" w:hAnsi="Neutraface Text Bold" w:cs="Helvetica"/>
          <w:b/>
          <w:bCs/>
          <w:color w:val="595959"/>
          <w:sz w:val="44"/>
          <w:szCs w:val="22"/>
        </w:rPr>
        <w:t>201</w:t>
      </w:r>
      <w:r w:rsidR="00C54D5C">
        <w:rPr>
          <w:rFonts w:ascii="Neutraface Text Bold" w:hAnsi="Neutraface Text Bold" w:cs="Helvetica"/>
          <w:b/>
          <w:bCs/>
          <w:color w:val="595959"/>
          <w:sz w:val="44"/>
          <w:szCs w:val="22"/>
        </w:rPr>
        <w:t>9</w:t>
      </w:r>
      <w:r w:rsidRPr="00BA1076">
        <w:rPr>
          <w:rFonts w:ascii="Neutraface Text Bold" w:hAnsi="Neutraface Text Bold" w:cs="Helvetica"/>
          <w:b/>
          <w:bCs/>
          <w:color w:val="595959"/>
          <w:sz w:val="44"/>
          <w:szCs w:val="22"/>
        </w:rPr>
        <w:t xml:space="preserve"> DATA</w:t>
      </w:r>
    </w:p>
    <w:p w14:paraId="4942B51B" w14:textId="77777777" w:rsidR="004D7928" w:rsidRPr="00BA1076" w:rsidRDefault="004D7928" w:rsidP="007C51CA">
      <w:pPr>
        <w:spacing w:after="0" w:line="312" w:lineRule="auto"/>
        <w:rPr>
          <w:rFonts w:ascii="Neutraface Text Bold" w:hAnsi="Neutraface Text Bold" w:cs="Helvetica"/>
          <w:b/>
          <w:bCs/>
          <w:color w:val="595959"/>
          <w:sz w:val="44"/>
          <w:szCs w:val="22"/>
          <w:u w:val="single"/>
        </w:rPr>
      </w:pPr>
    </w:p>
    <w:p w14:paraId="1F2A9E8F" w14:textId="77777777" w:rsidR="004D7928" w:rsidRPr="00BA1076" w:rsidRDefault="004D7928" w:rsidP="009E11C8">
      <w:pPr>
        <w:spacing w:after="0" w:line="312" w:lineRule="auto"/>
        <w:jc w:val="center"/>
        <w:rPr>
          <w:rFonts w:ascii="Neutraface Text Bold" w:hAnsi="Neutraface Text Bold" w:cs="Helvetica"/>
          <w:b/>
          <w:bCs/>
          <w:color w:val="595959"/>
          <w:sz w:val="44"/>
          <w:szCs w:val="22"/>
          <w:u w:val="single"/>
        </w:rPr>
      </w:pPr>
    </w:p>
    <w:p w14:paraId="41118DF2" w14:textId="77777777" w:rsidR="004D7928" w:rsidRPr="00BA1076" w:rsidRDefault="004D7928" w:rsidP="009E11C8">
      <w:pPr>
        <w:spacing w:after="0" w:line="312" w:lineRule="auto"/>
        <w:jc w:val="center"/>
        <w:rPr>
          <w:rFonts w:ascii="Neutraface Text Bold" w:hAnsi="Neutraface Text Bold" w:cs="Helvetica"/>
          <w:b/>
          <w:bCs/>
          <w:color w:val="595959"/>
          <w:sz w:val="44"/>
          <w:szCs w:val="22"/>
          <w:u w:val="single"/>
        </w:rPr>
      </w:pPr>
    </w:p>
    <w:p w14:paraId="597F4704" w14:textId="47B6DBA0" w:rsidR="004D7928" w:rsidRPr="00BA1076" w:rsidRDefault="00B217EE" w:rsidP="009E11C8">
      <w:pPr>
        <w:spacing w:after="0" w:line="312" w:lineRule="auto"/>
        <w:jc w:val="center"/>
        <w:rPr>
          <w:rFonts w:ascii="Neutraface Text Bold" w:hAnsi="Neutraface Text Bold" w:cs="Helvetica"/>
          <w:b/>
          <w:bCs/>
          <w:i/>
          <w:iCs/>
          <w:color w:val="595959"/>
          <w:sz w:val="44"/>
          <w:szCs w:val="22"/>
          <w:u w:val="single"/>
        </w:rPr>
      </w:pPr>
      <w:r>
        <w:rPr>
          <w:rFonts w:ascii="Neutraface Text Bold" w:hAnsi="Neutraface Text Bold" w:cs="Helvetica"/>
          <w:b/>
          <w:bCs/>
          <w:i/>
          <w:iCs/>
          <w:color w:val="595959"/>
          <w:sz w:val="44"/>
          <w:szCs w:val="22"/>
          <w:u w:val="single"/>
        </w:rPr>
        <w:t>Final</w:t>
      </w:r>
    </w:p>
    <w:p w14:paraId="02D456F3" w14:textId="77777777" w:rsidR="004D7928" w:rsidRPr="00BA1076" w:rsidRDefault="004D7928" w:rsidP="009E11C8">
      <w:pPr>
        <w:spacing w:after="0" w:line="312" w:lineRule="auto"/>
        <w:jc w:val="center"/>
        <w:rPr>
          <w:rFonts w:ascii="Neutraface Text Bold" w:hAnsi="Neutraface Text Bold" w:cs="Helvetica"/>
          <w:b/>
          <w:bCs/>
          <w:color w:val="595959"/>
          <w:sz w:val="44"/>
          <w:szCs w:val="22"/>
          <w:u w:val="single"/>
        </w:rPr>
      </w:pPr>
    </w:p>
    <w:p w14:paraId="27184A5F" w14:textId="456E46E2" w:rsidR="004D7928" w:rsidRPr="00BA1076" w:rsidRDefault="00E47E53" w:rsidP="009E11C8">
      <w:pPr>
        <w:spacing w:after="0" w:line="312" w:lineRule="auto"/>
        <w:jc w:val="center"/>
        <w:rPr>
          <w:rFonts w:ascii="Neutraface Text Bold" w:hAnsi="Neutraface Text Bold" w:cs="Helvetica"/>
          <w:b/>
          <w:color w:val="595959"/>
          <w:sz w:val="44"/>
          <w:szCs w:val="22"/>
        </w:rPr>
      </w:pPr>
      <w:r>
        <w:rPr>
          <w:rFonts w:ascii="Neutraface Text Bold" w:hAnsi="Neutraface Text Bold" w:cs="Helvetica"/>
          <w:b/>
          <w:color w:val="595959"/>
          <w:sz w:val="44"/>
          <w:szCs w:val="22"/>
        </w:rPr>
        <w:t>November</w:t>
      </w:r>
      <w:r w:rsidR="0020450B">
        <w:rPr>
          <w:rFonts w:ascii="Neutraface Text Bold" w:hAnsi="Neutraface Text Bold" w:cs="Helvetica"/>
          <w:b/>
          <w:color w:val="595959"/>
          <w:sz w:val="44"/>
          <w:szCs w:val="22"/>
        </w:rPr>
        <w:t xml:space="preserve"> </w:t>
      </w:r>
      <w:r w:rsidR="00BD7F5F">
        <w:rPr>
          <w:rFonts w:ascii="Neutraface Text Bold" w:hAnsi="Neutraface Text Bold" w:cs="Helvetica"/>
          <w:b/>
          <w:color w:val="595959"/>
          <w:sz w:val="44"/>
          <w:szCs w:val="22"/>
        </w:rPr>
        <w:t>20</w:t>
      </w:r>
      <w:r w:rsidR="00C54D5C">
        <w:rPr>
          <w:rFonts w:ascii="Neutraface Text Bold" w:hAnsi="Neutraface Text Bold" w:cs="Helvetica"/>
          <w:b/>
          <w:color w:val="595959"/>
          <w:sz w:val="44"/>
          <w:szCs w:val="22"/>
        </w:rPr>
        <w:t>22</w:t>
      </w:r>
    </w:p>
    <w:p w14:paraId="69E9EACA" w14:textId="77777777" w:rsidR="00677348" w:rsidRPr="00FD4D41" w:rsidRDefault="004D7928" w:rsidP="009E11C8">
      <w:pPr>
        <w:pStyle w:val="Titredetabledesmatires"/>
        <w:spacing w:before="0" w:after="0" w:line="312" w:lineRule="auto"/>
        <w:rPr>
          <w:rFonts w:ascii="Helvetica" w:hAnsi="Helvetica" w:cs="Helvetica"/>
          <w:b w:val="0"/>
          <w:color w:val="595959"/>
          <w:sz w:val="22"/>
          <w:szCs w:val="22"/>
          <w14:textFill>
            <w14:solidFill>
              <w14:srgbClr w14:val="595959">
                <w14:lumMod w14:val="50000"/>
              </w14:srgbClr>
            </w14:solidFill>
          </w14:textFill>
        </w:rPr>
      </w:pPr>
      <w:r w:rsidRPr="009F1382">
        <w:rPr>
          <w:rFonts w:ascii="Helvetica" w:hAnsi="Helvetica" w:cs="Helvetica"/>
          <w:b w:val="0"/>
          <w:color w:val="595959"/>
          <w:sz w:val="20"/>
        </w:rPr>
        <w:br w:type="page"/>
      </w:r>
      <w:r w:rsidRPr="00FD4D41">
        <w:rPr>
          <w:rFonts w:ascii="Helvetica" w:hAnsi="Helvetica" w:cs="Helvetica"/>
          <w:color w:val="595959"/>
          <w:sz w:val="22"/>
          <w:szCs w:val="22"/>
          <w14:textFill>
            <w14:solidFill>
              <w14:srgbClr w14:val="595959">
                <w14:lumMod w14:val="50000"/>
              </w14:srgbClr>
            </w14:solidFill>
          </w14:textFill>
        </w:rPr>
        <w:lastRenderedPageBreak/>
        <w:t>Contents</w:t>
      </w:r>
    </w:p>
    <w:p w14:paraId="535AA542" w14:textId="4FA7CE3A" w:rsidR="00B63273" w:rsidRDefault="003C293F">
      <w:pPr>
        <w:pStyle w:val="TOC1"/>
        <w:tabs>
          <w:tab w:val="left" w:pos="480"/>
          <w:tab w:val="right" w:pos="9629"/>
        </w:tabs>
        <w:rPr>
          <w:rFonts w:asciiTheme="minorHAnsi" w:eastAsiaTheme="minorEastAsia" w:hAnsiTheme="minorHAnsi" w:cstheme="minorBidi"/>
          <w:b w:val="0"/>
          <w:bCs w:val="0"/>
          <w:caps w:val="0"/>
          <w:noProof/>
          <w:sz w:val="22"/>
          <w:szCs w:val="22"/>
          <w:lang w:eastAsia="zh-CN"/>
        </w:rPr>
      </w:pPr>
      <w:r w:rsidRPr="00FD4D41">
        <w:rPr>
          <w:rFonts w:ascii="Helvetica" w:hAnsi="Helvetica" w:cs="Helvetica"/>
          <w:color w:val="595959"/>
          <w:szCs w:val="22"/>
          <w14:textFill>
            <w14:solidFill>
              <w14:srgbClr w14:val="595959">
                <w14:lumMod w14:val="50000"/>
              </w14:srgbClr>
            </w14:solidFill>
          </w14:textFill>
        </w:rPr>
        <w:fldChar w:fldCharType="begin"/>
      </w:r>
      <w:r w:rsidRPr="00FD4D41">
        <w:rPr>
          <w:rFonts w:ascii="Helvetica" w:hAnsi="Helvetica" w:cs="Helvetica"/>
          <w:color w:val="595959"/>
          <w:szCs w:val="22"/>
          <w14:textFill>
            <w14:solidFill>
              <w14:srgbClr w14:val="595959">
                <w14:lumMod w14:val="50000"/>
              </w14:srgbClr>
            </w14:solidFill>
          </w14:textFill>
        </w:rPr>
        <w:instrText xml:space="preserve"> TOC \o \u </w:instrText>
      </w:r>
      <w:r w:rsidRPr="00FD4D41">
        <w:rPr>
          <w:rFonts w:ascii="Helvetica" w:hAnsi="Helvetica" w:cs="Helvetica"/>
          <w:color w:val="595959"/>
          <w:szCs w:val="22"/>
          <w14:textFill>
            <w14:solidFill>
              <w14:srgbClr w14:val="595959">
                <w14:lumMod w14:val="50000"/>
              </w14:srgbClr>
            </w14:solidFill>
          </w14:textFill>
        </w:rPr>
        <w:fldChar w:fldCharType="separate"/>
      </w:r>
      <w:r w:rsidR="00B63273">
        <w:rPr>
          <w:noProof/>
        </w:rPr>
        <w:t>1.</w:t>
      </w:r>
      <w:r w:rsidR="00B63273">
        <w:rPr>
          <w:rFonts w:asciiTheme="minorHAnsi" w:eastAsiaTheme="minorEastAsia" w:hAnsiTheme="minorHAnsi" w:cstheme="minorBidi"/>
          <w:b w:val="0"/>
          <w:bCs w:val="0"/>
          <w:caps w:val="0"/>
          <w:noProof/>
          <w:sz w:val="22"/>
          <w:szCs w:val="22"/>
          <w:lang w:eastAsia="zh-CN"/>
        </w:rPr>
        <w:tab/>
      </w:r>
      <w:r w:rsidR="00B63273">
        <w:rPr>
          <w:noProof/>
        </w:rPr>
        <w:t>Introduction</w:t>
      </w:r>
      <w:r w:rsidR="00B63273">
        <w:rPr>
          <w:noProof/>
        </w:rPr>
        <w:tab/>
      </w:r>
      <w:r w:rsidR="00B63273">
        <w:rPr>
          <w:noProof/>
        </w:rPr>
        <w:fldChar w:fldCharType="begin"/>
      </w:r>
      <w:r w:rsidR="00B63273">
        <w:rPr>
          <w:noProof/>
        </w:rPr>
        <w:instrText xml:space="preserve"> PAGEREF _Toc120111909 \h </w:instrText>
      </w:r>
      <w:r w:rsidR="00B63273">
        <w:rPr>
          <w:noProof/>
        </w:rPr>
      </w:r>
      <w:r w:rsidR="00B63273">
        <w:rPr>
          <w:noProof/>
        </w:rPr>
        <w:fldChar w:fldCharType="separate"/>
      </w:r>
      <w:r w:rsidR="00B63273">
        <w:rPr>
          <w:noProof/>
        </w:rPr>
        <w:t>4</w:t>
      </w:r>
      <w:r w:rsidR="00B63273">
        <w:rPr>
          <w:noProof/>
        </w:rPr>
        <w:fldChar w:fldCharType="end"/>
      </w:r>
    </w:p>
    <w:p w14:paraId="5782AFA4" w14:textId="1105812D" w:rsidR="00B63273" w:rsidRDefault="00B63273">
      <w:pPr>
        <w:pStyle w:val="TOC1"/>
        <w:tabs>
          <w:tab w:val="left" w:pos="480"/>
          <w:tab w:val="right" w:pos="9629"/>
        </w:tabs>
        <w:rPr>
          <w:rFonts w:asciiTheme="minorHAnsi" w:eastAsiaTheme="minorEastAsia" w:hAnsiTheme="minorHAnsi" w:cstheme="minorBidi"/>
          <w:b w:val="0"/>
          <w:bCs w:val="0"/>
          <w:caps w:val="0"/>
          <w:noProof/>
          <w:sz w:val="22"/>
          <w:szCs w:val="22"/>
          <w:lang w:eastAsia="zh-CN"/>
        </w:rPr>
      </w:pPr>
      <w:r>
        <w:rPr>
          <w:noProof/>
        </w:rPr>
        <w:t>2.</w:t>
      </w:r>
      <w:r>
        <w:rPr>
          <w:rFonts w:asciiTheme="minorHAnsi" w:eastAsiaTheme="minorEastAsia" w:hAnsiTheme="minorHAnsi" w:cstheme="minorBidi"/>
          <w:b w:val="0"/>
          <w:bCs w:val="0"/>
          <w:caps w:val="0"/>
          <w:noProof/>
          <w:sz w:val="22"/>
          <w:szCs w:val="22"/>
          <w:lang w:eastAsia="zh-CN"/>
        </w:rPr>
        <w:tab/>
      </w:r>
      <w:r>
        <w:rPr>
          <w:noProof/>
        </w:rPr>
        <w:t>Goal and Scope</w:t>
      </w:r>
      <w:r>
        <w:rPr>
          <w:noProof/>
        </w:rPr>
        <w:tab/>
      </w:r>
      <w:r>
        <w:rPr>
          <w:noProof/>
        </w:rPr>
        <w:fldChar w:fldCharType="begin"/>
      </w:r>
      <w:r>
        <w:rPr>
          <w:noProof/>
        </w:rPr>
        <w:instrText xml:space="preserve"> PAGEREF _Toc120111910 \h </w:instrText>
      </w:r>
      <w:r>
        <w:rPr>
          <w:noProof/>
        </w:rPr>
      </w:r>
      <w:r>
        <w:rPr>
          <w:noProof/>
        </w:rPr>
        <w:fldChar w:fldCharType="separate"/>
      </w:r>
      <w:r>
        <w:rPr>
          <w:noProof/>
        </w:rPr>
        <w:t>4</w:t>
      </w:r>
      <w:r>
        <w:rPr>
          <w:noProof/>
        </w:rPr>
        <w:fldChar w:fldCharType="end"/>
      </w:r>
    </w:p>
    <w:p w14:paraId="4B9903A4" w14:textId="2CAAFC36" w:rsidR="00B63273" w:rsidRDefault="00B63273">
      <w:pPr>
        <w:pStyle w:val="TOC1"/>
        <w:tabs>
          <w:tab w:val="left" w:pos="480"/>
          <w:tab w:val="right" w:pos="9629"/>
        </w:tabs>
        <w:rPr>
          <w:rFonts w:asciiTheme="minorHAnsi" w:eastAsiaTheme="minorEastAsia" w:hAnsiTheme="minorHAnsi" w:cstheme="minorBidi"/>
          <w:b w:val="0"/>
          <w:bCs w:val="0"/>
          <w:caps w:val="0"/>
          <w:noProof/>
          <w:sz w:val="22"/>
          <w:szCs w:val="22"/>
          <w:lang w:eastAsia="zh-CN"/>
        </w:rPr>
      </w:pPr>
      <w:r>
        <w:rPr>
          <w:noProof/>
        </w:rPr>
        <w:t>3.</w:t>
      </w:r>
      <w:r>
        <w:rPr>
          <w:rFonts w:asciiTheme="minorHAnsi" w:eastAsiaTheme="minorEastAsia" w:hAnsiTheme="minorHAnsi" w:cstheme="minorBidi"/>
          <w:b w:val="0"/>
          <w:bCs w:val="0"/>
          <w:caps w:val="0"/>
          <w:noProof/>
          <w:sz w:val="22"/>
          <w:szCs w:val="22"/>
          <w:lang w:eastAsia="zh-CN"/>
        </w:rPr>
        <w:tab/>
      </w:r>
      <w:r>
        <w:rPr>
          <w:noProof/>
        </w:rPr>
        <w:t>Life Cycle Inventory (LCI)</w:t>
      </w:r>
      <w:r>
        <w:rPr>
          <w:noProof/>
        </w:rPr>
        <w:tab/>
      </w:r>
      <w:r>
        <w:rPr>
          <w:noProof/>
        </w:rPr>
        <w:fldChar w:fldCharType="begin"/>
      </w:r>
      <w:r>
        <w:rPr>
          <w:noProof/>
        </w:rPr>
        <w:instrText xml:space="preserve"> PAGEREF _Toc120111911 \h </w:instrText>
      </w:r>
      <w:r>
        <w:rPr>
          <w:noProof/>
        </w:rPr>
      </w:r>
      <w:r>
        <w:rPr>
          <w:noProof/>
        </w:rPr>
        <w:fldChar w:fldCharType="separate"/>
      </w:r>
      <w:r>
        <w:rPr>
          <w:noProof/>
        </w:rPr>
        <w:t>5</w:t>
      </w:r>
      <w:r>
        <w:rPr>
          <w:noProof/>
        </w:rPr>
        <w:fldChar w:fldCharType="end"/>
      </w:r>
    </w:p>
    <w:p w14:paraId="482D74FB" w14:textId="0D58F10E" w:rsidR="00B63273" w:rsidRDefault="00B63273">
      <w:pPr>
        <w:pStyle w:val="TOC2"/>
        <w:tabs>
          <w:tab w:val="left" w:pos="720"/>
          <w:tab w:val="right" w:pos="9629"/>
        </w:tabs>
        <w:rPr>
          <w:rFonts w:eastAsiaTheme="minorEastAsia" w:cstheme="minorBidi"/>
          <w:b w:val="0"/>
          <w:bCs w:val="0"/>
          <w:noProof/>
          <w:sz w:val="22"/>
          <w:szCs w:val="22"/>
          <w:lang w:eastAsia="zh-CN"/>
        </w:rPr>
      </w:pPr>
      <w:r>
        <w:rPr>
          <w:noProof/>
        </w:rPr>
        <w:t>3.1.</w:t>
      </w:r>
      <w:r>
        <w:rPr>
          <w:rFonts w:eastAsiaTheme="minorEastAsia" w:cstheme="minorBidi"/>
          <w:b w:val="0"/>
          <w:bCs w:val="0"/>
          <w:noProof/>
          <w:sz w:val="22"/>
          <w:szCs w:val="22"/>
          <w:lang w:eastAsia="zh-CN"/>
        </w:rPr>
        <w:tab/>
      </w:r>
      <w:r>
        <w:rPr>
          <w:noProof/>
        </w:rPr>
        <w:t>Scope of Data</w:t>
      </w:r>
      <w:r>
        <w:rPr>
          <w:noProof/>
        </w:rPr>
        <w:tab/>
      </w:r>
      <w:r>
        <w:rPr>
          <w:noProof/>
        </w:rPr>
        <w:fldChar w:fldCharType="begin"/>
      </w:r>
      <w:r>
        <w:rPr>
          <w:noProof/>
        </w:rPr>
        <w:instrText xml:space="preserve"> PAGEREF _Toc120111912 \h </w:instrText>
      </w:r>
      <w:r>
        <w:rPr>
          <w:noProof/>
        </w:rPr>
      </w:r>
      <w:r>
        <w:rPr>
          <w:noProof/>
        </w:rPr>
        <w:fldChar w:fldCharType="separate"/>
      </w:r>
      <w:r>
        <w:rPr>
          <w:noProof/>
        </w:rPr>
        <w:t>5</w:t>
      </w:r>
      <w:r>
        <w:rPr>
          <w:noProof/>
        </w:rPr>
        <w:fldChar w:fldCharType="end"/>
      </w:r>
    </w:p>
    <w:p w14:paraId="12EDA930" w14:textId="0DCF9D76" w:rsidR="00B63273" w:rsidRDefault="00B63273">
      <w:pPr>
        <w:pStyle w:val="TOC2"/>
        <w:tabs>
          <w:tab w:val="left" w:pos="720"/>
          <w:tab w:val="right" w:pos="9629"/>
        </w:tabs>
        <w:rPr>
          <w:rFonts w:eastAsiaTheme="minorEastAsia" w:cstheme="minorBidi"/>
          <w:b w:val="0"/>
          <w:bCs w:val="0"/>
          <w:noProof/>
          <w:sz w:val="22"/>
          <w:szCs w:val="22"/>
          <w:lang w:eastAsia="zh-CN"/>
        </w:rPr>
      </w:pPr>
      <w:r>
        <w:rPr>
          <w:noProof/>
        </w:rPr>
        <w:t>3.2.</w:t>
      </w:r>
      <w:r>
        <w:rPr>
          <w:rFonts w:eastAsiaTheme="minorEastAsia" w:cstheme="minorBidi"/>
          <w:b w:val="0"/>
          <w:bCs w:val="0"/>
          <w:noProof/>
          <w:sz w:val="22"/>
          <w:szCs w:val="22"/>
          <w:lang w:eastAsia="zh-CN"/>
        </w:rPr>
        <w:tab/>
      </w:r>
      <w:r>
        <w:rPr>
          <w:noProof/>
        </w:rPr>
        <w:t>Data Selection</w:t>
      </w:r>
      <w:r>
        <w:rPr>
          <w:noProof/>
        </w:rPr>
        <w:tab/>
      </w:r>
      <w:r>
        <w:rPr>
          <w:noProof/>
        </w:rPr>
        <w:fldChar w:fldCharType="begin"/>
      </w:r>
      <w:r>
        <w:rPr>
          <w:noProof/>
        </w:rPr>
        <w:instrText xml:space="preserve"> PAGEREF _Toc120111913 \h </w:instrText>
      </w:r>
      <w:r>
        <w:rPr>
          <w:noProof/>
        </w:rPr>
      </w:r>
      <w:r>
        <w:rPr>
          <w:noProof/>
        </w:rPr>
        <w:fldChar w:fldCharType="separate"/>
      </w:r>
      <w:r>
        <w:rPr>
          <w:noProof/>
        </w:rPr>
        <w:t>8</w:t>
      </w:r>
      <w:r>
        <w:rPr>
          <w:noProof/>
        </w:rPr>
        <w:fldChar w:fldCharType="end"/>
      </w:r>
    </w:p>
    <w:p w14:paraId="42804E69" w14:textId="5A9A107E" w:rsidR="00B63273" w:rsidRDefault="00B63273">
      <w:pPr>
        <w:pStyle w:val="TOC2"/>
        <w:tabs>
          <w:tab w:val="left" w:pos="720"/>
          <w:tab w:val="right" w:pos="9629"/>
        </w:tabs>
        <w:rPr>
          <w:rFonts w:eastAsiaTheme="minorEastAsia" w:cstheme="minorBidi"/>
          <w:b w:val="0"/>
          <w:bCs w:val="0"/>
          <w:noProof/>
          <w:sz w:val="22"/>
          <w:szCs w:val="22"/>
          <w:lang w:eastAsia="zh-CN"/>
        </w:rPr>
      </w:pPr>
      <w:r>
        <w:rPr>
          <w:noProof/>
        </w:rPr>
        <w:t>3.3.</w:t>
      </w:r>
      <w:r>
        <w:rPr>
          <w:rFonts w:eastAsiaTheme="minorEastAsia" w:cstheme="minorBidi"/>
          <w:b w:val="0"/>
          <w:bCs w:val="0"/>
          <w:noProof/>
          <w:sz w:val="22"/>
          <w:szCs w:val="22"/>
          <w:lang w:eastAsia="zh-CN"/>
        </w:rPr>
        <w:tab/>
      </w:r>
      <w:r>
        <w:rPr>
          <w:noProof/>
        </w:rPr>
        <w:t>Reference Flow and Allocation</w:t>
      </w:r>
      <w:r>
        <w:rPr>
          <w:noProof/>
        </w:rPr>
        <w:tab/>
      </w:r>
      <w:r>
        <w:rPr>
          <w:noProof/>
        </w:rPr>
        <w:fldChar w:fldCharType="begin"/>
      </w:r>
      <w:r>
        <w:rPr>
          <w:noProof/>
        </w:rPr>
        <w:instrText xml:space="preserve"> PAGEREF _Toc120111914 \h </w:instrText>
      </w:r>
      <w:r>
        <w:rPr>
          <w:noProof/>
        </w:rPr>
      </w:r>
      <w:r>
        <w:rPr>
          <w:noProof/>
        </w:rPr>
        <w:fldChar w:fldCharType="separate"/>
      </w:r>
      <w:r>
        <w:rPr>
          <w:noProof/>
        </w:rPr>
        <w:t>9</w:t>
      </w:r>
      <w:r>
        <w:rPr>
          <w:noProof/>
        </w:rPr>
        <w:fldChar w:fldCharType="end"/>
      </w:r>
    </w:p>
    <w:p w14:paraId="4F4CDFEB" w14:textId="69A2D8C2" w:rsidR="00B63273" w:rsidRDefault="00B63273">
      <w:pPr>
        <w:pStyle w:val="TOC2"/>
        <w:tabs>
          <w:tab w:val="left" w:pos="720"/>
          <w:tab w:val="right" w:pos="9629"/>
        </w:tabs>
        <w:rPr>
          <w:rFonts w:eastAsiaTheme="minorEastAsia" w:cstheme="minorBidi"/>
          <w:b w:val="0"/>
          <w:bCs w:val="0"/>
          <w:noProof/>
          <w:sz w:val="22"/>
          <w:szCs w:val="22"/>
          <w:lang w:eastAsia="zh-CN"/>
        </w:rPr>
      </w:pPr>
      <w:r>
        <w:rPr>
          <w:noProof/>
        </w:rPr>
        <w:t>3.4.</w:t>
      </w:r>
      <w:r>
        <w:rPr>
          <w:rFonts w:eastAsiaTheme="minorEastAsia" w:cstheme="minorBidi"/>
          <w:b w:val="0"/>
          <w:bCs w:val="0"/>
          <w:noProof/>
          <w:sz w:val="22"/>
          <w:szCs w:val="22"/>
          <w:lang w:eastAsia="zh-CN"/>
        </w:rPr>
        <w:tab/>
      </w:r>
      <w:r>
        <w:rPr>
          <w:noProof/>
        </w:rPr>
        <w:t>Primary Aluminium Production Mass Balance</w:t>
      </w:r>
      <w:r>
        <w:rPr>
          <w:noProof/>
        </w:rPr>
        <w:tab/>
      </w:r>
      <w:r>
        <w:rPr>
          <w:noProof/>
        </w:rPr>
        <w:fldChar w:fldCharType="begin"/>
      </w:r>
      <w:r>
        <w:rPr>
          <w:noProof/>
        </w:rPr>
        <w:instrText xml:space="preserve"> PAGEREF _Toc120111915 \h </w:instrText>
      </w:r>
      <w:r>
        <w:rPr>
          <w:noProof/>
        </w:rPr>
      </w:r>
      <w:r>
        <w:rPr>
          <w:noProof/>
        </w:rPr>
        <w:fldChar w:fldCharType="separate"/>
      </w:r>
      <w:r>
        <w:rPr>
          <w:noProof/>
        </w:rPr>
        <w:t>9</w:t>
      </w:r>
      <w:r>
        <w:rPr>
          <w:noProof/>
        </w:rPr>
        <w:fldChar w:fldCharType="end"/>
      </w:r>
    </w:p>
    <w:p w14:paraId="5337290A" w14:textId="76C90F79" w:rsidR="00B63273" w:rsidRDefault="00B63273">
      <w:pPr>
        <w:pStyle w:val="TOC2"/>
        <w:tabs>
          <w:tab w:val="left" w:pos="720"/>
          <w:tab w:val="right" w:pos="9629"/>
        </w:tabs>
        <w:rPr>
          <w:rFonts w:eastAsiaTheme="minorEastAsia" w:cstheme="minorBidi"/>
          <w:b w:val="0"/>
          <w:bCs w:val="0"/>
          <w:noProof/>
          <w:sz w:val="22"/>
          <w:szCs w:val="22"/>
          <w:lang w:eastAsia="zh-CN"/>
        </w:rPr>
      </w:pPr>
      <w:r>
        <w:rPr>
          <w:noProof/>
        </w:rPr>
        <w:t>3.5.</w:t>
      </w:r>
      <w:r>
        <w:rPr>
          <w:rFonts w:eastAsiaTheme="minorEastAsia" w:cstheme="minorBidi"/>
          <w:b w:val="0"/>
          <w:bCs w:val="0"/>
          <w:noProof/>
          <w:sz w:val="22"/>
          <w:szCs w:val="22"/>
          <w:lang w:eastAsia="zh-CN"/>
        </w:rPr>
        <w:tab/>
      </w:r>
      <w:r>
        <w:rPr>
          <w:noProof/>
        </w:rPr>
        <w:t>Geographic System Boundary</w:t>
      </w:r>
      <w:r>
        <w:rPr>
          <w:noProof/>
        </w:rPr>
        <w:tab/>
      </w:r>
      <w:r>
        <w:rPr>
          <w:noProof/>
        </w:rPr>
        <w:fldChar w:fldCharType="begin"/>
      </w:r>
      <w:r>
        <w:rPr>
          <w:noProof/>
        </w:rPr>
        <w:instrText xml:space="preserve"> PAGEREF _Toc120111916 \h </w:instrText>
      </w:r>
      <w:r>
        <w:rPr>
          <w:noProof/>
        </w:rPr>
      </w:r>
      <w:r>
        <w:rPr>
          <w:noProof/>
        </w:rPr>
        <w:fldChar w:fldCharType="separate"/>
      </w:r>
      <w:r>
        <w:rPr>
          <w:noProof/>
        </w:rPr>
        <w:t>10</w:t>
      </w:r>
      <w:r>
        <w:rPr>
          <w:noProof/>
        </w:rPr>
        <w:fldChar w:fldCharType="end"/>
      </w:r>
    </w:p>
    <w:p w14:paraId="062E4957" w14:textId="084DC405" w:rsidR="00B63273" w:rsidRDefault="00B63273">
      <w:pPr>
        <w:pStyle w:val="TOC2"/>
        <w:tabs>
          <w:tab w:val="left" w:pos="720"/>
          <w:tab w:val="right" w:pos="9629"/>
        </w:tabs>
        <w:rPr>
          <w:rFonts w:eastAsiaTheme="minorEastAsia" w:cstheme="minorBidi"/>
          <w:b w:val="0"/>
          <w:bCs w:val="0"/>
          <w:noProof/>
          <w:sz w:val="22"/>
          <w:szCs w:val="22"/>
          <w:lang w:eastAsia="zh-CN"/>
        </w:rPr>
      </w:pPr>
      <w:r>
        <w:rPr>
          <w:noProof/>
        </w:rPr>
        <w:t>3.6.</w:t>
      </w:r>
      <w:r>
        <w:rPr>
          <w:rFonts w:eastAsiaTheme="minorEastAsia" w:cstheme="minorBidi"/>
          <w:b w:val="0"/>
          <w:bCs w:val="0"/>
          <w:noProof/>
          <w:sz w:val="22"/>
          <w:szCs w:val="22"/>
          <w:lang w:eastAsia="zh-CN"/>
        </w:rPr>
        <w:tab/>
      </w:r>
      <w:r>
        <w:rPr>
          <w:noProof/>
        </w:rPr>
        <w:t>Data Collection</w:t>
      </w:r>
      <w:r>
        <w:rPr>
          <w:noProof/>
        </w:rPr>
        <w:tab/>
      </w:r>
      <w:r>
        <w:rPr>
          <w:noProof/>
        </w:rPr>
        <w:fldChar w:fldCharType="begin"/>
      </w:r>
      <w:r>
        <w:rPr>
          <w:noProof/>
        </w:rPr>
        <w:instrText xml:space="preserve"> PAGEREF _Toc120111917 \h </w:instrText>
      </w:r>
      <w:r>
        <w:rPr>
          <w:noProof/>
        </w:rPr>
      </w:r>
      <w:r>
        <w:rPr>
          <w:noProof/>
        </w:rPr>
        <w:fldChar w:fldCharType="separate"/>
      </w:r>
      <w:r>
        <w:rPr>
          <w:noProof/>
        </w:rPr>
        <w:t>10</w:t>
      </w:r>
      <w:r>
        <w:rPr>
          <w:noProof/>
        </w:rPr>
        <w:fldChar w:fldCharType="end"/>
      </w:r>
    </w:p>
    <w:p w14:paraId="38C046E1" w14:textId="71B8ED44" w:rsidR="00B63273" w:rsidRDefault="00B63273">
      <w:pPr>
        <w:pStyle w:val="TOC2"/>
        <w:tabs>
          <w:tab w:val="left" w:pos="720"/>
          <w:tab w:val="right" w:pos="9629"/>
        </w:tabs>
        <w:rPr>
          <w:rFonts w:eastAsiaTheme="minorEastAsia" w:cstheme="minorBidi"/>
          <w:b w:val="0"/>
          <w:bCs w:val="0"/>
          <w:noProof/>
          <w:sz w:val="22"/>
          <w:szCs w:val="22"/>
          <w:lang w:eastAsia="zh-CN"/>
        </w:rPr>
      </w:pPr>
      <w:r>
        <w:rPr>
          <w:noProof/>
        </w:rPr>
        <w:t>3.7.</w:t>
      </w:r>
      <w:r>
        <w:rPr>
          <w:rFonts w:eastAsiaTheme="minorEastAsia" w:cstheme="minorBidi"/>
          <w:b w:val="0"/>
          <w:bCs w:val="0"/>
          <w:noProof/>
          <w:sz w:val="22"/>
          <w:szCs w:val="22"/>
          <w:lang w:eastAsia="zh-CN"/>
        </w:rPr>
        <w:tab/>
      </w:r>
      <w:r>
        <w:rPr>
          <w:noProof/>
        </w:rPr>
        <w:t>Survey Coverage</w:t>
      </w:r>
      <w:r>
        <w:rPr>
          <w:noProof/>
        </w:rPr>
        <w:tab/>
      </w:r>
      <w:r>
        <w:rPr>
          <w:noProof/>
        </w:rPr>
        <w:fldChar w:fldCharType="begin"/>
      </w:r>
      <w:r>
        <w:rPr>
          <w:noProof/>
        </w:rPr>
        <w:instrText xml:space="preserve"> PAGEREF _Toc120111918 \h </w:instrText>
      </w:r>
      <w:r>
        <w:rPr>
          <w:noProof/>
        </w:rPr>
      </w:r>
      <w:r>
        <w:rPr>
          <w:noProof/>
        </w:rPr>
        <w:fldChar w:fldCharType="separate"/>
      </w:r>
      <w:r>
        <w:rPr>
          <w:noProof/>
        </w:rPr>
        <w:t>11</w:t>
      </w:r>
      <w:r>
        <w:rPr>
          <w:noProof/>
        </w:rPr>
        <w:fldChar w:fldCharType="end"/>
      </w:r>
    </w:p>
    <w:p w14:paraId="436BE906" w14:textId="5DC7747B" w:rsidR="00B63273" w:rsidRDefault="00B63273">
      <w:pPr>
        <w:pStyle w:val="TOC2"/>
        <w:tabs>
          <w:tab w:val="left" w:pos="720"/>
          <w:tab w:val="right" w:pos="9629"/>
        </w:tabs>
        <w:rPr>
          <w:rFonts w:eastAsiaTheme="minorEastAsia" w:cstheme="minorBidi"/>
          <w:b w:val="0"/>
          <w:bCs w:val="0"/>
          <w:noProof/>
          <w:sz w:val="22"/>
          <w:szCs w:val="22"/>
          <w:lang w:eastAsia="zh-CN"/>
        </w:rPr>
      </w:pPr>
      <w:r>
        <w:rPr>
          <w:noProof/>
        </w:rPr>
        <w:t>3.8.</w:t>
      </w:r>
      <w:r>
        <w:rPr>
          <w:rFonts w:eastAsiaTheme="minorEastAsia" w:cstheme="minorBidi"/>
          <w:b w:val="0"/>
          <w:bCs w:val="0"/>
          <w:noProof/>
          <w:sz w:val="22"/>
          <w:szCs w:val="22"/>
          <w:lang w:eastAsia="zh-CN"/>
        </w:rPr>
        <w:tab/>
      </w:r>
      <w:r>
        <w:rPr>
          <w:noProof/>
        </w:rPr>
        <w:t>Technology Coverage</w:t>
      </w:r>
      <w:r>
        <w:rPr>
          <w:noProof/>
        </w:rPr>
        <w:tab/>
      </w:r>
      <w:r>
        <w:rPr>
          <w:noProof/>
        </w:rPr>
        <w:fldChar w:fldCharType="begin"/>
      </w:r>
      <w:r>
        <w:rPr>
          <w:noProof/>
        </w:rPr>
        <w:instrText xml:space="preserve"> PAGEREF _Toc120111919 \h </w:instrText>
      </w:r>
      <w:r>
        <w:rPr>
          <w:noProof/>
        </w:rPr>
      </w:r>
      <w:r>
        <w:rPr>
          <w:noProof/>
        </w:rPr>
        <w:fldChar w:fldCharType="separate"/>
      </w:r>
      <w:r>
        <w:rPr>
          <w:noProof/>
        </w:rPr>
        <w:t>12</w:t>
      </w:r>
      <w:r>
        <w:rPr>
          <w:noProof/>
        </w:rPr>
        <w:fldChar w:fldCharType="end"/>
      </w:r>
    </w:p>
    <w:p w14:paraId="1DD7695E" w14:textId="6C7C554E" w:rsidR="00B63273" w:rsidRDefault="00B63273">
      <w:pPr>
        <w:pStyle w:val="TOC2"/>
        <w:tabs>
          <w:tab w:val="left" w:pos="720"/>
          <w:tab w:val="right" w:pos="9629"/>
        </w:tabs>
        <w:rPr>
          <w:rFonts w:eastAsiaTheme="minorEastAsia" w:cstheme="minorBidi"/>
          <w:b w:val="0"/>
          <w:bCs w:val="0"/>
          <w:noProof/>
          <w:sz w:val="22"/>
          <w:szCs w:val="22"/>
          <w:lang w:eastAsia="zh-CN"/>
        </w:rPr>
      </w:pPr>
      <w:r>
        <w:rPr>
          <w:noProof/>
        </w:rPr>
        <w:t>3.9.</w:t>
      </w:r>
      <w:r>
        <w:rPr>
          <w:rFonts w:eastAsiaTheme="minorEastAsia" w:cstheme="minorBidi"/>
          <w:b w:val="0"/>
          <w:bCs w:val="0"/>
          <w:noProof/>
          <w:sz w:val="22"/>
          <w:szCs w:val="22"/>
          <w:lang w:eastAsia="zh-CN"/>
        </w:rPr>
        <w:tab/>
      </w:r>
      <w:r>
        <w:rPr>
          <w:noProof/>
        </w:rPr>
        <w:t>Assumptions for Non-Reporting Production</w:t>
      </w:r>
      <w:r>
        <w:rPr>
          <w:noProof/>
        </w:rPr>
        <w:tab/>
      </w:r>
      <w:r>
        <w:rPr>
          <w:noProof/>
        </w:rPr>
        <w:fldChar w:fldCharType="begin"/>
      </w:r>
      <w:r>
        <w:rPr>
          <w:noProof/>
        </w:rPr>
        <w:instrText xml:space="preserve"> PAGEREF _Toc120111920 \h </w:instrText>
      </w:r>
      <w:r>
        <w:rPr>
          <w:noProof/>
        </w:rPr>
      </w:r>
      <w:r>
        <w:rPr>
          <w:noProof/>
        </w:rPr>
        <w:fldChar w:fldCharType="separate"/>
      </w:r>
      <w:r>
        <w:rPr>
          <w:noProof/>
        </w:rPr>
        <w:t>13</w:t>
      </w:r>
      <w:r>
        <w:rPr>
          <w:noProof/>
        </w:rPr>
        <w:fldChar w:fldCharType="end"/>
      </w:r>
    </w:p>
    <w:p w14:paraId="6BF1FAFC" w14:textId="472CC913" w:rsidR="00B63273" w:rsidRDefault="00B63273">
      <w:pPr>
        <w:pStyle w:val="TOC2"/>
        <w:tabs>
          <w:tab w:val="left" w:pos="720"/>
          <w:tab w:val="right" w:pos="9629"/>
        </w:tabs>
        <w:rPr>
          <w:rFonts w:eastAsiaTheme="minorEastAsia" w:cstheme="minorBidi"/>
          <w:b w:val="0"/>
          <w:bCs w:val="0"/>
          <w:noProof/>
          <w:sz w:val="22"/>
          <w:szCs w:val="22"/>
          <w:lang w:eastAsia="zh-CN"/>
        </w:rPr>
      </w:pPr>
      <w:r>
        <w:rPr>
          <w:noProof/>
        </w:rPr>
        <w:t>3.10.</w:t>
      </w:r>
      <w:r>
        <w:rPr>
          <w:rFonts w:eastAsiaTheme="minorEastAsia" w:cstheme="minorBidi"/>
          <w:b w:val="0"/>
          <w:bCs w:val="0"/>
          <w:noProof/>
          <w:sz w:val="22"/>
          <w:szCs w:val="22"/>
          <w:lang w:eastAsia="zh-CN"/>
        </w:rPr>
        <w:tab/>
      </w:r>
      <w:r>
        <w:rPr>
          <w:noProof/>
        </w:rPr>
        <w:t>Data Analysis</w:t>
      </w:r>
      <w:r>
        <w:rPr>
          <w:noProof/>
        </w:rPr>
        <w:tab/>
      </w:r>
      <w:r>
        <w:rPr>
          <w:noProof/>
        </w:rPr>
        <w:fldChar w:fldCharType="begin"/>
      </w:r>
      <w:r>
        <w:rPr>
          <w:noProof/>
        </w:rPr>
        <w:instrText xml:space="preserve"> PAGEREF _Toc120111921 \h </w:instrText>
      </w:r>
      <w:r>
        <w:rPr>
          <w:noProof/>
        </w:rPr>
      </w:r>
      <w:r>
        <w:rPr>
          <w:noProof/>
        </w:rPr>
        <w:fldChar w:fldCharType="separate"/>
      </w:r>
      <w:r>
        <w:rPr>
          <w:noProof/>
        </w:rPr>
        <w:t>13</w:t>
      </w:r>
      <w:r>
        <w:rPr>
          <w:noProof/>
        </w:rPr>
        <w:fldChar w:fldCharType="end"/>
      </w:r>
    </w:p>
    <w:p w14:paraId="3D368C75" w14:textId="6B1624FE" w:rsidR="00B63273" w:rsidRDefault="00B63273">
      <w:pPr>
        <w:pStyle w:val="TOC3"/>
        <w:tabs>
          <w:tab w:val="left" w:pos="1200"/>
          <w:tab w:val="right" w:pos="9629"/>
        </w:tabs>
        <w:rPr>
          <w:rFonts w:eastAsiaTheme="minorEastAsia" w:cstheme="minorBidi"/>
          <w:noProof/>
          <w:sz w:val="22"/>
          <w:szCs w:val="22"/>
          <w:lang w:eastAsia="zh-CN"/>
        </w:rPr>
      </w:pPr>
      <w:r>
        <w:rPr>
          <w:noProof/>
        </w:rPr>
        <w:t>3.10.1.</w:t>
      </w:r>
      <w:r>
        <w:rPr>
          <w:rFonts w:eastAsiaTheme="minorEastAsia" w:cstheme="minorBidi"/>
          <w:noProof/>
          <w:sz w:val="22"/>
          <w:szCs w:val="22"/>
          <w:lang w:eastAsia="zh-CN"/>
        </w:rPr>
        <w:tab/>
      </w:r>
      <w:r>
        <w:rPr>
          <w:noProof/>
        </w:rPr>
        <w:t>Data Quality</w:t>
      </w:r>
      <w:r>
        <w:rPr>
          <w:noProof/>
        </w:rPr>
        <w:tab/>
      </w:r>
      <w:r>
        <w:rPr>
          <w:noProof/>
        </w:rPr>
        <w:fldChar w:fldCharType="begin"/>
      </w:r>
      <w:r>
        <w:rPr>
          <w:noProof/>
        </w:rPr>
        <w:instrText xml:space="preserve"> PAGEREF _Toc120111922 \h </w:instrText>
      </w:r>
      <w:r>
        <w:rPr>
          <w:noProof/>
        </w:rPr>
      </w:r>
      <w:r>
        <w:rPr>
          <w:noProof/>
        </w:rPr>
        <w:fldChar w:fldCharType="separate"/>
      </w:r>
      <w:r>
        <w:rPr>
          <w:noProof/>
        </w:rPr>
        <w:t>13</w:t>
      </w:r>
      <w:r>
        <w:rPr>
          <w:noProof/>
        </w:rPr>
        <w:fldChar w:fldCharType="end"/>
      </w:r>
    </w:p>
    <w:p w14:paraId="70B74888" w14:textId="75BBA34B" w:rsidR="00B63273" w:rsidRDefault="00B63273">
      <w:pPr>
        <w:pStyle w:val="TOC3"/>
        <w:tabs>
          <w:tab w:val="left" w:pos="1200"/>
          <w:tab w:val="right" w:pos="9629"/>
        </w:tabs>
        <w:rPr>
          <w:rFonts w:eastAsiaTheme="minorEastAsia" w:cstheme="minorBidi"/>
          <w:noProof/>
          <w:sz w:val="22"/>
          <w:szCs w:val="22"/>
          <w:lang w:eastAsia="zh-CN"/>
        </w:rPr>
      </w:pPr>
      <w:r>
        <w:rPr>
          <w:noProof/>
        </w:rPr>
        <w:t>3.10.2.</w:t>
      </w:r>
      <w:r>
        <w:rPr>
          <w:rFonts w:eastAsiaTheme="minorEastAsia" w:cstheme="minorBidi"/>
          <w:noProof/>
          <w:sz w:val="22"/>
          <w:szCs w:val="22"/>
          <w:lang w:eastAsia="zh-CN"/>
        </w:rPr>
        <w:tab/>
      </w:r>
      <w:r>
        <w:rPr>
          <w:noProof/>
        </w:rPr>
        <w:t>Averaging</w:t>
      </w:r>
      <w:r>
        <w:rPr>
          <w:noProof/>
        </w:rPr>
        <w:tab/>
      </w:r>
      <w:r>
        <w:rPr>
          <w:noProof/>
        </w:rPr>
        <w:fldChar w:fldCharType="begin"/>
      </w:r>
      <w:r>
        <w:rPr>
          <w:noProof/>
        </w:rPr>
        <w:instrText xml:space="preserve"> PAGEREF _Toc120111923 \h </w:instrText>
      </w:r>
      <w:r>
        <w:rPr>
          <w:noProof/>
        </w:rPr>
      </w:r>
      <w:r>
        <w:rPr>
          <w:noProof/>
        </w:rPr>
        <w:fldChar w:fldCharType="separate"/>
      </w:r>
      <w:r>
        <w:rPr>
          <w:noProof/>
        </w:rPr>
        <w:t>13</w:t>
      </w:r>
      <w:r>
        <w:rPr>
          <w:noProof/>
        </w:rPr>
        <w:fldChar w:fldCharType="end"/>
      </w:r>
    </w:p>
    <w:p w14:paraId="4266760D" w14:textId="54641830" w:rsidR="00B63273" w:rsidRDefault="00B63273">
      <w:pPr>
        <w:pStyle w:val="TOC4"/>
        <w:tabs>
          <w:tab w:val="left" w:pos="1440"/>
          <w:tab w:val="right" w:pos="9629"/>
        </w:tabs>
        <w:rPr>
          <w:rFonts w:eastAsiaTheme="minorEastAsia" w:cstheme="minorBidi"/>
          <w:noProof/>
          <w:sz w:val="22"/>
          <w:szCs w:val="22"/>
          <w:lang w:eastAsia="zh-CN"/>
        </w:rPr>
      </w:pPr>
      <w:r>
        <w:rPr>
          <w:noProof/>
        </w:rPr>
        <w:t>3.10.2.1.</w:t>
      </w:r>
      <w:r>
        <w:rPr>
          <w:rFonts w:eastAsiaTheme="minorEastAsia" w:cstheme="minorBidi"/>
          <w:noProof/>
          <w:sz w:val="22"/>
          <w:szCs w:val="22"/>
          <w:lang w:eastAsia="zh-CN"/>
        </w:rPr>
        <w:tab/>
      </w:r>
      <w:r>
        <w:rPr>
          <w:noProof/>
        </w:rPr>
        <w:t>Production Weighted Mean</w:t>
      </w:r>
      <w:r>
        <w:rPr>
          <w:noProof/>
        </w:rPr>
        <w:tab/>
      </w:r>
      <w:r>
        <w:rPr>
          <w:noProof/>
        </w:rPr>
        <w:fldChar w:fldCharType="begin"/>
      </w:r>
      <w:r>
        <w:rPr>
          <w:noProof/>
        </w:rPr>
        <w:instrText xml:space="preserve"> PAGEREF _Toc120111924 \h </w:instrText>
      </w:r>
      <w:r>
        <w:rPr>
          <w:noProof/>
        </w:rPr>
      </w:r>
      <w:r>
        <w:rPr>
          <w:noProof/>
        </w:rPr>
        <w:fldChar w:fldCharType="separate"/>
      </w:r>
      <w:r>
        <w:rPr>
          <w:noProof/>
        </w:rPr>
        <w:t>13</w:t>
      </w:r>
      <w:r>
        <w:rPr>
          <w:noProof/>
        </w:rPr>
        <w:fldChar w:fldCharType="end"/>
      </w:r>
    </w:p>
    <w:p w14:paraId="6FCBB93F" w14:textId="6E2BAC5E" w:rsidR="00B63273" w:rsidRDefault="00B63273">
      <w:pPr>
        <w:pStyle w:val="TOC4"/>
        <w:tabs>
          <w:tab w:val="left" w:pos="1440"/>
          <w:tab w:val="right" w:pos="9629"/>
        </w:tabs>
        <w:rPr>
          <w:rFonts w:eastAsiaTheme="minorEastAsia" w:cstheme="minorBidi"/>
          <w:noProof/>
          <w:sz w:val="22"/>
          <w:szCs w:val="22"/>
          <w:lang w:eastAsia="zh-CN"/>
        </w:rPr>
      </w:pPr>
      <w:r>
        <w:rPr>
          <w:noProof/>
        </w:rPr>
        <w:t>3.10.2.2.</w:t>
      </w:r>
      <w:r>
        <w:rPr>
          <w:rFonts w:eastAsiaTheme="minorEastAsia" w:cstheme="minorBidi"/>
          <w:noProof/>
          <w:sz w:val="22"/>
          <w:szCs w:val="22"/>
          <w:lang w:eastAsia="zh-CN"/>
        </w:rPr>
        <w:tab/>
      </w:r>
      <w:r>
        <w:rPr>
          <w:noProof/>
        </w:rPr>
        <w:t>Aluminium Weighted Mean</w:t>
      </w:r>
      <w:r>
        <w:rPr>
          <w:noProof/>
        </w:rPr>
        <w:tab/>
      </w:r>
      <w:r>
        <w:rPr>
          <w:noProof/>
        </w:rPr>
        <w:fldChar w:fldCharType="begin"/>
      </w:r>
      <w:r>
        <w:rPr>
          <w:noProof/>
        </w:rPr>
        <w:instrText xml:space="preserve"> PAGEREF _Toc120111925 \h </w:instrText>
      </w:r>
      <w:r>
        <w:rPr>
          <w:noProof/>
        </w:rPr>
      </w:r>
      <w:r>
        <w:rPr>
          <w:noProof/>
        </w:rPr>
        <w:fldChar w:fldCharType="separate"/>
      </w:r>
      <w:r>
        <w:rPr>
          <w:noProof/>
        </w:rPr>
        <w:t>14</w:t>
      </w:r>
      <w:r>
        <w:rPr>
          <w:noProof/>
        </w:rPr>
        <w:fldChar w:fldCharType="end"/>
      </w:r>
    </w:p>
    <w:p w14:paraId="758E8EA2" w14:textId="499FFCFE" w:rsidR="00B63273" w:rsidRDefault="00B63273">
      <w:pPr>
        <w:pStyle w:val="TOC2"/>
        <w:tabs>
          <w:tab w:val="left" w:pos="720"/>
          <w:tab w:val="right" w:pos="9629"/>
        </w:tabs>
        <w:rPr>
          <w:rFonts w:eastAsiaTheme="minorEastAsia" w:cstheme="minorBidi"/>
          <w:b w:val="0"/>
          <w:bCs w:val="0"/>
          <w:noProof/>
          <w:sz w:val="22"/>
          <w:szCs w:val="22"/>
          <w:lang w:eastAsia="zh-CN"/>
        </w:rPr>
      </w:pPr>
      <w:r>
        <w:rPr>
          <w:noProof/>
        </w:rPr>
        <w:t>3.11.</w:t>
      </w:r>
      <w:r>
        <w:rPr>
          <w:rFonts w:eastAsiaTheme="minorEastAsia" w:cstheme="minorBidi"/>
          <w:b w:val="0"/>
          <w:bCs w:val="0"/>
          <w:noProof/>
          <w:sz w:val="22"/>
          <w:szCs w:val="22"/>
          <w:lang w:eastAsia="zh-CN"/>
        </w:rPr>
        <w:tab/>
      </w:r>
      <w:r>
        <w:rPr>
          <w:noProof/>
        </w:rPr>
        <w:t>Changes in Inventory Data from 2015 to 2019</w:t>
      </w:r>
      <w:r>
        <w:rPr>
          <w:noProof/>
        </w:rPr>
        <w:tab/>
      </w:r>
      <w:r>
        <w:rPr>
          <w:noProof/>
        </w:rPr>
        <w:fldChar w:fldCharType="begin"/>
      </w:r>
      <w:r>
        <w:rPr>
          <w:noProof/>
        </w:rPr>
        <w:instrText xml:space="preserve"> PAGEREF _Toc120111926 \h </w:instrText>
      </w:r>
      <w:r>
        <w:rPr>
          <w:noProof/>
        </w:rPr>
      </w:r>
      <w:r>
        <w:rPr>
          <w:noProof/>
        </w:rPr>
        <w:fldChar w:fldCharType="separate"/>
      </w:r>
      <w:r>
        <w:rPr>
          <w:noProof/>
        </w:rPr>
        <w:t>14</w:t>
      </w:r>
      <w:r>
        <w:rPr>
          <w:noProof/>
        </w:rPr>
        <w:fldChar w:fldCharType="end"/>
      </w:r>
    </w:p>
    <w:p w14:paraId="7902DAA7" w14:textId="58313996" w:rsidR="00B63273" w:rsidRDefault="00B63273">
      <w:pPr>
        <w:pStyle w:val="TOC3"/>
        <w:tabs>
          <w:tab w:val="left" w:pos="1200"/>
          <w:tab w:val="right" w:pos="9629"/>
        </w:tabs>
        <w:rPr>
          <w:rFonts w:eastAsiaTheme="minorEastAsia" w:cstheme="minorBidi"/>
          <w:noProof/>
          <w:sz w:val="22"/>
          <w:szCs w:val="22"/>
          <w:lang w:eastAsia="zh-CN"/>
        </w:rPr>
      </w:pPr>
      <w:r>
        <w:rPr>
          <w:noProof/>
        </w:rPr>
        <w:t>3.11.1.</w:t>
      </w:r>
      <w:r>
        <w:rPr>
          <w:rFonts w:eastAsiaTheme="minorEastAsia" w:cstheme="minorBidi"/>
          <w:noProof/>
          <w:sz w:val="22"/>
          <w:szCs w:val="22"/>
          <w:lang w:eastAsia="zh-CN"/>
        </w:rPr>
        <w:tab/>
      </w:r>
      <w:r>
        <w:rPr>
          <w:noProof/>
        </w:rPr>
        <w:t>Bauxite Mining</w:t>
      </w:r>
      <w:r>
        <w:rPr>
          <w:noProof/>
        </w:rPr>
        <w:tab/>
      </w:r>
      <w:r>
        <w:rPr>
          <w:noProof/>
        </w:rPr>
        <w:fldChar w:fldCharType="begin"/>
      </w:r>
      <w:r>
        <w:rPr>
          <w:noProof/>
        </w:rPr>
        <w:instrText xml:space="preserve"> PAGEREF _Toc120111927 \h </w:instrText>
      </w:r>
      <w:r>
        <w:rPr>
          <w:noProof/>
        </w:rPr>
      </w:r>
      <w:r>
        <w:rPr>
          <w:noProof/>
        </w:rPr>
        <w:fldChar w:fldCharType="separate"/>
      </w:r>
      <w:r>
        <w:rPr>
          <w:noProof/>
        </w:rPr>
        <w:t>15</w:t>
      </w:r>
      <w:r>
        <w:rPr>
          <w:noProof/>
        </w:rPr>
        <w:fldChar w:fldCharType="end"/>
      </w:r>
    </w:p>
    <w:p w14:paraId="7D8B37F8" w14:textId="1218C927" w:rsidR="00B63273" w:rsidRDefault="00B63273">
      <w:pPr>
        <w:pStyle w:val="TOC4"/>
        <w:tabs>
          <w:tab w:val="left" w:pos="1440"/>
          <w:tab w:val="right" w:pos="9629"/>
        </w:tabs>
        <w:rPr>
          <w:rFonts w:eastAsiaTheme="minorEastAsia" w:cstheme="minorBidi"/>
          <w:noProof/>
          <w:sz w:val="22"/>
          <w:szCs w:val="22"/>
          <w:lang w:eastAsia="zh-CN"/>
        </w:rPr>
      </w:pPr>
      <w:r>
        <w:rPr>
          <w:noProof/>
        </w:rPr>
        <w:t>3.11.1.1.</w:t>
      </w:r>
      <w:r>
        <w:rPr>
          <w:rFonts w:eastAsiaTheme="minorEastAsia" w:cstheme="minorBidi"/>
          <w:noProof/>
          <w:sz w:val="22"/>
          <w:szCs w:val="22"/>
          <w:lang w:eastAsia="zh-CN"/>
        </w:rPr>
        <w:tab/>
      </w:r>
      <w:r>
        <w:rPr>
          <w:noProof/>
        </w:rPr>
        <w:t>Data Driven Differences</w:t>
      </w:r>
      <w:r>
        <w:rPr>
          <w:noProof/>
        </w:rPr>
        <w:tab/>
      </w:r>
      <w:r>
        <w:rPr>
          <w:noProof/>
        </w:rPr>
        <w:fldChar w:fldCharType="begin"/>
      </w:r>
      <w:r>
        <w:rPr>
          <w:noProof/>
        </w:rPr>
        <w:instrText xml:space="preserve"> PAGEREF _Toc120111928 \h </w:instrText>
      </w:r>
      <w:r>
        <w:rPr>
          <w:noProof/>
        </w:rPr>
      </w:r>
      <w:r>
        <w:rPr>
          <w:noProof/>
        </w:rPr>
        <w:fldChar w:fldCharType="separate"/>
      </w:r>
      <w:r>
        <w:rPr>
          <w:noProof/>
        </w:rPr>
        <w:t>15</w:t>
      </w:r>
      <w:r>
        <w:rPr>
          <w:noProof/>
        </w:rPr>
        <w:fldChar w:fldCharType="end"/>
      </w:r>
    </w:p>
    <w:p w14:paraId="60EF164F" w14:textId="4B6DD008" w:rsidR="00B63273" w:rsidRDefault="00B63273">
      <w:pPr>
        <w:pStyle w:val="TOC4"/>
        <w:tabs>
          <w:tab w:val="left" w:pos="1440"/>
          <w:tab w:val="right" w:pos="9629"/>
        </w:tabs>
        <w:rPr>
          <w:rFonts w:eastAsiaTheme="minorEastAsia" w:cstheme="minorBidi"/>
          <w:noProof/>
          <w:sz w:val="22"/>
          <w:szCs w:val="22"/>
          <w:lang w:eastAsia="zh-CN"/>
        </w:rPr>
      </w:pPr>
      <w:r>
        <w:rPr>
          <w:noProof/>
        </w:rPr>
        <w:t>3.11.1.2.</w:t>
      </w:r>
      <w:r>
        <w:rPr>
          <w:rFonts w:eastAsiaTheme="minorEastAsia" w:cstheme="minorBidi"/>
          <w:noProof/>
          <w:sz w:val="22"/>
          <w:szCs w:val="22"/>
          <w:lang w:eastAsia="zh-CN"/>
        </w:rPr>
        <w:tab/>
      </w:r>
      <w:r>
        <w:rPr>
          <w:noProof/>
        </w:rPr>
        <w:t>Performance Driven Differences</w:t>
      </w:r>
      <w:r>
        <w:rPr>
          <w:noProof/>
        </w:rPr>
        <w:tab/>
      </w:r>
      <w:r>
        <w:rPr>
          <w:noProof/>
        </w:rPr>
        <w:fldChar w:fldCharType="begin"/>
      </w:r>
      <w:r>
        <w:rPr>
          <w:noProof/>
        </w:rPr>
        <w:instrText xml:space="preserve"> PAGEREF _Toc120111929 \h </w:instrText>
      </w:r>
      <w:r>
        <w:rPr>
          <w:noProof/>
        </w:rPr>
      </w:r>
      <w:r>
        <w:rPr>
          <w:noProof/>
        </w:rPr>
        <w:fldChar w:fldCharType="separate"/>
      </w:r>
      <w:r>
        <w:rPr>
          <w:noProof/>
        </w:rPr>
        <w:t>15</w:t>
      </w:r>
      <w:r>
        <w:rPr>
          <w:noProof/>
        </w:rPr>
        <w:fldChar w:fldCharType="end"/>
      </w:r>
    </w:p>
    <w:p w14:paraId="4F37C039" w14:textId="4136AFD6" w:rsidR="00B63273" w:rsidRDefault="00B63273">
      <w:pPr>
        <w:pStyle w:val="TOC3"/>
        <w:tabs>
          <w:tab w:val="left" w:pos="1200"/>
          <w:tab w:val="right" w:pos="9629"/>
        </w:tabs>
        <w:rPr>
          <w:rFonts w:eastAsiaTheme="minorEastAsia" w:cstheme="minorBidi"/>
          <w:noProof/>
          <w:sz w:val="22"/>
          <w:szCs w:val="22"/>
          <w:lang w:eastAsia="zh-CN"/>
        </w:rPr>
      </w:pPr>
      <w:r>
        <w:rPr>
          <w:noProof/>
        </w:rPr>
        <w:t>3.11.2.</w:t>
      </w:r>
      <w:r>
        <w:rPr>
          <w:rFonts w:eastAsiaTheme="minorEastAsia" w:cstheme="minorBidi"/>
          <w:noProof/>
          <w:sz w:val="22"/>
          <w:szCs w:val="22"/>
          <w:lang w:eastAsia="zh-CN"/>
        </w:rPr>
        <w:tab/>
      </w:r>
      <w:r>
        <w:rPr>
          <w:noProof/>
        </w:rPr>
        <w:t>Alumina Production</w:t>
      </w:r>
      <w:r>
        <w:rPr>
          <w:noProof/>
        </w:rPr>
        <w:tab/>
      </w:r>
      <w:r>
        <w:rPr>
          <w:noProof/>
        </w:rPr>
        <w:fldChar w:fldCharType="begin"/>
      </w:r>
      <w:r>
        <w:rPr>
          <w:noProof/>
        </w:rPr>
        <w:instrText xml:space="preserve"> PAGEREF _Toc120111930 \h </w:instrText>
      </w:r>
      <w:r>
        <w:rPr>
          <w:noProof/>
        </w:rPr>
      </w:r>
      <w:r>
        <w:rPr>
          <w:noProof/>
        </w:rPr>
        <w:fldChar w:fldCharType="separate"/>
      </w:r>
      <w:r>
        <w:rPr>
          <w:noProof/>
        </w:rPr>
        <w:t>15</w:t>
      </w:r>
      <w:r>
        <w:rPr>
          <w:noProof/>
        </w:rPr>
        <w:fldChar w:fldCharType="end"/>
      </w:r>
    </w:p>
    <w:p w14:paraId="28D61749" w14:textId="456A4BB2" w:rsidR="00B63273" w:rsidRDefault="00B63273">
      <w:pPr>
        <w:pStyle w:val="TOC4"/>
        <w:tabs>
          <w:tab w:val="left" w:pos="1440"/>
          <w:tab w:val="right" w:pos="9629"/>
        </w:tabs>
        <w:rPr>
          <w:rFonts w:eastAsiaTheme="minorEastAsia" w:cstheme="minorBidi"/>
          <w:noProof/>
          <w:sz w:val="22"/>
          <w:szCs w:val="22"/>
          <w:lang w:eastAsia="zh-CN"/>
        </w:rPr>
      </w:pPr>
      <w:r>
        <w:rPr>
          <w:noProof/>
        </w:rPr>
        <w:t>3.11.2.1.</w:t>
      </w:r>
      <w:r>
        <w:rPr>
          <w:rFonts w:eastAsiaTheme="minorEastAsia" w:cstheme="minorBidi"/>
          <w:noProof/>
          <w:sz w:val="22"/>
          <w:szCs w:val="22"/>
          <w:lang w:eastAsia="zh-CN"/>
        </w:rPr>
        <w:tab/>
      </w:r>
      <w:r>
        <w:rPr>
          <w:noProof/>
        </w:rPr>
        <w:t>Data Driven Differences</w:t>
      </w:r>
      <w:r>
        <w:rPr>
          <w:noProof/>
        </w:rPr>
        <w:tab/>
      </w:r>
      <w:r>
        <w:rPr>
          <w:noProof/>
        </w:rPr>
        <w:fldChar w:fldCharType="begin"/>
      </w:r>
      <w:r>
        <w:rPr>
          <w:noProof/>
        </w:rPr>
        <w:instrText xml:space="preserve"> PAGEREF _Toc120111931 \h </w:instrText>
      </w:r>
      <w:r>
        <w:rPr>
          <w:noProof/>
        </w:rPr>
      </w:r>
      <w:r>
        <w:rPr>
          <w:noProof/>
        </w:rPr>
        <w:fldChar w:fldCharType="separate"/>
      </w:r>
      <w:r>
        <w:rPr>
          <w:noProof/>
        </w:rPr>
        <w:t>15</w:t>
      </w:r>
      <w:r>
        <w:rPr>
          <w:noProof/>
        </w:rPr>
        <w:fldChar w:fldCharType="end"/>
      </w:r>
    </w:p>
    <w:p w14:paraId="3848176C" w14:textId="6E1ADD54" w:rsidR="00B63273" w:rsidRDefault="00B63273">
      <w:pPr>
        <w:pStyle w:val="TOC4"/>
        <w:tabs>
          <w:tab w:val="left" w:pos="1440"/>
          <w:tab w:val="right" w:pos="9629"/>
        </w:tabs>
        <w:rPr>
          <w:rFonts w:eastAsiaTheme="minorEastAsia" w:cstheme="minorBidi"/>
          <w:noProof/>
          <w:sz w:val="22"/>
          <w:szCs w:val="22"/>
          <w:lang w:eastAsia="zh-CN"/>
        </w:rPr>
      </w:pPr>
      <w:r>
        <w:rPr>
          <w:noProof/>
        </w:rPr>
        <w:t>3.11.2.2.</w:t>
      </w:r>
      <w:r>
        <w:rPr>
          <w:rFonts w:eastAsiaTheme="minorEastAsia" w:cstheme="minorBidi"/>
          <w:noProof/>
          <w:sz w:val="22"/>
          <w:szCs w:val="22"/>
          <w:lang w:eastAsia="zh-CN"/>
        </w:rPr>
        <w:tab/>
      </w:r>
      <w:r>
        <w:rPr>
          <w:noProof/>
        </w:rPr>
        <w:t>Performance Driven Differences</w:t>
      </w:r>
      <w:r>
        <w:rPr>
          <w:noProof/>
        </w:rPr>
        <w:tab/>
      </w:r>
      <w:r>
        <w:rPr>
          <w:noProof/>
        </w:rPr>
        <w:fldChar w:fldCharType="begin"/>
      </w:r>
      <w:r>
        <w:rPr>
          <w:noProof/>
        </w:rPr>
        <w:instrText xml:space="preserve"> PAGEREF _Toc120111932 \h </w:instrText>
      </w:r>
      <w:r>
        <w:rPr>
          <w:noProof/>
        </w:rPr>
      </w:r>
      <w:r>
        <w:rPr>
          <w:noProof/>
        </w:rPr>
        <w:fldChar w:fldCharType="separate"/>
      </w:r>
      <w:r>
        <w:rPr>
          <w:noProof/>
        </w:rPr>
        <w:t>16</w:t>
      </w:r>
      <w:r>
        <w:rPr>
          <w:noProof/>
        </w:rPr>
        <w:fldChar w:fldCharType="end"/>
      </w:r>
    </w:p>
    <w:p w14:paraId="40B76426" w14:textId="1C26D504" w:rsidR="00B63273" w:rsidRDefault="00B63273">
      <w:pPr>
        <w:pStyle w:val="TOC4"/>
        <w:tabs>
          <w:tab w:val="left" w:pos="1440"/>
          <w:tab w:val="right" w:pos="9629"/>
        </w:tabs>
        <w:rPr>
          <w:rFonts w:eastAsiaTheme="minorEastAsia" w:cstheme="minorBidi"/>
          <w:noProof/>
          <w:sz w:val="22"/>
          <w:szCs w:val="22"/>
          <w:lang w:eastAsia="zh-CN"/>
        </w:rPr>
      </w:pPr>
      <w:r>
        <w:rPr>
          <w:noProof/>
        </w:rPr>
        <w:t>3.11.2.3.</w:t>
      </w:r>
      <w:r>
        <w:rPr>
          <w:rFonts w:eastAsiaTheme="minorEastAsia" w:cstheme="minorBidi"/>
          <w:noProof/>
          <w:sz w:val="22"/>
          <w:szCs w:val="22"/>
          <w:lang w:eastAsia="zh-CN"/>
        </w:rPr>
        <w:tab/>
      </w:r>
      <w:r>
        <w:rPr>
          <w:noProof/>
        </w:rPr>
        <w:t>Methodology Differences</w:t>
      </w:r>
      <w:r>
        <w:rPr>
          <w:noProof/>
        </w:rPr>
        <w:tab/>
      </w:r>
      <w:r>
        <w:rPr>
          <w:noProof/>
        </w:rPr>
        <w:fldChar w:fldCharType="begin"/>
      </w:r>
      <w:r>
        <w:rPr>
          <w:noProof/>
        </w:rPr>
        <w:instrText xml:space="preserve"> PAGEREF _Toc120111933 \h </w:instrText>
      </w:r>
      <w:r>
        <w:rPr>
          <w:noProof/>
        </w:rPr>
      </w:r>
      <w:r>
        <w:rPr>
          <w:noProof/>
        </w:rPr>
        <w:fldChar w:fldCharType="separate"/>
      </w:r>
      <w:r>
        <w:rPr>
          <w:noProof/>
        </w:rPr>
        <w:t>18</w:t>
      </w:r>
      <w:r>
        <w:rPr>
          <w:noProof/>
        </w:rPr>
        <w:fldChar w:fldCharType="end"/>
      </w:r>
    </w:p>
    <w:p w14:paraId="5689DE72" w14:textId="7BC5A1C8" w:rsidR="00B63273" w:rsidRDefault="00B63273">
      <w:pPr>
        <w:pStyle w:val="TOC3"/>
        <w:tabs>
          <w:tab w:val="left" w:pos="1200"/>
          <w:tab w:val="right" w:pos="9629"/>
        </w:tabs>
        <w:rPr>
          <w:rFonts w:eastAsiaTheme="minorEastAsia" w:cstheme="minorBidi"/>
          <w:noProof/>
          <w:sz w:val="22"/>
          <w:szCs w:val="22"/>
          <w:lang w:eastAsia="zh-CN"/>
        </w:rPr>
      </w:pPr>
      <w:r>
        <w:rPr>
          <w:noProof/>
        </w:rPr>
        <w:t>3.11.3.</w:t>
      </w:r>
      <w:r>
        <w:rPr>
          <w:rFonts w:eastAsiaTheme="minorEastAsia" w:cstheme="minorBidi"/>
          <w:noProof/>
          <w:sz w:val="22"/>
          <w:szCs w:val="22"/>
          <w:lang w:eastAsia="zh-CN"/>
        </w:rPr>
        <w:tab/>
      </w:r>
      <w:r>
        <w:rPr>
          <w:noProof/>
        </w:rPr>
        <w:t>Anode Production, Electrolysis &amp; Ingot Casting</w:t>
      </w:r>
      <w:r>
        <w:rPr>
          <w:noProof/>
        </w:rPr>
        <w:tab/>
      </w:r>
      <w:r>
        <w:rPr>
          <w:noProof/>
        </w:rPr>
        <w:fldChar w:fldCharType="begin"/>
      </w:r>
      <w:r>
        <w:rPr>
          <w:noProof/>
        </w:rPr>
        <w:instrText xml:space="preserve"> PAGEREF _Toc120111934 \h </w:instrText>
      </w:r>
      <w:r>
        <w:rPr>
          <w:noProof/>
        </w:rPr>
      </w:r>
      <w:r>
        <w:rPr>
          <w:noProof/>
        </w:rPr>
        <w:fldChar w:fldCharType="separate"/>
      </w:r>
      <w:r>
        <w:rPr>
          <w:noProof/>
        </w:rPr>
        <w:t>18</w:t>
      </w:r>
      <w:r>
        <w:rPr>
          <w:noProof/>
        </w:rPr>
        <w:fldChar w:fldCharType="end"/>
      </w:r>
    </w:p>
    <w:p w14:paraId="022790B0" w14:textId="71D3D875" w:rsidR="00B63273" w:rsidRDefault="00B63273">
      <w:pPr>
        <w:pStyle w:val="TOC4"/>
        <w:tabs>
          <w:tab w:val="left" w:pos="1440"/>
          <w:tab w:val="right" w:pos="9629"/>
        </w:tabs>
        <w:rPr>
          <w:rFonts w:eastAsiaTheme="minorEastAsia" w:cstheme="minorBidi"/>
          <w:noProof/>
          <w:sz w:val="22"/>
          <w:szCs w:val="22"/>
          <w:lang w:eastAsia="zh-CN"/>
        </w:rPr>
      </w:pPr>
      <w:r>
        <w:rPr>
          <w:noProof/>
        </w:rPr>
        <w:t>3.11.3.1.</w:t>
      </w:r>
      <w:r>
        <w:rPr>
          <w:rFonts w:eastAsiaTheme="minorEastAsia" w:cstheme="minorBidi"/>
          <w:noProof/>
          <w:sz w:val="22"/>
          <w:szCs w:val="22"/>
          <w:lang w:eastAsia="zh-CN"/>
        </w:rPr>
        <w:tab/>
      </w:r>
      <w:r>
        <w:rPr>
          <w:noProof/>
        </w:rPr>
        <w:t>Data Driven Differences</w:t>
      </w:r>
      <w:r>
        <w:rPr>
          <w:noProof/>
        </w:rPr>
        <w:tab/>
      </w:r>
      <w:r>
        <w:rPr>
          <w:noProof/>
        </w:rPr>
        <w:fldChar w:fldCharType="begin"/>
      </w:r>
      <w:r>
        <w:rPr>
          <w:noProof/>
        </w:rPr>
        <w:instrText xml:space="preserve"> PAGEREF _Toc120111935 \h </w:instrText>
      </w:r>
      <w:r>
        <w:rPr>
          <w:noProof/>
        </w:rPr>
      </w:r>
      <w:r>
        <w:rPr>
          <w:noProof/>
        </w:rPr>
        <w:fldChar w:fldCharType="separate"/>
      </w:r>
      <w:r>
        <w:rPr>
          <w:noProof/>
        </w:rPr>
        <w:t>18</w:t>
      </w:r>
      <w:r>
        <w:rPr>
          <w:noProof/>
        </w:rPr>
        <w:fldChar w:fldCharType="end"/>
      </w:r>
    </w:p>
    <w:p w14:paraId="42E6582D" w14:textId="2768ED61" w:rsidR="00B63273" w:rsidRDefault="00B63273">
      <w:pPr>
        <w:pStyle w:val="TOC4"/>
        <w:tabs>
          <w:tab w:val="left" w:pos="1440"/>
          <w:tab w:val="right" w:pos="9629"/>
        </w:tabs>
        <w:rPr>
          <w:rFonts w:eastAsiaTheme="minorEastAsia" w:cstheme="minorBidi"/>
          <w:noProof/>
          <w:sz w:val="22"/>
          <w:szCs w:val="22"/>
          <w:lang w:eastAsia="zh-CN"/>
        </w:rPr>
      </w:pPr>
      <w:r>
        <w:rPr>
          <w:noProof/>
        </w:rPr>
        <w:t>3.11.3.1.</w:t>
      </w:r>
      <w:r>
        <w:rPr>
          <w:rFonts w:eastAsiaTheme="minorEastAsia" w:cstheme="minorBidi"/>
          <w:noProof/>
          <w:sz w:val="22"/>
          <w:szCs w:val="22"/>
          <w:lang w:eastAsia="zh-CN"/>
        </w:rPr>
        <w:tab/>
      </w:r>
      <w:r>
        <w:rPr>
          <w:noProof/>
        </w:rPr>
        <w:t>Performance Driven Differences</w:t>
      </w:r>
      <w:r>
        <w:rPr>
          <w:noProof/>
        </w:rPr>
        <w:tab/>
      </w:r>
      <w:r>
        <w:rPr>
          <w:noProof/>
        </w:rPr>
        <w:fldChar w:fldCharType="begin"/>
      </w:r>
      <w:r>
        <w:rPr>
          <w:noProof/>
        </w:rPr>
        <w:instrText xml:space="preserve"> PAGEREF _Toc120111936 \h </w:instrText>
      </w:r>
      <w:r>
        <w:rPr>
          <w:noProof/>
        </w:rPr>
      </w:r>
      <w:r>
        <w:rPr>
          <w:noProof/>
        </w:rPr>
        <w:fldChar w:fldCharType="separate"/>
      </w:r>
      <w:r>
        <w:rPr>
          <w:noProof/>
        </w:rPr>
        <w:t>20</w:t>
      </w:r>
      <w:r>
        <w:rPr>
          <w:noProof/>
        </w:rPr>
        <w:fldChar w:fldCharType="end"/>
      </w:r>
    </w:p>
    <w:p w14:paraId="19D17E95" w14:textId="6501CF59" w:rsidR="00B63273" w:rsidRDefault="00B63273">
      <w:pPr>
        <w:pStyle w:val="TOC4"/>
        <w:tabs>
          <w:tab w:val="left" w:pos="1440"/>
          <w:tab w:val="right" w:pos="9629"/>
        </w:tabs>
        <w:rPr>
          <w:rFonts w:eastAsiaTheme="minorEastAsia" w:cstheme="minorBidi"/>
          <w:noProof/>
          <w:sz w:val="22"/>
          <w:szCs w:val="22"/>
          <w:lang w:eastAsia="zh-CN"/>
        </w:rPr>
      </w:pPr>
      <w:r>
        <w:rPr>
          <w:noProof/>
        </w:rPr>
        <w:t>3.11.3.2.</w:t>
      </w:r>
      <w:r>
        <w:rPr>
          <w:rFonts w:eastAsiaTheme="minorEastAsia" w:cstheme="minorBidi"/>
          <w:noProof/>
          <w:sz w:val="22"/>
          <w:szCs w:val="22"/>
          <w:lang w:eastAsia="zh-CN"/>
        </w:rPr>
        <w:tab/>
      </w:r>
      <w:r>
        <w:rPr>
          <w:noProof/>
        </w:rPr>
        <w:t>Methodology Differences</w:t>
      </w:r>
      <w:r>
        <w:rPr>
          <w:noProof/>
        </w:rPr>
        <w:tab/>
      </w:r>
      <w:r>
        <w:rPr>
          <w:noProof/>
        </w:rPr>
        <w:fldChar w:fldCharType="begin"/>
      </w:r>
      <w:r>
        <w:rPr>
          <w:noProof/>
        </w:rPr>
        <w:instrText xml:space="preserve"> PAGEREF _Toc120111937 \h </w:instrText>
      </w:r>
      <w:r>
        <w:rPr>
          <w:noProof/>
        </w:rPr>
      </w:r>
      <w:r>
        <w:rPr>
          <w:noProof/>
        </w:rPr>
        <w:fldChar w:fldCharType="separate"/>
      </w:r>
      <w:r>
        <w:rPr>
          <w:noProof/>
        </w:rPr>
        <w:t>21</w:t>
      </w:r>
      <w:r>
        <w:rPr>
          <w:noProof/>
        </w:rPr>
        <w:fldChar w:fldCharType="end"/>
      </w:r>
    </w:p>
    <w:p w14:paraId="14F1E882" w14:textId="75E2DE2B" w:rsidR="00B63273" w:rsidRDefault="00B63273">
      <w:pPr>
        <w:pStyle w:val="TOC2"/>
        <w:tabs>
          <w:tab w:val="left" w:pos="720"/>
          <w:tab w:val="right" w:pos="9629"/>
        </w:tabs>
        <w:rPr>
          <w:rFonts w:eastAsiaTheme="minorEastAsia" w:cstheme="minorBidi"/>
          <w:b w:val="0"/>
          <w:bCs w:val="0"/>
          <w:noProof/>
          <w:sz w:val="22"/>
          <w:szCs w:val="22"/>
          <w:lang w:eastAsia="zh-CN"/>
        </w:rPr>
      </w:pPr>
      <w:r>
        <w:rPr>
          <w:noProof/>
        </w:rPr>
        <w:t>3.12.</w:t>
      </w:r>
      <w:r>
        <w:rPr>
          <w:rFonts w:eastAsiaTheme="minorEastAsia" w:cstheme="minorBidi"/>
          <w:b w:val="0"/>
          <w:bCs w:val="0"/>
          <w:noProof/>
          <w:sz w:val="22"/>
          <w:szCs w:val="22"/>
          <w:lang w:eastAsia="zh-CN"/>
        </w:rPr>
        <w:tab/>
      </w:r>
      <w:r>
        <w:rPr>
          <w:noProof/>
        </w:rPr>
        <w:t>Interpretation</w:t>
      </w:r>
      <w:r>
        <w:rPr>
          <w:noProof/>
        </w:rPr>
        <w:tab/>
      </w:r>
      <w:r>
        <w:rPr>
          <w:noProof/>
        </w:rPr>
        <w:fldChar w:fldCharType="begin"/>
      </w:r>
      <w:r>
        <w:rPr>
          <w:noProof/>
        </w:rPr>
        <w:instrText xml:space="preserve"> PAGEREF _Toc120111938 \h </w:instrText>
      </w:r>
      <w:r>
        <w:rPr>
          <w:noProof/>
        </w:rPr>
      </w:r>
      <w:r>
        <w:rPr>
          <w:noProof/>
        </w:rPr>
        <w:fldChar w:fldCharType="separate"/>
      </w:r>
      <w:r>
        <w:rPr>
          <w:noProof/>
        </w:rPr>
        <w:t>22</w:t>
      </w:r>
      <w:r>
        <w:rPr>
          <w:noProof/>
        </w:rPr>
        <w:fldChar w:fldCharType="end"/>
      </w:r>
    </w:p>
    <w:p w14:paraId="1F71768E" w14:textId="1B3B8209" w:rsidR="00B63273" w:rsidRDefault="00B63273">
      <w:pPr>
        <w:pStyle w:val="TOC1"/>
        <w:tabs>
          <w:tab w:val="left" w:pos="480"/>
          <w:tab w:val="right" w:pos="9629"/>
        </w:tabs>
        <w:rPr>
          <w:rFonts w:asciiTheme="minorHAnsi" w:eastAsiaTheme="minorEastAsia" w:hAnsiTheme="minorHAnsi" w:cstheme="minorBidi"/>
          <w:b w:val="0"/>
          <w:bCs w:val="0"/>
          <w:caps w:val="0"/>
          <w:noProof/>
          <w:sz w:val="22"/>
          <w:szCs w:val="22"/>
          <w:lang w:eastAsia="zh-CN"/>
        </w:rPr>
      </w:pPr>
      <w:r>
        <w:rPr>
          <w:noProof/>
        </w:rPr>
        <w:t>4.</w:t>
      </w:r>
      <w:r>
        <w:rPr>
          <w:rFonts w:asciiTheme="minorHAnsi" w:eastAsiaTheme="minorEastAsia" w:hAnsiTheme="minorHAnsi" w:cstheme="minorBidi"/>
          <w:b w:val="0"/>
          <w:bCs w:val="0"/>
          <w:caps w:val="0"/>
          <w:noProof/>
          <w:sz w:val="22"/>
          <w:szCs w:val="22"/>
          <w:lang w:eastAsia="zh-CN"/>
        </w:rPr>
        <w:tab/>
      </w:r>
      <w:r>
        <w:rPr>
          <w:noProof/>
        </w:rPr>
        <w:t>Life Cycle Impact Assessment (LCIA)</w:t>
      </w:r>
      <w:r>
        <w:rPr>
          <w:noProof/>
        </w:rPr>
        <w:tab/>
      </w:r>
      <w:r>
        <w:rPr>
          <w:noProof/>
        </w:rPr>
        <w:fldChar w:fldCharType="begin"/>
      </w:r>
      <w:r>
        <w:rPr>
          <w:noProof/>
        </w:rPr>
        <w:instrText xml:space="preserve"> PAGEREF _Toc120111939 \h </w:instrText>
      </w:r>
      <w:r>
        <w:rPr>
          <w:noProof/>
        </w:rPr>
      </w:r>
      <w:r>
        <w:rPr>
          <w:noProof/>
        </w:rPr>
        <w:fldChar w:fldCharType="separate"/>
      </w:r>
      <w:r>
        <w:rPr>
          <w:noProof/>
        </w:rPr>
        <w:t>23</w:t>
      </w:r>
      <w:r>
        <w:rPr>
          <w:noProof/>
        </w:rPr>
        <w:fldChar w:fldCharType="end"/>
      </w:r>
    </w:p>
    <w:p w14:paraId="5EDDE952" w14:textId="7AD1473E" w:rsidR="00B63273" w:rsidRDefault="00B63273">
      <w:pPr>
        <w:pStyle w:val="TOC2"/>
        <w:tabs>
          <w:tab w:val="left" w:pos="720"/>
          <w:tab w:val="right" w:pos="9629"/>
        </w:tabs>
        <w:rPr>
          <w:rFonts w:eastAsiaTheme="minorEastAsia" w:cstheme="minorBidi"/>
          <w:b w:val="0"/>
          <w:bCs w:val="0"/>
          <w:noProof/>
          <w:sz w:val="22"/>
          <w:szCs w:val="22"/>
          <w:lang w:eastAsia="zh-CN"/>
        </w:rPr>
      </w:pPr>
      <w:r>
        <w:rPr>
          <w:noProof/>
        </w:rPr>
        <w:t>4.1.</w:t>
      </w:r>
      <w:r>
        <w:rPr>
          <w:rFonts w:eastAsiaTheme="minorEastAsia" w:cstheme="minorBidi"/>
          <w:b w:val="0"/>
          <w:bCs w:val="0"/>
          <w:noProof/>
          <w:sz w:val="22"/>
          <w:szCs w:val="22"/>
          <w:lang w:eastAsia="zh-CN"/>
        </w:rPr>
        <w:tab/>
      </w:r>
      <w:r>
        <w:rPr>
          <w:noProof/>
        </w:rPr>
        <w:t>Introduction</w:t>
      </w:r>
      <w:r>
        <w:rPr>
          <w:noProof/>
        </w:rPr>
        <w:tab/>
      </w:r>
      <w:r>
        <w:rPr>
          <w:noProof/>
        </w:rPr>
        <w:fldChar w:fldCharType="begin"/>
      </w:r>
      <w:r>
        <w:rPr>
          <w:noProof/>
        </w:rPr>
        <w:instrText xml:space="preserve"> PAGEREF _Toc120111940 \h </w:instrText>
      </w:r>
      <w:r>
        <w:rPr>
          <w:noProof/>
        </w:rPr>
      </w:r>
      <w:r>
        <w:rPr>
          <w:noProof/>
        </w:rPr>
        <w:fldChar w:fldCharType="separate"/>
      </w:r>
      <w:r>
        <w:rPr>
          <w:noProof/>
        </w:rPr>
        <w:t>23</w:t>
      </w:r>
      <w:r>
        <w:rPr>
          <w:noProof/>
        </w:rPr>
        <w:fldChar w:fldCharType="end"/>
      </w:r>
    </w:p>
    <w:p w14:paraId="024CD06D" w14:textId="28469CFE" w:rsidR="00B63273" w:rsidRDefault="00B63273">
      <w:pPr>
        <w:pStyle w:val="TOC2"/>
        <w:tabs>
          <w:tab w:val="left" w:pos="720"/>
          <w:tab w:val="right" w:pos="9629"/>
        </w:tabs>
        <w:rPr>
          <w:rFonts w:eastAsiaTheme="minorEastAsia" w:cstheme="minorBidi"/>
          <w:b w:val="0"/>
          <w:bCs w:val="0"/>
          <w:noProof/>
          <w:sz w:val="22"/>
          <w:szCs w:val="22"/>
          <w:lang w:eastAsia="zh-CN"/>
        </w:rPr>
      </w:pPr>
      <w:r>
        <w:rPr>
          <w:noProof/>
        </w:rPr>
        <w:t>4.2.</w:t>
      </w:r>
      <w:r>
        <w:rPr>
          <w:rFonts w:eastAsiaTheme="minorEastAsia" w:cstheme="minorBidi"/>
          <w:b w:val="0"/>
          <w:bCs w:val="0"/>
          <w:noProof/>
          <w:sz w:val="22"/>
          <w:szCs w:val="22"/>
          <w:lang w:eastAsia="zh-CN"/>
        </w:rPr>
        <w:tab/>
      </w:r>
      <w:r>
        <w:rPr>
          <w:noProof/>
        </w:rPr>
        <w:t>Methodology</w:t>
      </w:r>
      <w:r>
        <w:rPr>
          <w:noProof/>
        </w:rPr>
        <w:tab/>
      </w:r>
      <w:r>
        <w:rPr>
          <w:noProof/>
        </w:rPr>
        <w:fldChar w:fldCharType="begin"/>
      </w:r>
      <w:r>
        <w:rPr>
          <w:noProof/>
        </w:rPr>
        <w:instrText xml:space="preserve"> PAGEREF _Toc120111941 \h </w:instrText>
      </w:r>
      <w:r>
        <w:rPr>
          <w:noProof/>
        </w:rPr>
      </w:r>
      <w:r>
        <w:rPr>
          <w:noProof/>
        </w:rPr>
        <w:fldChar w:fldCharType="separate"/>
      </w:r>
      <w:r>
        <w:rPr>
          <w:noProof/>
        </w:rPr>
        <w:t>23</w:t>
      </w:r>
      <w:r>
        <w:rPr>
          <w:noProof/>
        </w:rPr>
        <w:fldChar w:fldCharType="end"/>
      </w:r>
    </w:p>
    <w:p w14:paraId="57E48CB6" w14:textId="356C59B2" w:rsidR="00B63273" w:rsidRDefault="00B63273">
      <w:pPr>
        <w:pStyle w:val="TOC3"/>
        <w:tabs>
          <w:tab w:val="left" w:pos="960"/>
          <w:tab w:val="right" w:pos="9629"/>
        </w:tabs>
        <w:rPr>
          <w:rFonts w:eastAsiaTheme="minorEastAsia" w:cstheme="minorBidi"/>
          <w:noProof/>
          <w:sz w:val="22"/>
          <w:szCs w:val="22"/>
          <w:lang w:eastAsia="zh-CN"/>
        </w:rPr>
      </w:pPr>
      <w:r>
        <w:rPr>
          <w:noProof/>
        </w:rPr>
        <w:t>4.2.1.</w:t>
      </w:r>
      <w:r>
        <w:rPr>
          <w:rFonts w:eastAsiaTheme="minorEastAsia" w:cstheme="minorBidi"/>
          <w:noProof/>
          <w:sz w:val="22"/>
          <w:szCs w:val="22"/>
          <w:lang w:eastAsia="zh-CN"/>
        </w:rPr>
        <w:tab/>
      </w:r>
      <w:r>
        <w:rPr>
          <w:noProof/>
        </w:rPr>
        <w:t>Selection and Definition of Impact Categories</w:t>
      </w:r>
      <w:r>
        <w:rPr>
          <w:noProof/>
        </w:rPr>
        <w:tab/>
      </w:r>
      <w:r>
        <w:rPr>
          <w:noProof/>
        </w:rPr>
        <w:fldChar w:fldCharType="begin"/>
      </w:r>
      <w:r>
        <w:rPr>
          <w:noProof/>
        </w:rPr>
        <w:instrText xml:space="preserve"> PAGEREF _Toc120111942 \h </w:instrText>
      </w:r>
      <w:r>
        <w:rPr>
          <w:noProof/>
        </w:rPr>
      </w:r>
      <w:r>
        <w:rPr>
          <w:noProof/>
        </w:rPr>
        <w:fldChar w:fldCharType="separate"/>
      </w:r>
      <w:r>
        <w:rPr>
          <w:noProof/>
        </w:rPr>
        <w:t>23</w:t>
      </w:r>
      <w:r>
        <w:rPr>
          <w:noProof/>
        </w:rPr>
        <w:fldChar w:fldCharType="end"/>
      </w:r>
    </w:p>
    <w:p w14:paraId="75F6F4EA" w14:textId="7455006C" w:rsidR="00B63273" w:rsidRDefault="00B63273">
      <w:pPr>
        <w:pStyle w:val="TOC3"/>
        <w:tabs>
          <w:tab w:val="left" w:pos="960"/>
          <w:tab w:val="right" w:pos="9629"/>
        </w:tabs>
        <w:rPr>
          <w:rFonts w:eastAsiaTheme="minorEastAsia" w:cstheme="minorBidi"/>
          <w:noProof/>
          <w:sz w:val="22"/>
          <w:szCs w:val="22"/>
          <w:lang w:eastAsia="zh-CN"/>
        </w:rPr>
      </w:pPr>
      <w:r>
        <w:rPr>
          <w:noProof/>
        </w:rPr>
        <w:t>4.2.2.</w:t>
      </w:r>
      <w:r>
        <w:rPr>
          <w:rFonts w:eastAsiaTheme="minorEastAsia" w:cstheme="minorBidi"/>
          <w:noProof/>
          <w:sz w:val="22"/>
          <w:szCs w:val="22"/>
          <w:lang w:eastAsia="zh-CN"/>
        </w:rPr>
        <w:tab/>
      </w:r>
      <w:r>
        <w:rPr>
          <w:noProof/>
        </w:rPr>
        <w:t>Classification and Characterisation of LCI Results</w:t>
      </w:r>
      <w:r>
        <w:rPr>
          <w:noProof/>
        </w:rPr>
        <w:tab/>
      </w:r>
      <w:r>
        <w:rPr>
          <w:noProof/>
        </w:rPr>
        <w:fldChar w:fldCharType="begin"/>
      </w:r>
      <w:r>
        <w:rPr>
          <w:noProof/>
        </w:rPr>
        <w:instrText xml:space="preserve"> PAGEREF _Toc120111943 \h </w:instrText>
      </w:r>
      <w:r>
        <w:rPr>
          <w:noProof/>
        </w:rPr>
      </w:r>
      <w:r>
        <w:rPr>
          <w:noProof/>
        </w:rPr>
        <w:fldChar w:fldCharType="separate"/>
      </w:r>
      <w:r>
        <w:rPr>
          <w:noProof/>
        </w:rPr>
        <w:t>24</w:t>
      </w:r>
      <w:r>
        <w:rPr>
          <w:noProof/>
        </w:rPr>
        <w:fldChar w:fldCharType="end"/>
      </w:r>
    </w:p>
    <w:p w14:paraId="1E1E9AD6" w14:textId="29BB9607" w:rsidR="00B63273" w:rsidRDefault="00B63273">
      <w:pPr>
        <w:pStyle w:val="TOC3"/>
        <w:tabs>
          <w:tab w:val="left" w:pos="960"/>
          <w:tab w:val="right" w:pos="9629"/>
        </w:tabs>
        <w:rPr>
          <w:rFonts w:eastAsiaTheme="minorEastAsia" w:cstheme="minorBidi"/>
          <w:noProof/>
          <w:sz w:val="22"/>
          <w:szCs w:val="22"/>
          <w:lang w:eastAsia="zh-CN"/>
        </w:rPr>
      </w:pPr>
      <w:r>
        <w:rPr>
          <w:noProof/>
        </w:rPr>
        <w:t>4.2.3.</w:t>
      </w:r>
      <w:r>
        <w:rPr>
          <w:rFonts w:eastAsiaTheme="minorEastAsia" w:cstheme="minorBidi"/>
          <w:noProof/>
          <w:sz w:val="22"/>
          <w:szCs w:val="22"/>
          <w:lang w:eastAsia="zh-CN"/>
        </w:rPr>
        <w:tab/>
      </w:r>
      <w:r>
        <w:rPr>
          <w:noProof/>
        </w:rPr>
        <w:t>Mass Flow Analysis (MFA), Key Supply Chains and Scenario Selection</w:t>
      </w:r>
      <w:r>
        <w:rPr>
          <w:noProof/>
        </w:rPr>
        <w:tab/>
      </w:r>
      <w:r>
        <w:rPr>
          <w:noProof/>
        </w:rPr>
        <w:fldChar w:fldCharType="begin"/>
      </w:r>
      <w:r>
        <w:rPr>
          <w:noProof/>
        </w:rPr>
        <w:instrText xml:space="preserve"> PAGEREF _Toc120111944 \h </w:instrText>
      </w:r>
      <w:r>
        <w:rPr>
          <w:noProof/>
        </w:rPr>
      </w:r>
      <w:r>
        <w:rPr>
          <w:noProof/>
        </w:rPr>
        <w:fldChar w:fldCharType="separate"/>
      </w:r>
      <w:r>
        <w:rPr>
          <w:noProof/>
        </w:rPr>
        <w:t>24</w:t>
      </w:r>
      <w:r>
        <w:rPr>
          <w:noProof/>
        </w:rPr>
        <w:fldChar w:fldCharType="end"/>
      </w:r>
    </w:p>
    <w:p w14:paraId="1726D7E4" w14:textId="0EC1CE03" w:rsidR="00B63273" w:rsidRDefault="00B63273">
      <w:pPr>
        <w:pStyle w:val="TOC3"/>
        <w:tabs>
          <w:tab w:val="left" w:pos="960"/>
          <w:tab w:val="right" w:pos="9629"/>
        </w:tabs>
        <w:rPr>
          <w:rFonts w:eastAsiaTheme="minorEastAsia" w:cstheme="minorBidi"/>
          <w:noProof/>
          <w:sz w:val="22"/>
          <w:szCs w:val="22"/>
          <w:lang w:eastAsia="zh-CN"/>
        </w:rPr>
      </w:pPr>
      <w:r>
        <w:rPr>
          <w:noProof/>
        </w:rPr>
        <w:t>4.2.4.</w:t>
      </w:r>
      <w:r>
        <w:rPr>
          <w:rFonts w:eastAsiaTheme="minorEastAsia" w:cstheme="minorBidi"/>
          <w:noProof/>
          <w:sz w:val="22"/>
          <w:szCs w:val="22"/>
          <w:lang w:eastAsia="zh-CN"/>
        </w:rPr>
        <w:tab/>
      </w:r>
      <w:r>
        <w:rPr>
          <w:noProof/>
        </w:rPr>
        <w:t>Impact Modelling</w:t>
      </w:r>
      <w:r>
        <w:rPr>
          <w:noProof/>
        </w:rPr>
        <w:tab/>
      </w:r>
      <w:r>
        <w:rPr>
          <w:noProof/>
        </w:rPr>
        <w:fldChar w:fldCharType="begin"/>
      </w:r>
      <w:r>
        <w:rPr>
          <w:noProof/>
        </w:rPr>
        <w:instrText xml:space="preserve"> PAGEREF _Toc120111945 \h </w:instrText>
      </w:r>
      <w:r>
        <w:rPr>
          <w:noProof/>
        </w:rPr>
      </w:r>
      <w:r>
        <w:rPr>
          <w:noProof/>
        </w:rPr>
        <w:fldChar w:fldCharType="separate"/>
      </w:r>
      <w:r>
        <w:rPr>
          <w:noProof/>
        </w:rPr>
        <w:t>27</w:t>
      </w:r>
      <w:r>
        <w:rPr>
          <w:noProof/>
        </w:rPr>
        <w:fldChar w:fldCharType="end"/>
      </w:r>
    </w:p>
    <w:p w14:paraId="4834F8A1" w14:textId="65FF59B3" w:rsidR="00B63273" w:rsidRDefault="00B63273">
      <w:pPr>
        <w:pStyle w:val="TOC3"/>
        <w:tabs>
          <w:tab w:val="left" w:pos="960"/>
          <w:tab w:val="right" w:pos="9629"/>
        </w:tabs>
        <w:rPr>
          <w:rFonts w:eastAsiaTheme="minorEastAsia" w:cstheme="minorBidi"/>
          <w:noProof/>
          <w:sz w:val="22"/>
          <w:szCs w:val="22"/>
          <w:lang w:eastAsia="zh-CN"/>
        </w:rPr>
      </w:pPr>
      <w:r>
        <w:rPr>
          <w:noProof/>
        </w:rPr>
        <w:t>4.2.5.</w:t>
      </w:r>
      <w:r>
        <w:rPr>
          <w:rFonts w:eastAsiaTheme="minorEastAsia" w:cstheme="minorBidi"/>
          <w:noProof/>
          <w:sz w:val="22"/>
          <w:szCs w:val="22"/>
          <w:lang w:eastAsia="zh-CN"/>
        </w:rPr>
        <w:tab/>
      </w:r>
      <w:r>
        <w:rPr>
          <w:noProof/>
        </w:rPr>
        <w:t>Electricity Generation</w:t>
      </w:r>
      <w:r>
        <w:rPr>
          <w:noProof/>
        </w:rPr>
        <w:tab/>
      </w:r>
      <w:r>
        <w:rPr>
          <w:noProof/>
        </w:rPr>
        <w:fldChar w:fldCharType="begin"/>
      </w:r>
      <w:r>
        <w:rPr>
          <w:noProof/>
        </w:rPr>
        <w:instrText xml:space="preserve"> PAGEREF _Toc120111946 \h </w:instrText>
      </w:r>
      <w:r>
        <w:rPr>
          <w:noProof/>
        </w:rPr>
      </w:r>
      <w:r>
        <w:rPr>
          <w:noProof/>
        </w:rPr>
        <w:fldChar w:fldCharType="separate"/>
      </w:r>
      <w:r>
        <w:rPr>
          <w:noProof/>
        </w:rPr>
        <w:t>29</w:t>
      </w:r>
      <w:r>
        <w:rPr>
          <w:noProof/>
        </w:rPr>
        <w:fldChar w:fldCharType="end"/>
      </w:r>
    </w:p>
    <w:p w14:paraId="3333182C" w14:textId="55C876FA" w:rsidR="00B63273" w:rsidRDefault="00B63273">
      <w:pPr>
        <w:pStyle w:val="TOC3"/>
        <w:tabs>
          <w:tab w:val="left" w:pos="960"/>
          <w:tab w:val="right" w:pos="9629"/>
        </w:tabs>
        <w:rPr>
          <w:rFonts w:eastAsiaTheme="minorEastAsia" w:cstheme="minorBidi"/>
          <w:noProof/>
          <w:sz w:val="22"/>
          <w:szCs w:val="22"/>
          <w:lang w:eastAsia="zh-CN"/>
        </w:rPr>
      </w:pPr>
      <w:r>
        <w:rPr>
          <w:noProof/>
        </w:rPr>
        <w:t>4.2.6.</w:t>
      </w:r>
      <w:r>
        <w:rPr>
          <w:rFonts w:eastAsiaTheme="minorEastAsia" w:cstheme="minorBidi"/>
          <w:noProof/>
          <w:sz w:val="22"/>
          <w:szCs w:val="22"/>
          <w:lang w:eastAsia="zh-CN"/>
        </w:rPr>
        <w:tab/>
      </w:r>
      <w:r>
        <w:rPr>
          <w:noProof/>
        </w:rPr>
        <w:t>Thermal Energy</w:t>
      </w:r>
      <w:r>
        <w:rPr>
          <w:noProof/>
        </w:rPr>
        <w:tab/>
      </w:r>
      <w:r>
        <w:rPr>
          <w:noProof/>
        </w:rPr>
        <w:fldChar w:fldCharType="begin"/>
      </w:r>
      <w:r>
        <w:rPr>
          <w:noProof/>
        </w:rPr>
        <w:instrText xml:space="preserve"> PAGEREF _Toc120111947 \h </w:instrText>
      </w:r>
      <w:r>
        <w:rPr>
          <w:noProof/>
        </w:rPr>
      </w:r>
      <w:r>
        <w:rPr>
          <w:noProof/>
        </w:rPr>
        <w:fldChar w:fldCharType="separate"/>
      </w:r>
      <w:r>
        <w:rPr>
          <w:noProof/>
        </w:rPr>
        <w:t>32</w:t>
      </w:r>
      <w:r>
        <w:rPr>
          <w:noProof/>
        </w:rPr>
        <w:fldChar w:fldCharType="end"/>
      </w:r>
    </w:p>
    <w:p w14:paraId="4A33281A" w14:textId="48929780" w:rsidR="00B63273" w:rsidRDefault="00B63273">
      <w:pPr>
        <w:pStyle w:val="TOC3"/>
        <w:tabs>
          <w:tab w:val="left" w:pos="960"/>
          <w:tab w:val="right" w:pos="9629"/>
        </w:tabs>
        <w:rPr>
          <w:rFonts w:eastAsiaTheme="minorEastAsia" w:cstheme="minorBidi"/>
          <w:noProof/>
          <w:sz w:val="22"/>
          <w:szCs w:val="22"/>
          <w:lang w:eastAsia="zh-CN"/>
        </w:rPr>
      </w:pPr>
      <w:r>
        <w:rPr>
          <w:noProof/>
        </w:rPr>
        <w:t>4.2.7.</w:t>
      </w:r>
      <w:r>
        <w:rPr>
          <w:rFonts w:eastAsiaTheme="minorEastAsia" w:cstheme="minorBidi"/>
          <w:noProof/>
          <w:sz w:val="22"/>
          <w:szCs w:val="22"/>
          <w:lang w:eastAsia="zh-CN"/>
        </w:rPr>
        <w:tab/>
      </w:r>
      <w:r>
        <w:rPr>
          <w:noProof/>
        </w:rPr>
        <w:t>Classification of Processes and Material Flows</w:t>
      </w:r>
      <w:r>
        <w:rPr>
          <w:noProof/>
        </w:rPr>
        <w:tab/>
      </w:r>
      <w:r>
        <w:rPr>
          <w:noProof/>
        </w:rPr>
        <w:fldChar w:fldCharType="begin"/>
      </w:r>
      <w:r>
        <w:rPr>
          <w:noProof/>
        </w:rPr>
        <w:instrText xml:space="preserve"> PAGEREF _Toc120111948 \h </w:instrText>
      </w:r>
      <w:r>
        <w:rPr>
          <w:noProof/>
        </w:rPr>
      </w:r>
      <w:r>
        <w:rPr>
          <w:noProof/>
        </w:rPr>
        <w:fldChar w:fldCharType="separate"/>
      </w:r>
      <w:r>
        <w:rPr>
          <w:noProof/>
        </w:rPr>
        <w:t>32</w:t>
      </w:r>
      <w:r>
        <w:rPr>
          <w:noProof/>
        </w:rPr>
        <w:fldChar w:fldCharType="end"/>
      </w:r>
    </w:p>
    <w:p w14:paraId="2796384D" w14:textId="008C20D2" w:rsidR="00B63273" w:rsidRDefault="00B63273">
      <w:pPr>
        <w:pStyle w:val="TOC3"/>
        <w:tabs>
          <w:tab w:val="left" w:pos="960"/>
          <w:tab w:val="right" w:pos="9629"/>
        </w:tabs>
        <w:rPr>
          <w:rFonts w:eastAsiaTheme="minorEastAsia" w:cstheme="minorBidi"/>
          <w:noProof/>
          <w:sz w:val="22"/>
          <w:szCs w:val="22"/>
          <w:lang w:eastAsia="zh-CN"/>
        </w:rPr>
      </w:pPr>
      <w:r>
        <w:rPr>
          <w:noProof/>
        </w:rPr>
        <w:t>4.2.8.</w:t>
      </w:r>
      <w:r>
        <w:rPr>
          <w:rFonts w:eastAsiaTheme="minorEastAsia" w:cstheme="minorBidi"/>
          <w:noProof/>
          <w:sz w:val="22"/>
          <w:szCs w:val="22"/>
          <w:lang w:eastAsia="zh-CN"/>
        </w:rPr>
        <w:tab/>
      </w:r>
      <w:r>
        <w:rPr>
          <w:noProof/>
        </w:rPr>
        <w:t>Water Scarcity Footprint</w:t>
      </w:r>
      <w:r>
        <w:rPr>
          <w:noProof/>
        </w:rPr>
        <w:tab/>
      </w:r>
      <w:r>
        <w:rPr>
          <w:noProof/>
        </w:rPr>
        <w:fldChar w:fldCharType="begin"/>
      </w:r>
      <w:r>
        <w:rPr>
          <w:noProof/>
        </w:rPr>
        <w:instrText xml:space="preserve"> PAGEREF _Toc120111949 \h </w:instrText>
      </w:r>
      <w:r>
        <w:rPr>
          <w:noProof/>
        </w:rPr>
      </w:r>
      <w:r>
        <w:rPr>
          <w:noProof/>
        </w:rPr>
        <w:fldChar w:fldCharType="separate"/>
      </w:r>
      <w:r>
        <w:rPr>
          <w:noProof/>
        </w:rPr>
        <w:t>33</w:t>
      </w:r>
      <w:r>
        <w:rPr>
          <w:noProof/>
        </w:rPr>
        <w:fldChar w:fldCharType="end"/>
      </w:r>
    </w:p>
    <w:p w14:paraId="48FAA70E" w14:textId="7526FC6D" w:rsidR="00B63273" w:rsidRDefault="00B63273">
      <w:pPr>
        <w:pStyle w:val="TOC4"/>
        <w:tabs>
          <w:tab w:val="left" w:pos="1440"/>
          <w:tab w:val="right" w:pos="9629"/>
        </w:tabs>
        <w:rPr>
          <w:rFonts w:eastAsiaTheme="minorEastAsia" w:cstheme="minorBidi"/>
          <w:noProof/>
          <w:sz w:val="22"/>
          <w:szCs w:val="22"/>
          <w:lang w:eastAsia="zh-CN"/>
        </w:rPr>
      </w:pPr>
      <w:r>
        <w:rPr>
          <w:noProof/>
        </w:rPr>
        <w:t>4.2.8.1.</w:t>
      </w:r>
      <w:r>
        <w:rPr>
          <w:rFonts w:eastAsiaTheme="minorEastAsia" w:cstheme="minorBidi"/>
          <w:noProof/>
          <w:sz w:val="22"/>
          <w:szCs w:val="22"/>
          <w:lang w:eastAsia="zh-CN"/>
        </w:rPr>
        <w:tab/>
      </w:r>
      <w:r>
        <w:rPr>
          <w:noProof/>
        </w:rPr>
        <w:t>Direct WSFP</w:t>
      </w:r>
      <w:r>
        <w:rPr>
          <w:noProof/>
        </w:rPr>
        <w:tab/>
      </w:r>
      <w:r>
        <w:rPr>
          <w:noProof/>
        </w:rPr>
        <w:fldChar w:fldCharType="begin"/>
      </w:r>
      <w:r>
        <w:rPr>
          <w:noProof/>
        </w:rPr>
        <w:instrText xml:space="preserve"> PAGEREF _Toc120111950 \h </w:instrText>
      </w:r>
      <w:r>
        <w:rPr>
          <w:noProof/>
        </w:rPr>
      </w:r>
      <w:r>
        <w:rPr>
          <w:noProof/>
        </w:rPr>
        <w:fldChar w:fldCharType="separate"/>
      </w:r>
      <w:r>
        <w:rPr>
          <w:noProof/>
        </w:rPr>
        <w:t>33</w:t>
      </w:r>
      <w:r>
        <w:rPr>
          <w:noProof/>
        </w:rPr>
        <w:fldChar w:fldCharType="end"/>
      </w:r>
    </w:p>
    <w:p w14:paraId="52E7B00F" w14:textId="7F3AD4EF" w:rsidR="00B63273" w:rsidRDefault="00B63273">
      <w:pPr>
        <w:pStyle w:val="TOC4"/>
        <w:tabs>
          <w:tab w:val="left" w:pos="1440"/>
          <w:tab w:val="right" w:pos="9629"/>
        </w:tabs>
        <w:rPr>
          <w:rFonts w:eastAsiaTheme="minorEastAsia" w:cstheme="minorBidi"/>
          <w:noProof/>
          <w:sz w:val="22"/>
          <w:szCs w:val="22"/>
          <w:lang w:eastAsia="zh-CN"/>
        </w:rPr>
      </w:pPr>
      <w:r>
        <w:rPr>
          <w:noProof/>
        </w:rPr>
        <w:t>4.2.8.2.</w:t>
      </w:r>
      <w:r>
        <w:rPr>
          <w:rFonts w:eastAsiaTheme="minorEastAsia" w:cstheme="minorBidi"/>
          <w:noProof/>
          <w:sz w:val="22"/>
          <w:szCs w:val="22"/>
          <w:lang w:eastAsia="zh-CN"/>
        </w:rPr>
        <w:tab/>
      </w:r>
      <w:r>
        <w:rPr>
          <w:noProof/>
        </w:rPr>
        <w:t>Indirect WSFP</w:t>
      </w:r>
      <w:r>
        <w:rPr>
          <w:noProof/>
        </w:rPr>
        <w:tab/>
      </w:r>
      <w:r>
        <w:rPr>
          <w:noProof/>
        </w:rPr>
        <w:fldChar w:fldCharType="begin"/>
      </w:r>
      <w:r>
        <w:rPr>
          <w:noProof/>
        </w:rPr>
        <w:instrText xml:space="preserve"> PAGEREF _Toc120111951 \h </w:instrText>
      </w:r>
      <w:r>
        <w:rPr>
          <w:noProof/>
        </w:rPr>
      </w:r>
      <w:r>
        <w:rPr>
          <w:noProof/>
        </w:rPr>
        <w:fldChar w:fldCharType="separate"/>
      </w:r>
      <w:r>
        <w:rPr>
          <w:noProof/>
        </w:rPr>
        <w:t>34</w:t>
      </w:r>
      <w:r>
        <w:rPr>
          <w:noProof/>
        </w:rPr>
        <w:fldChar w:fldCharType="end"/>
      </w:r>
    </w:p>
    <w:p w14:paraId="1D59FF7A" w14:textId="3DE99F67" w:rsidR="00B63273" w:rsidRDefault="00B63273">
      <w:pPr>
        <w:pStyle w:val="TOC2"/>
        <w:tabs>
          <w:tab w:val="left" w:pos="720"/>
          <w:tab w:val="right" w:pos="9629"/>
        </w:tabs>
        <w:rPr>
          <w:rFonts w:eastAsiaTheme="minorEastAsia" w:cstheme="minorBidi"/>
          <w:b w:val="0"/>
          <w:bCs w:val="0"/>
          <w:noProof/>
          <w:sz w:val="22"/>
          <w:szCs w:val="22"/>
          <w:lang w:eastAsia="zh-CN"/>
        </w:rPr>
      </w:pPr>
      <w:r>
        <w:rPr>
          <w:noProof/>
        </w:rPr>
        <w:t>4.3.</w:t>
      </w:r>
      <w:r>
        <w:rPr>
          <w:rFonts w:eastAsiaTheme="minorEastAsia" w:cstheme="minorBidi"/>
          <w:b w:val="0"/>
          <w:bCs w:val="0"/>
          <w:noProof/>
          <w:sz w:val="22"/>
          <w:szCs w:val="22"/>
          <w:lang w:eastAsia="zh-CN"/>
        </w:rPr>
        <w:tab/>
      </w:r>
      <w:r>
        <w:rPr>
          <w:noProof/>
        </w:rPr>
        <w:t>Results and Discussion</w:t>
      </w:r>
      <w:r>
        <w:rPr>
          <w:noProof/>
        </w:rPr>
        <w:tab/>
      </w:r>
      <w:r>
        <w:rPr>
          <w:noProof/>
        </w:rPr>
        <w:fldChar w:fldCharType="begin"/>
      </w:r>
      <w:r>
        <w:rPr>
          <w:noProof/>
        </w:rPr>
        <w:instrText xml:space="preserve"> PAGEREF _Toc120111952 \h </w:instrText>
      </w:r>
      <w:r>
        <w:rPr>
          <w:noProof/>
        </w:rPr>
      </w:r>
      <w:r>
        <w:rPr>
          <w:noProof/>
        </w:rPr>
        <w:fldChar w:fldCharType="separate"/>
      </w:r>
      <w:r>
        <w:rPr>
          <w:noProof/>
        </w:rPr>
        <w:t>37</w:t>
      </w:r>
      <w:r>
        <w:rPr>
          <w:noProof/>
        </w:rPr>
        <w:fldChar w:fldCharType="end"/>
      </w:r>
    </w:p>
    <w:p w14:paraId="20AA9E80" w14:textId="69FB5426" w:rsidR="00B63273" w:rsidRDefault="00B63273">
      <w:pPr>
        <w:pStyle w:val="TOC3"/>
        <w:tabs>
          <w:tab w:val="left" w:pos="960"/>
          <w:tab w:val="right" w:pos="9629"/>
        </w:tabs>
        <w:rPr>
          <w:rFonts w:eastAsiaTheme="minorEastAsia" w:cstheme="minorBidi"/>
          <w:noProof/>
          <w:sz w:val="22"/>
          <w:szCs w:val="22"/>
          <w:lang w:eastAsia="zh-CN"/>
        </w:rPr>
      </w:pPr>
      <w:r>
        <w:rPr>
          <w:noProof/>
        </w:rPr>
        <w:t>4.3.1.</w:t>
      </w:r>
      <w:r>
        <w:rPr>
          <w:rFonts w:eastAsiaTheme="minorEastAsia" w:cstheme="minorBidi"/>
          <w:noProof/>
          <w:sz w:val="22"/>
          <w:szCs w:val="22"/>
          <w:lang w:eastAsia="zh-CN"/>
        </w:rPr>
        <w:tab/>
      </w:r>
      <w:r>
        <w:rPr>
          <w:noProof/>
        </w:rPr>
        <w:t>Impact Category Indicator Results</w:t>
      </w:r>
      <w:r>
        <w:rPr>
          <w:noProof/>
        </w:rPr>
        <w:tab/>
      </w:r>
      <w:r>
        <w:rPr>
          <w:noProof/>
        </w:rPr>
        <w:fldChar w:fldCharType="begin"/>
      </w:r>
      <w:r>
        <w:rPr>
          <w:noProof/>
        </w:rPr>
        <w:instrText xml:space="preserve"> PAGEREF _Toc120111953 \h </w:instrText>
      </w:r>
      <w:r>
        <w:rPr>
          <w:noProof/>
        </w:rPr>
      </w:r>
      <w:r>
        <w:rPr>
          <w:noProof/>
        </w:rPr>
        <w:fldChar w:fldCharType="separate"/>
      </w:r>
      <w:r>
        <w:rPr>
          <w:noProof/>
        </w:rPr>
        <w:t>37</w:t>
      </w:r>
      <w:r>
        <w:rPr>
          <w:noProof/>
        </w:rPr>
        <w:fldChar w:fldCharType="end"/>
      </w:r>
    </w:p>
    <w:p w14:paraId="4C8F4A4C" w14:textId="36F8CCBC" w:rsidR="00B63273" w:rsidRDefault="00B63273">
      <w:pPr>
        <w:pStyle w:val="TOC3"/>
        <w:tabs>
          <w:tab w:val="left" w:pos="960"/>
          <w:tab w:val="right" w:pos="9629"/>
        </w:tabs>
        <w:rPr>
          <w:rFonts w:eastAsiaTheme="minorEastAsia" w:cstheme="minorBidi"/>
          <w:noProof/>
          <w:sz w:val="22"/>
          <w:szCs w:val="22"/>
          <w:lang w:eastAsia="zh-CN"/>
        </w:rPr>
      </w:pPr>
      <w:r>
        <w:rPr>
          <w:noProof/>
        </w:rPr>
        <w:t>4.3.2.</w:t>
      </w:r>
      <w:r>
        <w:rPr>
          <w:rFonts w:eastAsiaTheme="minorEastAsia" w:cstheme="minorBidi"/>
          <w:noProof/>
          <w:sz w:val="22"/>
          <w:szCs w:val="22"/>
          <w:lang w:eastAsia="zh-CN"/>
        </w:rPr>
        <w:tab/>
      </w:r>
      <w:r>
        <w:rPr>
          <w:noProof/>
        </w:rPr>
        <w:t>Contribution Analysis</w:t>
      </w:r>
      <w:r>
        <w:rPr>
          <w:noProof/>
        </w:rPr>
        <w:tab/>
      </w:r>
      <w:r>
        <w:rPr>
          <w:noProof/>
        </w:rPr>
        <w:fldChar w:fldCharType="begin"/>
      </w:r>
      <w:r>
        <w:rPr>
          <w:noProof/>
        </w:rPr>
        <w:instrText xml:space="preserve"> PAGEREF _Toc120111954 \h </w:instrText>
      </w:r>
      <w:r>
        <w:rPr>
          <w:noProof/>
        </w:rPr>
      </w:r>
      <w:r>
        <w:rPr>
          <w:noProof/>
        </w:rPr>
        <w:fldChar w:fldCharType="separate"/>
      </w:r>
      <w:r>
        <w:rPr>
          <w:noProof/>
        </w:rPr>
        <w:t>38</w:t>
      </w:r>
      <w:r>
        <w:rPr>
          <w:noProof/>
        </w:rPr>
        <w:fldChar w:fldCharType="end"/>
      </w:r>
    </w:p>
    <w:p w14:paraId="30222F7C" w14:textId="36067BCD" w:rsidR="00B63273" w:rsidRDefault="00B63273">
      <w:pPr>
        <w:pStyle w:val="TOC3"/>
        <w:tabs>
          <w:tab w:val="left" w:pos="960"/>
          <w:tab w:val="right" w:pos="9629"/>
        </w:tabs>
        <w:rPr>
          <w:rFonts w:eastAsiaTheme="minorEastAsia" w:cstheme="minorBidi"/>
          <w:noProof/>
          <w:sz w:val="22"/>
          <w:szCs w:val="22"/>
          <w:lang w:eastAsia="zh-CN"/>
        </w:rPr>
      </w:pPr>
      <w:r>
        <w:rPr>
          <w:noProof/>
        </w:rPr>
        <w:t>4.3.3.</w:t>
      </w:r>
      <w:r>
        <w:rPr>
          <w:rFonts w:eastAsiaTheme="minorEastAsia" w:cstheme="minorBidi"/>
          <w:noProof/>
          <w:sz w:val="22"/>
          <w:szCs w:val="22"/>
          <w:lang w:eastAsia="zh-CN"/>
        </w:rPr>
        <w:tab/>
      </w:r>
      <w:r>
        <w:rPr>
          <w:noProof/>
        </w:rPr>
        <w:t>Relative Contribution of Aluminium Production Unit Processes to GHG emissions</w:t>
      </w:r>
      <w:r>
        <w:rPr>
          <w:noProof/>
        </w:rPr>
        <w:tab/>
      </w:r>
      <w:r>
        <w:rPr>
          <w:noProof/>
        </w:rPr>
        <w:fldChar w:fldCharType="begin"/>
      </w:r>
      <w:r>
        <w:rPr>
          <w:noProof/>
        </w:rPr>
        <w:instrText xml:space="preserve"> PAGEREF _Toc120111955 \h </w:instrText>
      </w:r>
      <w:r>
        <w:rPr>
          <w:noProof/>
        </w:rPr>
      </w:r>
      <w:r>
        <w:rPr>
          <w:noProof/>
        </w:rPr>
        <w:fldChar w:fldCharType="separate"/>
      </w:r>
      <w:r>
        <w:rPr>
          <w:noProof/>
        </w:rPr>
        <w:t>40</w:t>
      </w:r>
      <w:r>
        <w:rPr>
          <w:noProof/>
        </w:rPr>
        <w:fldChar w:fldCharType="end"/>
      </w:r>
    </w:p>
    <w:p w14:paraId="2A8474C6" w14:textId="01A7A83E" w:rsidR="00B63273" w:rsidRDefault="00B63273">
      <w:pPr>
        <w:pStyle w:val="TOC2"/>
        <w:tabs>
          <w:tab w:val="left" w:pos="720"/>
          <w:tab w:val="right" w:pos="9629"/>
        </w:tabs>
        <w:rPr>
          <w:rFonts w:eastAsiaTheme="minorEastAsia" w:cstheme="minorBidi"/>
          <w:b w:val="0"/>
          <w:bCs w:val="0"/>
          <w:noProof/>
          <w:sz w:val="22"/>
          <w:szCs w:val="22"/>
          <w:lang w:eastAsia="zh-CN"/>
        </w:rPr>
      </w:pPr>
      <w:r>
        <w:rPr>
          <w:noProof/>
        </w:rPr>
        <w:t>4.4.</w:t>
      </w:r>
      <w:r>
        <w:rPr>
          <w:rFonts w:eastAsiaTheme="minorEastAsia" w:cstheme="minorBidi"/>
          <w:b w:val="0"/>
          <w:bCs w:val="0"/>
          <w:noProof/>
          <w:sz w:val="22"/>
          <w:szCs w:val="22"/>
          <w:lang w:eastAsia="zh-CN"/>
        </w:rPr>
        <w:tab/>
      </w:r>
      <w:r>
        <w:rPr>
          <w:noProof/>
        </w:rPr>
        <w:t>Interpretation and Conclusions</w:t>
      </w:r>
      <w:r>
        <w:rPr>
          <w:noProof/>
        </w:rPr>
        <w:tab/>
      </w:r>
      <w:r>
        <w:rPr>
          <w:noProof/>
        </w:rPr>
        <w:fldChar w:fldCharType="begin"/>
      </w:r>
      <w:r>
        <w:rPr>
          <w:noProof/>
        </w:rPr>
        <w:instrText xml:space="preserve"> PAGEREF _Toc120111956 \h </w:instrText>
      </w:r>
      <w:r>
        <w:rPr>
          <w:noProof/>
        </w:rPr>
      </w:r>
      <w:r>
        <w:rPr>
          <w:noProof/>
        </w:rPr>
        <w:fldChar w:fldCharType="separate"/>
      </w:r>
      <w:r>
        <w:rPr>
          <w:noProof/>
        </w:rPr>
        <w:t>42</w:t>
      </w:r>
      <w:r>
        <w:rPr>
          <w:noProof/>
        </w:rPr>
        <w:fldChar w:fldCharType="end"/>
      </w:r>
    </w:p>
    <w:p w14:paraId="3680A9C5" w14:textId="736D5B25" w:rsidR="00B63273" w:rsidRDefault="00B63273">
      <w:pPr>
        <w:pStyle w:val="TOC3"/>
        <w:tabs>
          <w:tab w:val="left" w:pos="960"/>
          <w:tab w:val="right" w:pos="9629"/>
        </w:tabs>
        <w:rPr>
          <w:rFonts w:eastAsiaTheme="minorEastAsia" w:cstheme="minorBidi"/>
          <w:noProof/>
          <w:sz w:val="22"/>
          <w:szCs w:val="22"/>
          <w:lang w:eastAsia="zh-CN"/>
        </w:rPr>
      </w:pPr>
      <w:r>
        <w:rPr>
          <w:noProof/>
        </w:rPr>
        <w:t>4.4.1.</w:t>
      </w:r>
      <w:r>
        <w:rPr>
          <w:rFonts w:eastAsiaTheme="minorEastAsia" w:cstheme="minorBidi"/>
          <w:noProof/>
          <w:sz w:val="22"/>
          <w:szCs w:val="22"/>
          <w:lang w:eastAsia="zh-CN"/>
        </w:rPr>
        <w:tab/>
      </w:r>
      <w:r>
        <w:rPr>
          <w:noProof/>
        </w:rPr>
        <w:t>Significant Issues</w:t>
      </w:r>
      <w:r>
        <w:rPr>
          <w:noProof/>
        </w:rPr>
        <w:tab/>
      </w:r>
      <w:r>
        <w:rPr>
          <w:noProof/>
        </w:rPr>
        <w:fldChar w:fldCharType="begin"/>
      </w:r>
      <w:r>
        <w:rPr>
          <w:noProof/>
        </w:rPr>
        <w:instrText xml:space="preserve"> PAGEREF _Toc120111957 \h </w:instrText>
      </w:r>
      <w:r>
        <w:rPr>
          <w:noProof/>
        </w:rPr>
      </w:r>
      <w:r>
        <w:rPr>
          <w:noProof/>
        </w:rPr>
        <w:fldChar w:fldCharType="separate"/>
      </w:r>
      <w:r>
        <w:rPr>
          <w:noProof/>
        </w:rPr>
        <w:t>42</w:t>
      </w:r>
      <w:r>
        <w:rPr>
          <w:noProof/>
        </w:rPr>
        <w:fldChar w:fldCharType="end"/>
      </w:r>
    </w:p>
    <w:p w14:paraId="00FDBC3E" w14:textId="57BB899D" w:rsidR="00B63273" w:rsidRDefault="00B63273">
      <w:pPr>
        <w:pStyle w:val="TOC3"/>
        <w:tabs>
          <w:tab w:val="left" w:pos="960"/>
          <w:tab w:val="right" w:pos="9629"/>
        </w:tabs>
        <w:rPr>
          <w:rFonts w:eastAsiaTheme="minorEastAsia" w:cstheme="minorBidi"/>
          <w:noProof/>
          <w:sz w:val="22"/>
          <w:szCs w:val="22"/>
          <w:lang w:eastAsia="zh-CN"/>
        </w:rPr>
      </w:pPr>
      <w:r>
        <w:rPr>
          <w:noProof/>
        </w:rPr>
        <w:t>4.4.2.</w:t>
      </w:r>
      <w:r>
        <w:rPr>
          <w:rFonts w:eastAsiaTheme="minorEastAsia" w:cstheme="minorBidi"/>
          <w:noProof/>
          <w:sz w:val="22"/>
          <w:szCs w:val="22"/>
          <w:lang w:eastAsia="zh-CN"/>
        </w:rPr>
        <w:tab/>
      </w:r>
      <w:r>
        <w:rPr>
          <w:noProof/>
        </w:rPr>
        <w:t>Limitations</w:t>
      </w:r>
      <w:r>
        <w:rPr>
          <w:noProof/>
        </w:rPr>
        <w:tab/>
      </w:r>
      <w:r>
        <w:rPr>
          <w:noProof/>
        </w:rPr>
        <w:fldChar w:fldCharType="begin"/>
      </w:r>
      <w:r>
        <w:rPr>
          <w:noProof/>
        </w:rPr>
        <w:instrText xml:space="preserve"> PAGEREF _Toc120111958 \h </w:instrText>
      </w:r>
      <w:r>
        <w:rPr>
          <w:noProof/>
        </w:rPr>
      </w:r>
      <w:r>
        <w:rPr>
          <w:noProof/>
        </w:rPr>
        <w:fldChar w:fldCharType="separate"/>
      </w:r>
      <w:r>
        <w:rPr>
          <w:noProof/>
        </w:rPr>
        <w:t>42</w:t>
      </w:r>
      <w:r>
        <w:rPr>
          <w:noProof/>
        </w:rPr>
        <w:fldChar w:fldCharType="end"/>
      </w:r>
    </w:p>
    <w:p w14:paraId="212B498D" w14:textId="1D247682" w:rsidR="00B63273" w:rsidRDefault="00B63273">
      <w:pPr>
        <w:pStyle w:val="TOC3"/>
        <w:tabs>
          <w:tab w:val="left" w:pos="960"/>
          <w:tab w:val="right" w:pos="9629"/>
        </w:tabs>
        <w:rPr>
          <w:rFonts w:eastAsiaTheme="minorEastAsia" w:cstheme="minorBidi"/>
          <w:noProof/>
          <w:sz w:val="22"/>
          <w:szCs w:val="22"/>
          <w:lang w:eastAsia="zh-CN"/>
        </w:rPr>
      </w:pPr>
      <w:r>
        <w:rPr>
          <w:noProof/>
        </w:rPr>
        <w:t>4.4.3.</w:t>
      </w:r>
      <w:r>
        <w:rPr>
          <w:rFonts w:eastAsiaTheme="minorEastAsia" w:cstheme="minorBidi"/>
          <w:noProof/>
          <w:sz w:val="22"/>
          <w:szCs w:val="22"/>
          <w:lang w:eastAsia="zh-CN"/>
        </w:rPr>
        <w:tab/>
      </w:r>
      <w:r>
        <w:rPr>
          <w:noProof/>
        </w:rPr>
        <w:t>Conclusions and Next Steps</w:t>
      </w:r>
      <w:r>
        <w:rPr>
          <w:noProof/>
        </w:rPr>
        <w:tab/>
      </w:r>
      <w:r>
        <w:rPr>
          <w:noProof/>
        </w:rPr>
        <w:fldChar w:fldCharType="begin"/>
      </w:r>
      <w:r>
        <w:rPr>
          <w:noProof/>
        </w:rPr>
        <w:instrText xml:space="preserve"> PAGEREF _Toc120111959 \h </w:instrText>
      </w:r>
      <w:r>
        <w:rPr>
          <w:noProof/>
        </w:rPr>
      </w:r>
      <w:r>
        <w:rPr>
          <w:noProof/>
        </w:rPr>
        <w:fldChar w:fldCharType="separate"/>
      </w:r>
      <w:r>
        <w:rPr>
          <w:noProof/>
        </w:rPr>
        <w:t>43</w:t>
      </w:r>
      <w:r>
        <w:rPr>
          <w:noProof/>
        </w:rPr>
        <w:fldChar w:fldCharType="end"/>
      </w:r>
    </w:p>
    <w:p w14:paraId="14B17474" w14:textId="3FA2EECE" w:rsidR="00B63273" w:rsidRDefault="00B63273">
      <w:pPr>
        <w:pStyle w:val="TOC1"/>
        <w:tabs>
          <w:tab w:val="left" w:pos="480"/>
          <w:tab w:val="right" w:pos="9629"/>
        </w:tabs>
        <w:rPr>
          <w:rFonts w:asciiTheme="minorHAnsi" w:eastAsiaTheme="minorEastAsia" w:hAnsiTheme="minorHAnsi" w:cstheme="minorBidi"/>
          <w:b w:val="0"/>
          <w:bCs w:val="0"/>
          <w:caps w:val="0"/>
          <w:noProof/>
          <w:sz w:val="22"/>
          <w:szCs w:val="22"/>
          <w:lang w:eastAsia="zh-CN"/>
        </w:rPr>
      </w:pPr>
      <w:r>
        <w:rPr>
          <w:noProof/>
        </w:rPr>
        <w:t>5.</w:t>
      </w:r>
      <w:r>
        <w:rPr>
          <w:rFonts w:asciiTheme="minorHAnsi" w:eastAsiaTheme="minorEastAsia" w:hAnsiTheme="minorHAnsi" w:cstheme="minorBidi"/>
          <w:b w:val="0"/>
          <w:bCs w:val="0"/>
          <w:caps w:val="0"/>
          <w:noProof/>
          <w:sz w:val="22"/>
          <w:szCs w:val="22"/>
          <w:lang w:eastAsia="zh-CN"/>
        </w:rPr>
        <w:tab/>
      </w:r>
      <w:r>
        <w:rPr>
          <w:noProof/>
        </w:rPr>
        <w:t>References</w:t>
      </w:r>
      <w:r>
        <w:rPr>
          <w:noProof/>
        </w:rPr>
        <w:tab/>
      </w:r>
      <w:r>
        <w:rPr>
          <w:noProof/>
        </w:rPr>
        <w:fldChar w:fldCharType="begin"/>
      </w:r>
      <w:r>
        <w:rPr>
          <w:noProof/>
        </w:rPr>
        <w:instrText xml:space="preserve"> PAGEREF _Toc120111960 \h </w:instrText>
      </w:r>
      <w:r>
        <w:rPr>
          <w:noProof/>
        </w:rPr>
      </w:r>
      <w:r>
        <w:rPr>
          <w:noProof/>
        </w:rPr>
        <w:fldChar w:fldCharType="separate"/>
      </w:r>
      <w:r>
        <w:rPr>
          <w:noProof/>
        </w:rPr>
        <w:t>45</w:t>
      </w:r>
      <w:r>
        <w:rPr>
          <w:noProof/>
        </w:rPr>
        <w:fldChar w:fldCharType="end"/>
      </w:r>
    </w:p>
    <w:p w14:paraId="0133C504" w14:textId="76CD3707" w:rsidR="009E11C8" w:rsidRDefault="003C293F" w:rsidP="00213845">
      <w:pPr>
        <w:pStyle w:val="TOC1"/>
        <w:tabs>
          <w:tab w:val="left" w:pos="480"/>
          <w:tab w:val="right" w:pos="9629"/>
        </w:tabs>
        <w:rPr>
          <w:rFonts w:cs="Helvetica"/>
          <w:szCs w:val="22"/>
        </w:rPr>
      </w:pPr>
      <w:r w:rsidRPr="00FD4D41">
        <w:rPr>
          <w:rFonts w:ascii="Helvetica" w:hAnsi="Helvetica" w:cs="Helvetica"/>
          <w:color w:val="595959"/>
          <w:szCs w:val="22"/>
          <w14:textFill>
            <w14:solidFill>
              <w14:srgbClr w14:val="595959">
                <w14:lumMod w14:val="50000"/>
              </w14:srgbClr>
            </w14:solidFill>
          </w14:textFill>
        </w:rPr>
        <w:fldChar w:fldCharType="end"/>
      </w:r>
      <w:r w:rsidR="009E11C8">
        <w:rPr>
          <w:rFonts w:cs="Helvetica"/>
          <w:szCs w:val="22"/>
        </w:rPr>
        <w:br w:type="page"/>
      </w:r>
    </w:p>
    <w:p w14:paraId="3A19D0E4" w14:textId="77777777" w:rsidR="00B86E2D" w:rsidRPr="00213845" w:rsidRDefault="002B0EFA" w:rsidP="007061DC">
      <w:pPr>
        <w:pStyle w:val="Heading1"/>
      </w:pPr>
      <w:bookmarkStart w:id="0" w:name="_Toc480555165"/>
      <w:bookmarkStart w:id="1" w:name="_Toc480555186"/>
      <w:bookmarkStart w:id="2" w:name="_Toc480555268"/>
      <w:bookmarkStart w:id="3" w:name="_Toc480555354"/>
      <w:bookmarkStart w:id="4" w:name="_Toc480555440"/>
      <w:bookmarkStart w:id="5" w:name="_Toc480971378"/>
      <w:bookmarkStart w:id="6" w:name="_Toc480555166"/>
      <w:bookmarkStart w:id="7" w:name="_Toc480555187"/>
      <w:bookmarkStart w:id="8" w:name="_Toc480555269"/>
      <w:bookmarkStart w:id="9" w:name="_Toc480555355"/>
      <w:bookmarkStart w:id="10" w:name="_Toc480555441"/>
      <w:bookmarkStart w:id="11" w:name="_Toc480971379"/>
      <w:bookmarkStart w:id="12" w:name="__RefHeading__3_1147413177"/>
      <w:bookmarkStart w:id="13" w:name="_Toc480555167"/>
      <w:bookmarkStart w:id="14" w:name="_Toc480555188"/>
      <w:bookmarkStart w:id="15" w:name="_Toc480555270"/>
      <w:bookmarkStart w:id="16" w:name="_Toc480555356"/>
      <w:bookmarkStart w:id="17" w:name="_Toc480555442"/>
      <w:bookmarkStart w:id="18" w:name="_Toc480971380"/>
      <w:bookmarkStart w:id="19" w:name="_Toc363829091"/>
      <w:bookmarkStart w:id="20" w:name="_Toc120111909"/>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213845">
        <w:lastRenderedPageBreak/>
        <w:t>Introduction</w:t>
      </w:r>
      <w:bookmarkEnd w:id="20"/>
    </w:p>
    <w:p w14:paraId="0B6F9BA4" w14:textId="77777777" w:rsidR="00315FAB" w:rsidRPr="009F4266" w:rsidRDefault="00315FAB" w:rsidP="009E11C8">
      <w:pPr>
        <w:spacing w:after="0" w:line="312" w:lineRule="auto"/>
        <w:jc w:val="both"/>
        <w:rPr>
          <w:rFonts w:cs="Helvetica"/>
          <w:color w:val="595959"/>
          <w:szCs w:val="20"/>
        </w:rPr>
      </w:pPr>
      <w:r w:rsidRPr="009F4266">
        <w:rPr>
          <w:rFonts w:cs="Helvetica"/>
          <w:color w:val="595959"/>
          <w:szCs w:val="20"/>
        </w:rPr>
        <w:t xml:space="preserve">Increased environmental </w:t>
      </w:r>
      <w:r w:rsidR="00394E23" w:rsidRPr="009F4266">
        <w:rPr>
          <w:rFonts w:cs="Helvetica"/>
          <w:color w:val="595959"/>
          <w:szCs w:val="20"/>
        </w:rPr>
        <w:t>awareness</w:t>
      </w:r>
      <w:r w:rsidRPr="009F4266">
        <w:rPr>
          <w:rFonts w:cs="Helvetica"/>
          <w:color w:val="595959"/>
          <w:szCs w:val="20"/>
        </w:rPr>
        <w:t xml:space="preserve"> in recent years</w:t>
      </w:r>
      <w:r w:rsidR="00F41803">
        <w:rPr>
          <w:rFonts w:cs="Helvetica"/>
          <w:color w:val="595959"/>
          <w:szCs w:val="20"/>
        </w:rPr>
        <w:t>, driven</w:t>
      </w:r>
      <w:r w:rsidRPr="009F4266">
        <w:rPr>
          <w:rFonts w:cs="Helvetica"/>
          <w:color w:val="595959"/>
          <w:szCs w:val="20"/>
        </w:rPr>
        <w:t xml:space="preserve"> by</w:t>
      </w:r>
      <w:r w:rsidR="0008464F" w:rsidRPr="009F4266">
        <w:rPr>
          <w:rFonts w:cs="Helvetica"/>
          <w:color w:val="595959"/>
          <w:szCs w:val="20"/>
        </w:rPr>
        <w:t xml:space="preserve"> </w:t>
      </w:r>
      <w:r w:rsidRPr="009F4266">
        <w:rPr>
          <w:rFonts w:cs="Helvetica"/>
          <w:color w:val="595959"/>
          <w:szCs w:val="20"/>
        </w:rPr>
        <w:t xml:space="preserve">regulatory </w:t>
      </w:r>
      <w:r w:rsidR="0008464F" w:rsidRPr="009F4266">
        <w:rPr>
          <w:rFonts w:cs="Helvetica"/>
          <w:color w:val="595959"/>
          <w:szCs w:val="20"/>
        </w:rPr>
        <w:t xml:space="preserve">and market </w:t>
      </w:r>
      <w:r w:rsidRPr="009F4266">
        <w:rPr>
          <w:rFonts w:cs="Helvetica"/>
          <w:color w:val="595959"/>
          <w:szCs w:val="20"/>
        </w:rPr>
        <w:t>demands for improved environmental performance</w:t>
      </w:r>
      <w:r w:rsidR="00F41803">
        <w:rPr>
          <w:rFonts w:cs="Helvetica"/>
          <w:color w:val="595959"/>
          <w:szCs w:val="20"/>
        </w:rPr>
        <w:t>,</w:t>
      </w:r>
      <w:r w:rsidRPr="009F4266">
        <w:rPr>
          <w:rFonts w:cs="Helvetica"/>
          <w:color w:val="595959"/>
          <w:szCs w:val="20"/>
        </w:rPr>
        <w:t xml:space="preserve"> has given rise to the </w:t>
      </w:r>
      <w:r w:rsidR="00394E23" w:rsidRPr="009F4266">
        <w:rPr>
          <w:rFonts w:cs="Helvetica"/>
          <w:color w:val="595959"/>
          <w:szCs w:val="20"/>
        </w:rPr>
        <w:t>importance</w:t>
      </w:r>
      <w:r w:rsidRPr="009F4266">
        <w:rPr>
          <w:rFonts w:cs="Helvetica"/>
          <w:color w:val="595959"/>
          <w:szCs w:val="20"/>
        </w:rPr>
        <w:t xml:space="preserve"> of life cycle assessment (LCA) as a </w:t>
      </w:r>
      <w:r w:rsidR="0056661D" w:rsidRPr="009F4266">
        <w:rPr>
          <w:rFonts w:cs="Helvetica"/>
          <w:color w:val="595959"/>
          <w:szCs w:val="20"/>
        </w:rPr>
        <w:t>decision-making</w:t>
      </w:r>
      <w:r w:rsidRPr="009F4266">
        <w:rPr>
          <w:rFonts w:cs="Helvetica"/>
          <w:color w:val="595959"/>
          <w:szCs w:val="20"/>
        </w:rPr>
        <w:t xml:space="preserve"> tool</w:t>
      </w:r>
      <w:r w:rsidR="009831A3">
        <w:rPr>
          <w:rFonts w:cs="Helvetica"/>
          <w:color w:val="595959"/>
          <w:szCs w:val="20"/>
        </w:rPr>
        <w:t xml:space="preserve">.  </w:t>
      </w:r>
      <w:r w:rsidRPr="009F4266">
        <w:rPr>
          <w:rFonts w:cs="Helvetica"/>
          <w:color w:val="595959"/>
          <w:szCs w:val="20"/>
        </w:rPr>
        <w:t>LCA provides a systematic fr</w:t>
      </w:r>
      <w:r w:rsidR="00394E23" w:rsidRPr="009F4266">
        <w:rPr>
          <w:rFonts w:cs="Helvetica"/>
          <w:color w:val="595959"/>
          <w:szCs w:val="20"/>
        </w:rPr>
        <w:t>amework to compile and evaluate the inputs, outputs and potential environmental impacts of a product system throughout its life cycle (ISO 14040)</w:t>
      </w:r>
      <w:r w:rsidR="009831A3">
        <w:rPr>
          <w:rFonts w:cs="Helvetica"/>
          <w:color w:val="595959"/>
          <w:szCs w:val="20"/>
        </w:rPr>
        <w:t xml:space="preserve">.  </w:t>
      </w:r>
      <w:r w:rsidR="008B56B4" w:rsidRPr="009F4266">
        <w:rPr>
          <w:rFonts w:cs="Helvetica"/>
          <w:color w:val="595959"/>
          <w:szCs w:val="20"/>
        </w:rPr>
        <w:t xml:space="preserve">As such, LCA can be used to </w:t>
      </w:r>
      <w:r w:rsidR="00394E23" w:rsidRPr="009F4266">
        <w:rPr>
          <w:rFonts w:cs="Helvetica"/>
          <w:color w:val="595959"/>
          <w:szCs w:val="20"/>
        </w:rPr>
        <w:t xml:space="preserve">inform </w:t>
      </w:r>
      <w:r w:rsidRPr="009F4266">
        <w:rPr>
          <w:rFonts w:cs="Helvetica"/>
          <w:color w:val="595959"/>
          <w:szCs w:val="20"/>
        </w:rPr>
        <w:t>poli</w:t>
      </w:r>
      <w:r w:rsidR="00394E23" w:rsidRPr="009F4266">
        <w:rPr>
          <w:rFonts w:cs="Helvetica"/>
          <w:color w:val="595959"/>
          <w:szCs w:val="20"/>
        </w:rPr>
        <w:t>cy</w:t>
      </w:r>
      <w:r w:rsidR="00797BDE" w:rsidRPr="009F4266">
        <w:rPr>
          <w:rFonts w:cs="Helvetica"/>
          <w:color w:val="595959"/>
          <w:szCs w:val="20"/>
        </w:rPr>
        <w:t xml:space="preserve">, </w:t>
      </w:r>
      <w:r w:rsidRPr="009F4266">
        <w:rPr>
          <w:rFonts w:cs="Helvetica"/>
          <w:color w:val="595959"/>
          <w:szCs w:val="20"/>
        </w:rPr>
        <w:t>material and design choices</w:t>
      </w:r>
      <w:r w:rsidR="008B56B4" w:rsidRPr="009F4266">
        <w:rPr>
          <w:rFonts w:cs="Helvetica"/>
          <w:color w:val="595959"/>
          <w:szCs w:val="20"/>
        </w:rPr>
        <w:t xml:space="preserve"> as well as </w:t>
      </w:r>
      <w:r w:rsidR="00D1330F" w:rsidRPr="009F4266">
        <w:rPr>
          <w:rFonts w:cs="Helvetica"/>
          <w:color w:val="595959"/>
          <w:szCs w:val="20"/>
        </w:rPr>
        <w:t>provid</w:t>
      </w:r>
      <w:r w:rsidR="0008464F" w:rsidRPr="009F4266">
        <w:rPr>
          <w:rFonts w:cs="Helvetica"/>
          <w:color w:val="595959"/>
          <w:szCs w:val="20"/>
        </w:rPr>
        <w:t>e</w:t>
      </w:r>
      <w:r w:rsidR="00D1330F" w:rsidRPr="009F4266">
        <w:rPr>
          <w:rFonts w:cs="Helvetica"/>
          <w:color w:val="595959"/>
          <w:szCs w:val="20"/>
        </w:rPr>
        <w:t xml:space="preserve"> a foundation to </w:t>
      </w:r>
      <w:r w:rsidR="008B56B4" w:rsidRPr="009F4266">
        <w:rPr>
          <w:rFonts w:cs="Helvetica"/>
          <w:color w:val="595959"/>
          <w:szCs w:val="20"/>
        </w:rPr>
        <w:t xml:space="preserve">support </w:t>
      </w:r>
      <w:r w:rsidR="00F41803">
        <w:rPr>
          <w:rFonts w:cs="Helvetica"/>
          <w:color w:val="595959"/>
          <w:szCs w:val="20"/>
        </w:rPr>
        <w:t xml:space="preserve">broader </w:t>
      </w:r>
      <w:r w:rsidR="00D1330F" w:rsidRPr="009F4266">
        <w:rPr>
          <w:rFonts w:cs="Helvetica"/>
          <w:color w:val="595959"/>
          <w:szCs w:val="20"/>
        </w:rPr>
        <w:t>sustainability</w:t>
      </w:r>
      <w:r w:rsidR="008B56B4" w:rsidRPr="009F4266">
        <w:rPr>
          <w:rFonts w:cs="Helvetica"/>
          <w:color w:val="595959"/>
          <w:szCs w:val="20"/>
        </w:rPr>
        <w:t xml:space="preserve"> efforts</w:t>
      </w:r>
      <w:r w:rsidR="009831A3">
        <w:rPr>
          <w:rFonts w:cs="Helvetica"/>
          <w:color w:val="595959"/>
          <w:szCs w:val="20"/>
        </w:rPr>
        <w:t xml:space="preserve">.  </w:t>
      </w:r>
      <w:r w:rsidR="00D1330F" w:rsidRPr="009F4266">
        <w:rPr>
          <w:rFonts w:cs="Helvetica"/>
          <w:color w:val="595959"/>
          <w:szCs w:val="20"/>
        </w:rPr>
        <w:t>T</w:t>
      </w:r>
      <w:r w:rsidR="00394E23" w:rsidRPr="009F4266">
        <w:rPr>
          <w:rFonts w:cs="Helvetica"/>
          <w:color w:val="595959"/>
          <w:szCs w:val="20"/>
        </w:rPr>
        <w:t xml:space="preserve">he growing importance of LCA </w:t>
      </w:r>
      <w:r w:rsidR="00D1330F" w:rsidRPr="009F4266">
        <w:rPr>
          <w:rFonts w:cs="Helvetica"/>
          <w:color w:val="595959"/>
          <w:szCs w:val="20"/>
        </w:rPr>
        <w:t>necessitates</w:t>
      </w:r>
      <w:r w:rsidRPr="009F4266">
        <w:rPr>
          <w:rFonts w:cs="Helvetica"/>
          <w:color w:val="595959"/>
          <w:szCs w:val="20"/>
        </w:rPr>
        <w:t xml:space="preserve"> </w:t>
      </w:r>
      <w:r w:rsidR="001068B5" w:rsidRPr="009F4266">
        <w:rPr>
          <w:rFonts w:cs="Helvetica"/>
          <w:color w:val="595959"/>
          <w:szCs w:val="20"/>
        </w:rPr>
        <w:t xml:space="preserve">the availability of </w:t>
      </w:r>
      <w:r w:rsidRPr="009F4266">
        <w:rPr>
          <w:rFonts w:cs="Helvetica"/>
          <w:color w:val="595959"/>
          <w:szCs w:val="20"/>
        </w:rPr>
        <w:t xml:space="preserve">robust and up-to-date information </w:t>
      </w:r>
      <w:r w:rsidR="00D1330F" w:rsidRPr="009F4266">
        <w:rPr>
          <w:rFonts w:cs="Helvetica"/>
          <w:color w:val="595959"/>
          <w:szCs w:val="20"/>
        </w:rPr>
        <w:t>on key stages in the product system</w:t>
      </w:r>
      <w:r w:rsidR="009831A3">
        <w:rPr>
          <w:rFonts w:cs="Helvetica"/>
          <w:color w:val="595959"/>
          <w:szCs w:val="20"/>
        </w:rPr>
        <w:t xml:space="preserve">.  </w:t>
      </w:r>
    </w:p>
    <w:p w14:paraId="53B2953B" w14:textId="77777777" w:rsidR="00315FAB" w:rsidRPr="009F4266" w:rsidRDefault="00315FAB" w:rsidP="009E11C8">
      <w:pPr>
        <w:spacing w:after="0" w:line="312" w:lineRule="auto"/>
        <w:jc w:val="both"/>
        <w:rPr>
          <w:rFonts w:cs="Helvetica"/>
          <w:color w:val="595959"/>
          <w:szCs w:val="20"/>
        </w:rPr>
      </w:pPr>
    </w:p>
    <w:p w14:paraId="4C7DFC20" w14:textId="1604BE00" w:rsidR="00C54D5C" w:rsidRPr="009F4266" w:rsidRDefault="00BD2593" w:rsidP="00C54D5C">
      <w:pPr>
        <w:spacing w:after="0" w:line="312" w:lineRule="auto"/>
        <w:jc w:val="both"/>
        <w:rPr>
          <w:rFonts w:cs="Helvetica"/>
          <w:color w:val="595959"/>
          <w:szCs w:val="20"/>
        </w:rPr>
      </w:pPr>
      <w:r w:rsidRPr="009F4266">
        <w:rPr>
          <w:rFonts w:cs="Helvetica"/>
          <w:color w:val="595959"/>
          <w:szCs w:val="20"/>
        </w:rPr>
        <w:t xml:space="preserve">The collection of global aluminium industry data for use in </w:t>
      </w:r>
      <w:r w:rsidR="001E67D2">
        <w:rPr>
          <w:rFonts w:cs="Helvetica"/>
          <w:color w:val="595959"/>
          <w:szCs w:val="20"/>
        </w:rPr>
        <w:t>LCAs</w:t>
      </w:r>
      <w:r w:rsidRPr="009F4266">
        <w:rPr>
          <w:rFonts w:cs="Helvetica"/>
          <w:color w:val="595959"/>
          <w:szCs w:val="20"/>
        </w:rPr>
        <w:t xml:space="preserve"> was initiated by the </w:t>
      </w:r>
      <w:r w:rsidRPr="009F4266">
        <w:rPr>
          <w:rFonts w:cs="Helvetica"/>
          <w:i/>
          <w:color w:val="595959"/>
          <w:szCs w:val="20"/>
        </w:rPr>
        <w:t>International Aluminium Institute</w:t>
      </w:r>
      <w:r w:rsidRPr="009F4266">
        <w:rPr>
          <w:rFonts w:cs="Helvetica"/>
          <w:color w:val="595959"/>
          <w:szCs w:val="20"/>
        </w:rPr>
        <w:t xml:space="preserve"> (IAI) in 1998</w:t>
      </w:r>
      <w:r w:rsidR="00EB478A">
        <w:rPr>
          <w:rFonts w:cs="Helvetica"/>
          <w:color w:val="595959"/>
          <w:szCs w:val="20"/>
        </w:rPr>
        <w:t>, although the Institute has been collecting energy and other relevant data since the 1970s</w:t>
      </w:r>
      <w:r w:rsidR="009831A3">
        <w:rPr>
          <w:rFonts w:cs="Helvetica"/>
          <w:color w:val="595959"/>
          <w:szCs w:val="20"/>
        </w:rPr>
        <w:t xml:space="preserve">.  </w:t>
      </w:r>
      <w:r w:rsidR="00EB478A">
        <w:rPr>
          <w:rFonts w:cs="Helvetica"/>
          <w:color w:val="595959"/>
          <w:szCs w:val="20"/>
        </w:rPr>
        <w:t>Life cycle inventory</w:t>
      </w:r>
      <w:r w:rsidR="001E67D2">
        <w:rPr>
          <w:rFonts w:cs="Helvetica"/>
          <w:color w:val="595959"/>
          <w:szCs w:val="20"/>
        </w:rPr>
        <w:t xml:space="preserve"> (LCI)</w:t>
      </w:r>
      <w:r w:rsidR="00EB478A">
        <w:rPr>
          <w:rFonts w:cs="Helvetica"/>
          <w:color w:val="595959"/>
          <w:szCs w:val="20"/>
        </w:rPr>
        <w:t xml:space="preserve"> data has since been published </w:t>
      </w:r>
      <w:r w:rsidRPr="009F4266">
        <w:rPr>
          <w:rFonts w:cs="Helvetica"/>
          <w:color w:val="595959"/>
          <w:szCs w:val="20"/>
        </w:rPr>
        <w:t>for the reference years 2000, 2005</w:t>
      </w:r>
      <w:r w:rsidR="00C54D5C">
        <w:rPr>
          <w:rFonts w:cs="Helvetica"/>
          <w:color w:val="595959"/>
          <w:szCs w:val="20"/>
        </w:rPr>
        <w:t xml:space="preserve">, </w:t>
      </w:r>
      <w:r w:rsidRPr="009F4266">
        <w:rPr>
          <w:rFonts w:cs="Helvetica"/>
          <w:color w:val="595959"/>
          <w:szCs w:val="20"/>
        </w:rPr>
        <w:t>2010</w:t>
      </w:r>
      <w:r w:rsidR="00C54D5C">
        <w:rPr>
          <w:rFonts w:cs="Helvetica"/>
          <w:color w:val="595959"/>
          <w:szCs w:val="20"/>
        </w:rPr>
        <w:t xml:space="preserve"> and 2015</w:t>
      </w:r>
      <w:r w:rsidR="009831A3">
        <w:rPr>
          <w:rFonts w:cs="Helvetica"/>
          <w:color w:val="595959"/>
          <w:szCs w:val="20"/>
        </w:rPr>
        <w:t xml:space="preserve">.  </w:t>
      </w:r>
      <w:r w:rsidRPr="009F4266">
        <w:rPr>
          <w:rFonts w:cs="Helvetica"/>
          <w:color w:val="595959"/>
          <w:szCs w:val="20"/>
        </w:rPr>
        <w:t>The 2014 publication of an Environmental Metrics Report</w:t>
      </w:r>
      <w:r w:rsidR="00EB478A">
        <w:rPr>
          <w:rFonts w:cs="Helvetica"/>
          <w:color w:val="595959"/>
          <w:szCs w:val="20"/>
        </w:rPr>
        <w:t>,</w:t>
      </w:r>
      <w:r w:rsidRPr="009F4266">
        <w:rPr>
          <w:rFonts w:cs="Helvetica"/>
          <w:color w:val="595959"/>
          <w:szCs w:val="20"/>
        </w:rPr>
        <w:t xml:space="preserve"> based on the 2010 </w:t>
      </w:r>
      <w:r w:rsidR="0008464F" w:rsidRPr="009F4266">
        <w:rPr>
          <w:rFonts w:cs="Helvetica"/>
          <w:color w:val="595959"/>
          <w:szCs w:val="20"/>
        </w:rPr>
        <w:t>LCI</w:t>
      </w:r>
      <w:r w:rsidRPr="009F4266">
        <w:rPr>
          <w:rFonts w:cs="Helvetica"/>
          <w:color w:val="595959"/>
          <w:szCs w:val="20"/>
        </w:rPr>
        <w:t>, was the first time that the Institute published</w:t>
      </w:r>
      <w:r w:rsidR="00DD1902">
        <w:rPr>
          <w:rFonts w:cs="Helvetica"/>
          <w:color w:val="595959"/>
          <w:szCs w:val="20"/>
        </w:rPr>
        <w:t xml:space="preserve"> the results of </w:t>
      </w:r>
      <w:r w:rsidRPr="009F4266">
        <w:rPr>
          <w:rFonts w:cs="Helvetica"/>
          <w:color w:val="595959"/>
          <w:szCs w:val="20"/>
        </w:rPr>
        <w:t>a cradle-to-gate impact assessment</w:t>
      </w:r>
      <w:r w:rsidR="009831A3">
        <w:rPr>
          <w:rFonts w:cs="Helvetica"/>
          <w:color w:val="595959"/>
          <w:szCs w:val="20"/>
        </w:rPr>
        <w:t xml:space="preserve">. </w:t>
      </w:r>
      <w:r w:rsidR="00C54D5C">
        <w:rPr>
          <w:rFonts w:cs="Helvetica"/>
          <w:color w:val="595959"/>
          <w:szCs w:val="20"/>
        </w:rPr>
        <w:t>This analysis</w:t>
      </w:r>
      <w:r w:rsidR="00C54D5C" w:rsidRPr="009F4266">
        <w:rPr>
          <w:rFonts w:cs="Helvetica"/>
          <w:color w:val="595959"/>
          <w:szCs w:val="20"/>
        </w:rPr>
        <w:t xml:space="preserve"> brought together the input and output flows identified in the inventory phase, with background datasets</w:t>
      </w:r>
      <w:r w:rsidR="00C54D5C">
        <w:rPr>
          <w:rFonts w:cs="Helvetica"/>
          <w:color w:val="595959"/>
          <w:szCs w:val="20"/>
        </w:rPr>
        <w:t>, published</w:t>
      </w:r>
      <w:r w:rsidR="00C54D5C" w:rsidRPr="009F4266">
        <w:rPr>
          <w:rFonts w:cs="Helvetica"/>
          <w:color w:val="595959"/>
          <w:szCs w:val="20"/>
        </w:rPr>
        <w:t xml:space="preserve"> in </w:t>
      </w:r>
      <w:r w:rsidR="00C54D5C">
        <w:rPr>
          <w:rFonts w:cs="Helvetica"/>
          <w:color w:val="595959"/>
          <w:szCs w:val="20"/>
        </w:rPr>
        <w:t>third party</w:t>
      </w:r>
      <w:r w:rsidR="00C54D5C" w:rsidRPr="009F4266">
        <w:rPr>
          <w:rFonts w:cs="Helvetica"/>
          <w:color w:val="595959"/>
          <w:szCs w:val="20"/>
        </w:rPr>
        <w:t xml:space="preserve"> LCA databases, to evaluate the potential environmental impacts of primary aluminium </w:t>
      </w:r>
      <w:r w:rsidR="00C54D5C">
        <w:rPr>
          <w:rFonts w:cs="Helvetica"/>
          <w:color w:val="595959"/>
          <w:szCs w:val="20"/>
        </w:rPr>
        <w:t xml:space="preserve">ingot </w:t>
      </w:r>
      <w:r w:rsidR="00C54D5C" w:rsidRPr="009F4266">
        <w:rPr>
          <w:rFonts w:cs="Helvetica"/>
          <w:color w:val="595959"/>
          <w:szCs w:val="20"/>
        </w:rPr>
        <w:t>production</w:t>
      </w:r>
      <w:r w:rsidR="00C54D5C">
        <w:rPr>
          <w:rFonts w:cs="Helvetica"/>
          <w:color w:val="595959"/>
          <w:szCs w:val="20"/>
        </w:rPr>
        <w:t xml:space="preserve">, from cradle-to-gate.  </w:t>
      </w:r>
      <w:r w:rsidR="009831A3">
        <w:rPr>
          <w:rFonts w:cs="Helvetica"/>
          <w:color w:val="595959"/>
          <w:szCs w:val="20"/>
        </w:rPr>
        <w:t xml:space="preserve"> </w:t>
      </w:r>
      <w:r w:rsidR="00C54D5C">
        <w:rPr>
          <w:rFonts w:cs="Helvetica"/>
          <w:color w:val="595959"/>
          <w:szCs w:val="20"/>
        </w:rPr>
        <w:t>The 2017 publication of 2015 LCI was the first time that t</w:t>
      </w:r>
      <w:r w:rsidR="00C54D5C" w:rsidRPr="00C54D5C">
        <w:rPr>
          <w:rFonts w:cs="Helvetica"/>
          <w:color w:val="595959"/>
          <w:szCs w:val="20"/>
        </w:rPr>
        <w:t xml:space="preserve">he Institute provided regionalised LCI datasets, </w:t>
      </w:r>
      <w:r w:rsidR="00C54D5C">
        <w:rPr>
          <w:rFonts w:cs="Helvetica"/>
          <w:color w:val="595959"/>
          <w:szCs w:val="20"/>
        </w:rPr>
        <w:t>which enable</w:t>
      </w:r>
      <w:r w:rsidR="00C54D5C" w:rsidRPr="00C54D5C">
        <w:rPr>
          <w:rFonts w:cs="Helvetica"/>
          <w:color w:val="595959"/>
          <w:szCs w:val="20"/>
        </w:rPr>
        <w:t xml:space="preserve"> users </w:t>
      </w:r>
      <w:r w:rsidR="00C54D5C">
        <w:rPr>
          <w:rFonts w:cs="Helvetica"/>
          <w:color w:val="595959"/>
          <w:szCs w:val="20"/>
        </w:rPr>
        <w:t xml:space="preserve">to </w:t>
      </w:r>
      <w:r w:rsidR="00C54D5C" w:rsidRPr="00C54D5C">
        <w:rPr>
          <w:rFonts w:cs="Helvetica"/>
          <w:color w:val="595959"/>
          <w:szCs w:val="20"/>
        </w:rPr>
        <w:t xml:space="preserve">have access to more specific data for analyses related to regional markets or for the modelling of specific inter-regional flows. </w:t>
      </w:r>
      <w:r w:rsidR="00C54D5C">
        <w:rPr>
          <w:rFonts w:cs="Helvetica"/>
          <w:color w:val="595959"/>
          <w:szCs w:val="20"/>
        </w:rPr>
        <w:t xml:space="preserve">In addition to providing such data, the </w:t>
      </w:r>
      <w:r w:rsidR="00C54D5C" w:rsidRPr="009F4266">
        <w:rPr>
          <w:rFonts w:cs="Helvetica"/>
          <w:color w:val="595959"/>
          <w:szCs w:val="20"/>
        </w:rPr>
        <w:t>Environmental Metrics Report</w:t>
      </w:r>
      <w:r w:rsidR="00C54D5C">
        <w:rPr>
          <w:rFonts w:cs="Helvetica"/>
          <w:color w:val="595959"/>
          <w:szCs w:val="20"/>
        </w:rPr>
        <w:t xml:space="preserve"> also</w:t>
      </w:r>
      <w:r w:rsidR="00C54D5C" w:rsidRPr="009F4266">
        <w:rPr>
          <w:rFonts w:cs="Helvetica"/>
          <w:color w:val="595959"/>
          <w:szCs w:val="20"/>
        </w:rPr>
        <w:t xml:space="preserve"> demonstrate</w:t>
      </w:r>
      <w:r w:rsidR="00C54D5C">
        <w:rPr>
          <w:rFonts w:cs="Helvetica"/>
          <w:color w:val="595959"/>
          <w:szCs w:val="20"/>
        </w:rPr>
        <w:t>d</w:t>
      </w:r>
      <w:r w:rsidR="00C54D5C" w:rsidRPr="009F4266">
        <w:rPr>
          <w:rFonts w:cs="Helvetica"/>
          <w:color w:val="595959"/>
          <w:szCs w:val="20"/>
        </w:rPr>
        <w:t xml:space="preserve"> how </w:t>
      </w:r>
      <w:r w:rsidR="00C54D5C">
        <w:rPr>
          <w:rFonts w:cs="Helvetica"/>
          <w:color w:val="595959"/>
          <w:szCs w:val="20"/>
        </w:rPr>
        <w:t>such LCI</w:t>
      </w:r>
      <w:r w:rsidR="00C54D5C" w:rsidRPr="009F4266">
        <w:rPr>
          <w:rFonts w:cs="Helvetica"/>
          <w:color w:val="595959"/>
          <w:szCs w:val="20"/>
        </w:rPr>
        <w:t xml:space="preserve"> data can be used as part of an impact assessment from cradle to gate through the modelling of a select set of archetype scenarios</w:t>
      </w:r>
      <w:r w:rsidR="00C54D5C">
        <w:rPr>
          <w:rFonts w:cs="Helvetica"/>
          <w:color w:val="595959"/>
          <w:szCs w:val="20"/>
        </w:rPr>
        <w:t xml:space="preserve">.  </w:t>
      </w:r>
    </w:p>
    <w:p w14:paraId="0513CA2F" w14:textId="20E30311" w:rsidR="00BD2593" w:rsidRDefault="00C54D5C" w:rsidP="009E11C8">
      <w:pPr>
        <w:spacing w:after="0" w:line="312" w:lineRule="auto"/>
        <w:jc w:val="both"/>
        <w:rPr>
          <w:rFonts w:cs="Helvetica"/>
          <w:color w:val="595959"/>
          <w:szCs w:val="20"/>
        </w:rPr>
      </w:pPr>
      <w:r w:rsidRPr="00C54D5C">
        <w:rPr>
          <w:rFonts w:cs="Helvetica"/>
          <w:color w:val="595959"/>
          <w:szCs w:val="20"/>
        </w:rPr>
        <w:t xml:space="preserve"> </w:t>
      </w:r>
    </w:p>
    <w:p w14:paraId="3FF978F8" w14:textId="77777777" w:rsidR="007C0651" w:rsidRPr="009F4266" w:rsidRDefault="007C0651" w:rsidP="009E11C8">
      <w:pPr>
        <w:spacing w:after="0" w:line="312" w:lineRule="auto"/>
        <w:jc w:val="both"/>
        <w:rPr>
          <w:rFonts w:cs="Helvetica"/>
          <w:color w:val="595959"/>
          <w:szCs w:val="20"/>
        </w:rPr>
      </w:pPr>
    </w:p>
    <w:p w14:paraId="67B33F19" w14:textId="78DA817D" w:rsidR="007C0651" w:rsidRPr="00B86E2D" w:rsidRDefault="007C0651" w:rsidP="007C0651">
      <w:pPr>
        <w:pStyle w:val="Heading1"/>
      </w:pPr>
      <w:bookmarkStart w:id="21" w:name="_Toc120111910"/>
      <w:r>
        <w:t>Goal and Scope</w:t>
      </w:r>
      <w:bookmarkEnd w:id="21"/>
    </w:p>
    <w:p w14:paraId="2F27A7A5" w14:textId="331ECC34" w:rsidR="00BD2593" w:rsidRDefault="001B60A5" w:rsidP="009E11C8">
      <w:pPr>
        <w:spacing w:after="0" w:line="312" w:lineRule="auto"/>
        <w:jc w:val="both"/>
        <w:rPr>
          <w:rFonts w:cs="Helvetica"/>
          <w:color w:val="595959"/>
          <w:szCs w:val="20"/>
        </w:rPr>
      </w:pPr>
      <w:r w:rsidRPr="009F4266">
        <w:rPr>
          <w:rFonts w:cs="Helvetica"/>
          <w:color w:val="595959"/>
          <w:szCs w:val="20"/>
        </w:rPr>
        <w:t>This report builds on the</w:t>
      </w:r>
      <w:r w:rsidR="0058465F" w:rsidRPr="009F4266">
        <w:rPr>
          <w:rFonts w:cs="Helvetica"/>
          <w:color w:val="595959"/>
          <w:szCs w:val="20"/>
        </w:rPr>
        <w:t xml:space="preserve"> Institute’s</w:t>
      </w:r>
      <w:r w:rsidRPr="009F4266">
        <w:rPr>
          <w:rFonts w:cs="Helvetica"/>
          <w:color w:val="595959"/>
          <w:szCs w:val="20"/>
        </w:rPr>
        <w:t xml:space="preserve"> Life Cycle work </w:t>
      </w:r>
      <w:r w:rsidR="00320E1D" w:rsidRPr="009F4266">
        <w:rPr>
          <w:rFonts w:cs="Helvetica"/>
          <w:color w:val="595959"/>
          <w:szCs w:val="20"/>
        </w:rPr>
        <w:t xml:space="preserve">to date </w:t>
      </w:r>
      <w:r w:rsidRPr="009F4266">
        <w:rPr>
          <w:rFonts w:cs="Helvetica"/>
          <w:color w:val="595959"/>
          <w:szCs w:val="20"/>
        </w:rPr>
        <w:t xml:space="preserve">and </w:t>
      </w:r>
      <w:r w:rsidR="0058465F" w:rsidRPr="009F4266">
        <w:rPr>
          <w:rFonts w:cs="Helvetica"/>
          <w:color w:val="595959"/>
          <w:szCs w:val="20"/>
        </w:rPr>
        <w:t>aims to</w:t>
      </w:r>
      <w:r w:rsidR="00BD2593" w:rsidRPr="009F4266">
        <w:rPr>
          <w:rFonts w:cs="Helvetica"/>
          <w:color w:val="595959"/>
          <w:szCs w:val="20"/>
        </w:rPr>
        <w:t xml:space="preserve"> </w:t>
      </w:r>
      <w:r w:rsidR="00320E1D" w:rsidRPr="009F4266">
        <w:rPr>
          <w:rFonts w:cs="Helvetica"/>
          <w:color w:val="595959"/>
          <w:szCs w:val="20"/>
        </w:rPr>
        <w:t>publish</w:t>
      </w:r>
      <w:r w:rsidR="00BD2593" w:rsidRPr="009F4266">
        <w:rPr>
          <w:rFonts w:cs="Helvetica"/>
          <w:color w:val="595959"/>
          <w:szCs w:val="20"/>
        </w:rPr>
        <w:t xml:space="preserve"> all significant l</w:t>
      </w:r>
      <w:r w:rsidR="001068B5" w:rsidRPr="009F4266">
        <w:rPr>
          <w:rFonts w:cs="Helvetica"/>
          <w:color w:val="595959"/>
          <w:szCs w:val="20"/>
        </w:rPr>
        <w:t xml:space="preserve">ife cycle inventory (LCI) data </w:t>
      </w:r>
      <w:r w:rsidR="001E0F48">
        <w:rPr>
          <w:rFonts w:cs="Helvetica"/>
          <w:color w:val="595959"/>
          <w:szCs w:val="20"/>
        </w:rPr>
        <w:t>from primary aluminium</w:t>
      </w:r>
      <w:r w:rsidR="001E0F48" w:rsidRPr="009F4266">
        <w:rPr>
          <w:rFonts w:cs="Helvetica"/>
          <w:color w:val="595959"/>
          <w:szCs w:val="20"/>
        </w:rPr>
        <w:t xml:space="preserve"> production process</w:t>
      </w:r>
      <w:r w:rsidR="001E0F48">
        <w:rPr>
          <w:rFonts w:cs="Helvetica"/>
          <w:color w:val="595959"/>
          <w:szCs w:val="20"/>
        </w:rPr>
        <w:t>es</w:t>
      </w:r>
      <w:r w:rsidR="007C0651">
        <w:rPr>
          <w:rFonts w:cs="Helvetica"/>
          <w:color w:val="595959"/>
          <w:szCs w:val="20"/>
        </w:rPr>
        <w:t xml:space="preserve"> </w:t>
      </w:r>
      <w:r w:rsidR="007C0651">
        <w:rPr>
          <w:rFonts w:cs="Helvetica"/>
          <w:color w:val="595959"/>
          <w:szCs w:val="20"/>
        </w:rPr>
        <w:t>(Figure 1)</w:t>
      </w:r>
      <w:r w:rsidR="001E0F48">
        <w:rPr>
          <w:rFonts w:cs="Helvetica"/>
          <w:color w:val="595959"/>
          <w:szCs w:val="20"/>
        </w:rPr>
        <w:t>,</w:t>
      </w:r>
      <w:r w:rsidR="001E0F48" w:rsidRPr="009F4266">
        <w:rPr>
          <w:rFonts w:cs="Helvetica"/>
          <w:color w:val="595959"/>
          <w:szCs w:val="20"/>
        </w:rPr>
        <w:t xml:space="preserve"> from </w:t>
      </w:r>
      <w:r w:rsidR="001E0F48">
        <w:rPr>
          <w:rFonts w:cs="Helvetica"/>
          <w:color w:val="595959"/>
          <w:szCs w:val="20"/>
        </w:rPr>
        <w:t xml:space="preserve">mining of </w:t>
      </w:r>
      <w:r w:rsidR="001E0F48" w:rsidRPr="009F4266">
        <w:rPr>
          <w:rFonts w:cs="Helvetica"/>
          <w:color w:val="595959"/>
          <w:szCs w:val="20"/>
        </w:rPr>
        <w:t>bauxite ore to ingot</w:t>
      </w:r>
      <w:r w:rsidR="001E0F48">
        <w:rPr>
          <w:rFonts w:cs="Helvetica"/>
          <w:color w:val="595959"/>
          <w:szCs w:val="20"/>
        </w:rPr>
        <w:t xml:space="preserve"> manufacture,</w:t>
      </w:r>
      <w:r w:rsidR="001E0F48" w:rsidRPr="009F4266">
        <w:rPr>
          <w:rFonts w:cs="Helvetica"/>
          <w:color w:val="595959"/>
          <w:szCs w:val="20"/>
        </w:rPr>
        <w:t xml:space="preserve"> </w:t>
      </w:r>
      <w:r w:rsidR="001068B5" w:rsidRPr="009F4266">
        <w:rPr>
          <w:rFonts w:cs="Helvetica"/>
          <w:color w:val="595959"/>
          <w:szCs w:val="20"/>
        </w:rPr>
        <w:t>including: raw material</w:t>
      </w:r>
      <w:r w:rsidR="001E0F48">
        <w:rPr>
          <w:rFonts w:cs="Helvetica"/>
          <w:color w:val="595959"/>
          <w:szCs w:val="20"/>
        </w:rPr>
        <w:t xml:space="preserve"> inputs</w:t>
      </w:r>
      <w:r w:rsidR="001068B5" w:rsidRPr="009F4266">
        <w:rPr>
          <w:rFonts w:cs="Helvetica"/>
          <w:color w:val="595959"/>
          <w:szCs w:val="20"/>
        </w:rPr>
        <w:t>,</w:t>
      </w:r>
      <w:r w:rsidR="00BD2593" w:rsidRPr="009F4266">
        <w:rPr>
          <w:rFonts w:cs="Helvetica"/>
          <w:color w:val="595959"/>
          <w:szCs w:val="20"/>
        </w:rPr>
        <w:t xml:space="preserve"> energy </w:t>
      </w:r>
      <w:r w:rsidR="00FD4D41">
        <w:rPr>
          <w:rFonts w:cs="Helvetica"/>
          <w:color w:val="595959"/>
          <w:szCs w:val="20"/>
        </w:rPr>
        <w:t>and water consumption</w:t>
      </w:r>
      <w:r w:rsidR="001068B5" w:rsidRPr="009F4266">
        <w:rPr>
          <w:rFonts w:cs="Helvetica"/>
          <w:color w:val="595959"/>
          <w:szCs w:val="20"/>
        </w:rPr>
        <w:t xml:space="preserve">, emissions to air and water and </w:t>
      </w:r>
      <w:r w:rsidR="00BD2593" w:rsidRPr="009F4266">
        <w:rPr>
          <w:rFonts w:cs="Helvetica"/>
          <w:color w:val="595959"/>
          <w:szCs w:val="20"/>
        </w:rPr>
        <w:t xml:space="preserve">solid waste </w:t>
      </w:r>
      <w:r w:rsidR="001E0F48">
        <w:rPr>
          <w:rFonts w:cs="Helvetica"/>
          <w:color w:val="595959"/>
          <w:szCs w:val="20"/>
        </w:rPr>
        <w:t>generation</w:t>
      </w:r>
      <w:r w:rsidR="009831A3">
        <w:rPr>
          <w:rFonts w:cs="Helvetica"/>
          <w:color w:val="595959"/>
          <w:szCs w:val="20"/>
        </w:rPr>
        <w:t xml:space="preserve">.  </w:t>
      </w:r>
      <w:r w:rsidR="001068B5" w:rsidRPr="009F4266">
        <w:rPr>
          <w:rFonts w:cs="Helvetica"/>
          <w:color w:val="595959"/>
          <w:szCs w:val="20"/>
        </w:rPr>
        <w:t xml:space="preserve">The Institute </w:t>
      </w:r>
      <w:r w:rsidR="001E0F48">
        <w:rPr>
          <w:rFonts w:cs="Helvetica"/>
          <w:color w:val="595959"/>
          <w:szCs w:val="20"/>
        </w:rPr>
        <w:t>believes</w:t>
      </w:r>
      <w:r w:rsidR="001068B5" w:rsidRPr="009F4266">
        <w:rPr>
          <w:rFonts w:cs="Helvetica"/>
          <w:color w:val="595959"/>
          <w:szCs w:val="20"/>
        </w:rPr>
        <w:t xml:space="preserve"> that up to date, robust</w:t>
      </w:r>
      <w:r w:rsidR="00FD4D41">
        <w:rPr>
          <w:rFonts w:cs="Helvetica"/>
          <w:color w:val="595959"/>
          <w:szCs w:val="20"/>
        </w:rPr>
        <w:t xml:space="preserve"> generic</w:t>
      </w:r>
      <w:r w:rsidR="001068B5" w:rsidRPr="009F4266">
        <w:rPr>
          <w:rFonts w:cs="Helvetica"/>
          <w:color w:val="595959"/>
          <w:szCs w:val="20"/>
        </w:rPr>
        <w:t xml:space="preserve"> </w:t>
      </w:r>
      <w:r w:rsidR="001E0F48">
        <w:rPr>
          <w:rFonts w:cs="Helvetica"/>
          <w:color w:val="595959"/>
          <w:szCs w:val="20"/>
        </w:rPr>
        <w:t>inventory</w:t>
      </w:r>
      <w:r w:rsidR="001E0F48" w:rsidRPr="009F4266">
        <w:rPr>
          <w:rFonts w:cs="Helvetica"/>
          <w:color w:val="595959"/>
          <w:szCs w:val="20"/>
        </w:rPr>
        <w:t xml:space="preserve"> </w:t>
      </w:r>
      <w:r w:rsidR="001068B5" w:rsidRPr="009F4266">
        <w:rPr>
          <w:rFonts w:cs="Helvetica"/>
          <w:color w:val="595959"/>
          <w:szCs w:val="20"/>
        </w:rPr>
        <w:t xml:space="preserve">data </w:t>
      </w:r>
      <w:r w:rsidR="001E0F48">
        <w:rPr>
          <w:rFonts w:cs="Helvetica"/>
          <w:color w:val="595959"/>
          <w:szCs w:val="20"/>
        </w:rPr>
        <w:t>should be made</w:t>
      </w:r>
      <w:r w:rsidR="001E0F48" w:rsidRPr="009F4266">
        <w:rPr>
          <w:rFonts w:cs="Helvetica"/>
          <w:color w:val="595959"/>
          <w:szCs w:val="20"/>
        </w:rPr>
        <w:t xml:space="preserve"> </w:t>
      </w:r>
      <w:r w:rsidR="001068B5" w:rsidRPr="009F4266">
        <w:rPr>
          <w:rFonts w:cs="Helvetica"/>
          <w:color w:val="595959"/>
          <w:szCs w:val="20"/>
        </w:rPr>
        <w:t>available for use by LCA practitioners to complete independent impact assessments</w:t>
      </w:r>
      <w:r w:rsidR="009831A3">
        <w:rPr>
          <w:rFonts w:cs="Helvetica"/>
          <w:color w:val="595959"/>
          <w:szCs w:val="20"/>
        </w:rPr>
        <w:t xml:space="preserve">. </w:t>
      </w:r>
      <w:r w:rsidR="007C0651">
        <w:rPr>
          <w:rFonts w:cs="Helvetica"/>
          <w:color w:val="595959"/>
          <w:szCs w:val="20"/>
        </w:rPr>
        <w:t>Also, the</w:t>
      </w:r>
      <w:r w:rsidR="007C0651" w:rsidRPr="007C0651">
        <w:rPr>
          <w:rFonts w:cs="Helvetica"/>
          <w:color w:val="595959"/>
          <w:szCs w:val="20"/>
        </w:rPr>
        <w:t xml:space="preserve"> inventory provides production weighted mean data that may be used as </w:t>
      </w:r>
      <w:r w:rsidR="007C0651" w:rsidRPr="007C0651">
        <w:rPr>
          <w:rFonts w:cs="Helvetica"/>
          <w:color w:val="595959"/>
          <w:szCs w:val="20"/>
        </w:rPr>
        <w:t>benchmarks for</w:t>
      </w:r>
      <w:r w:rsidR="007C0651" w:rsidRPr="007C0651">
        <w:rPr>
          <w:rFonts w:cs="Helvetica"/>
          <w:color w:val="595959"/>
          <w:szCs w:val="20"/>
        </w:rPr>
        <w:t xml:space="preserve"> individual companies to determine significant environmental aspects within their own processes.</w:t>
      </w:r>
    </w:p>
    <w:p w14:paraId="1F573112" w14:textId="77777777" w:rsidR="00BD2593" w:rsidRPr="009F4266" w:rsidRDefault="00BD2593" w:rsidP="00B86E2D">
      <w:pPr>
        <w:spacing w:after="0" w:line="312" w:lineRule="auto"/>
        <w:jc w:val="both"/>
        <w:rPr>
          <w:rFonts w:cs="Helvetica"/>
          <w:color w:val="595959"/>
          <w:szCs w:val="20"/>
          <w:highlight w:val="yellow"/>
        </w:rPr>
      </w:pPr>
    </w:p>
    <w:p w14:paraId="0BD9BE60" w14:textId="77777777" w:rsidR="00C749A3" w:rsidRDefault="00320E1D" w:rsidP="00C749A3">
      <w:pPr>
        <w:pStyle w:val="CommentText"/>
        <w:spacing w:line="312" w:lineRule="auto"/>
        <w:jc w:val="both"/>
        <w:rPr>
          <w:rFonts w:cs="Helvetica"/>
          <w:color w:val="595959"/>
        </w:rPr>
      </w:pPr>
      <w:r w:rsidRPr="009F4266">
        <w:rPr>
          <w:rFonts w:cs="Helvetica"/>
          <w:color w:val="595959"/>
        </w:rPr>
        <w:t xml:space="preserve">This report and accompanying data </w:t>
      </w:r>
      <w:r w:rsidR="00FD4D41" w:rsidRPr="009F4266">
        <w:rPr>
          <w:rFonts w:cs="Helvetica"/>
          <w:color w:val="595959"/>
        </w:rPr>
        <w:t>demonstrate</w:t>
      </w:r>
      <w:r w:rsidR="00BD2593" w:rsidRPr="009F4266">
        <w:rPr>
          <w:rFonts w:cs="Helvetica"/>
          <w:color w:val="595959"/>
        </w:rPr>
        <w:t xml:space="preserve"> the </w:t>
      </w:r>
      <w:r w:rsidR="00BD2593" w:rsidRPr="009F4266">
        <w:rPr>
          <w:rFonts w:cs="Helvetica"/>
          <w:bCs/>
          <w:color w:val="595959"/>
        </w:rPr>
        <w:t>global a</w:t>
      </w:r>
      <w:r w:rsidR="00BD2593" w:rsidRPr="009F4266">
        <w:rPr>
          <w:rFonts w:cs="Helvetica"/>
          <w:color w:val="595959"/>
        </w:rPr>
        <w:t xml:space="preserve">luminium industry’s </w:t>
      </w:r>
      <w:r w:rsidR="001E0F48">
        <w:rPr>
          <w:rFonts w:cs="Helvetica"/>
          <w:color w:val="595959"/>
        </w:rPr>
        <w:t>commitment</w:t>
      </w:r>
      <w:r w:rsidR="001E0F48" w:rsidRPr="009F4266">
        <w:rPr>
          <w:rFonts w:cs="Helvetica"/>
          <w:color w:val="595959"/>
        </w:rPr>
        <w:t xml:space="preserve"> </w:t>
      </w:r>
      <w:r w:rsidR="00BD2593" w:rsidRPr="009F4266">
        <w:rPr>
          <w:rFonts w:cs="Helvetica"/>
          <w:color w:val="595959"/>
        </w:rPr>
        <w:t>to report</w:t>
      </w:r>
      <w:r w:rsidR="001068B5" w:rsidRPr="009F4266">
        <w:rPr>
          <w:rFonts w:cs="Helvetica"/>
          <w:color w:val="595959"/>
        </w:rPr>
        <w:t>ing</w:t>
      </w:r>
      <w:r w:rsidR="00BD2593" w:rsidRPr="009F4266">
        <w:rPr>
          <w:rFonts w:cs="Helvetica"/>
          <w:color w:val="595959"/>
        </w:rPr>
        <w:t xml:space="preserve"> its envi</w:t>
      </w:r>
      <w:r w:rsidR="001068B5" w:rsidRPr="009F4266">
        <w:rPr>
          <w:rFonts w:cs="Helvetica"/>
          <w:color w:val="595959"/>
        </w:rPr>
        <w:t>ronmental impacts and to</w:t>
      </w:r>
      <w:r w:rsidR="0008464F" w:rsidRPr="009F4266">
        <w:rPr>
          <w:rFonts w:cs="Helvetica"/>
          <w:color w:val="595959"/>
        </w:rPr>
        <w:t xml:space="preserve"> ensuring that</w:t>
      </w:r>
      <w:r w:rsidR="001068B5" w:rsidRPr="009F4266">
        <w:rPr>
          <w:rFonts w:cs="Helvetica"/>
          <w:color w:val="595959"/>
        </w:rPr>
        <w:t xml:space="preserve"> </w:t>
      </w:r>
      <w:r w:rsidR="00BD2593" w:rsidRPr="009F4266">
        <w:rPr>
          <w:rFonts w:cs="Helvetica"/>
          <w:color w:val="595959"/>
        </w:rPr>
        <w:t xml:space="preserve">the latest and most representative LCI data </w:t>
      </w:r>
      <w:r w:rsidR="0008464F" w:rsidRPr="009F4266">
        <w:rPr>
          <w:rFonts w:cs="Helvetica"/>
          <w:color w:val="595959"/>
        </w:rPr>
        <w:t>is available for wider use</w:t>
      </w:r>
      <w:r w:rsidR="009831A3">
        <w:rPr>
          <w:rFonts w:cs="Helvetica"/>
          <w:color w:val="595959"/>
        </w:rPr>
        <w:t xml:space="preserve">.  </w:t>
      </w:r>
      <w:r w:rsidR="00BD2593" w:rsidRPr="009F4266">
        <w:rPr>
          <w:rFonts w:cs="Helvetica"/>
          <w:color w:val="595959"/>
        </w:rPr>
        <w:t xml:space="preserve">As such, </w:t>
      </w:r>
      <w:r w:rsidR="00C54D5C">
        <w:rPr>
          <w:rFonts w:cs="Helvetica"/>
          <w:color w:val="595959"/>
        </w:rPr>
        <w:t xml:space="preserve">instead of following the 5-yearly reporting cycle, 2019 LCI instead of 2020 is selected, </w:t>
      </w:r>
      <w:r w:rsidR="00FD4D41">
        <w:rPr>
          <w:rFonts w:cs="Helvetica"/>
          <w:color w:val="595959"/>
        </w:rPr>
        <w:t>to</w:t>
      </w:r>
      <w:r w:rsidR="00C54D5C">
        <w:rPr>
          <w:rFonts w:cs="Helvetica"/>
          <w:color w:val="595959"/>
        </w:rPr>
        <w:t xml:space="preserve"> avoid the pandemic impact upon the industry’s regular performance.  </w:t>
      </w:r>
      <w:r w:rsidR="00066525">
        <w:rPr>
          <w:rFonts w:cs="Helvetica"/>
          <w:color w:val="595959"/>
        </w:rPr>
        <w:t>T</w:t>
      </w:r>
      <w:r w:rsidR="00BD2593" w:rsidRPr="009F4266">
        <w:rPr>
          <w:rFonts w:cs="Helvetica"/>
          <w:color w:val="595959"/>
        </w:rPr>
        <w:t>h</w:t>
      </w:r>
      <w:r w:rsidR="00F41803">
        <w:rPr>
          <w:rFonts w:cs="Helvetica"/>
          <w:color w:val="595959"/>
        </w:rPr>
        <w:t>e data included as part of this re</w:t>
      </w:r>
      <w:r w:rsidR="00BD2593" w:rsidRPr="009F4266">
        <w:rPr>
          <w:rFonts w:cs="Helvetica"/>
          <w:color w:val="595959"/>
        </w:rPr>
        <w:t xml:space="preserve">port </w:t>
      </w:r>
      <w:r w:rsidRPr="009F4266">
        <w:rPr>
          <w:rFonts w:cs="Helvetica"/>
          <w:color w:val="595959"/>
        </w:rPr>
        <w:t>provide</w:t>
      </w:r>
      <w:r w:rsidR="001E0F48">
        <w:rPr>
          <w:rFonts w:cs="Helvetica"/>
          <w:color w:val="595959"/>
        </w:rPr>
        <w:t>s</w:t>
      </w:r>
      <w:r w:rsidR="00BD2593" w:rsidRPr="009F4266">
        <w:rPr>
          <w:rFonts w:cs="Helvetica"/>
          <w:color w:val="595959"/>
        </w:rPr>
        <w:t xml:space="preserve"> the </w:t>
      </w:r>
      <w:r w:rsidR="001E0F48">
        <w:rPr>
          <w:rFonts w:cs="Helvetica"/>
          <w:color w:val="595959"/>
        </w:rPr>
        <w:t xml:space="preserve">highest quality </w:t>
      </w:r>
      <w:r w:rsidR="00BD2593" w:rsidRPr="009F4266">
        <w:rPr>
          <w:rFonts w:cs="Helvetica"/>
          <w:color w:val="595959"/>
        </w:rPr>
        <w:t>reference material</w:t>
      </w:r>
      <w:r w:rsidR="001E0F48">
        <w:rPr>
          <w:rFonts w:cs="Helvetica"/>
          <w:color w:val="595959"/>
        </w:rPr>
        <w:t xml:space="preserve"> available</w:t>
      </w:r>
      <w:r w:rsidR="00BD2593" w:rsidRPr="009F4266">
        <w:rPr>
          <w:rFonts w:cs="Helvetica"/>
          <w:color w:val="595959"/>
        </w:rPr>
        <w:t xml:space="preserve"> for </w:t>
      </w:r>
      <w:r w:rsidRPr="009F4266">
        <w:rPr>
          <w:rFonts w:cs="Helvetica"/>
          <w:color w:val="595959"/>
        </w:rPr>
        <w:t xml:space="preserve">conducting life cycle assessments of </w:t>
      </w:r>
      <w:r w:rsidR="001E0F48">
        <w:rPr>
          <w:rFonts w:cs="Helvetica"/>
          <w:color w:val="595959"/>
        </w:rPr>
        <w:t xml:space="preserve">(primary) </w:t>
      </w:r>
      <w:r w:rsidRPr="009F4266">
        <w:rPr>
          <w:rFonts w:cs="Helvetica"/>
          <w:color w:val="595959"/>
        </w:rPr>
        <w:t>aluminium containing products</w:t>
      </w:r>
      <w:r w:rsidR="009831A3">
        <w:rPr>
          <w:rFonts w:cs="Helvetica"/>
          <w:color w:val="595959"/>
        </w:rPr>
        <w:t xml:space="preserve">.  </w:t>
      </w:r>
      <w:r w:rsidR="00C749A3" w:rsidRPr="00E91489">
        <w:rPr>
          <w:rFonts w:cs="Helvetica"/>
          <w:color w:val="595959"/>
        </w:rPr>
        <w:t>This report only applies to the raw material</w:t>
      </w:r>
      <w:r w:rsidR="00C749A3">
        <w:rPr>
          <w:rFonts w:cs="Helvetica"/>
          <w:color w:val="595959"/>
        </w:rPr>
        <w:t>s</w:t>
      </w:r>
      <w:r w:rsidR="00C749A3" w:rsidRPr="00E91489">
        <w:rPr>
          <w:rFonts w:cs="Helvetica"/>
          <w:color w:val="595959"/>
        </w:rPr>
        <w:t xml:space="preserve"> acquisition stage (cradle to gate) of the life cycle of</w:t>
      </w:r>
      <w:r w:rsidR="00C749A3">
        <w:rPr>
          <w:rFonts w:cs="Helvetica"/>
          <w:color w:val="595959"/>
        </w:rPr>
        <w:t xml:space="preserve"> primary</w:t>
      </w:r>
      <w:r w:rsidR="00C749A3" w:rsidRPr="00E91489">
        <w:rPr>
          <w:rFonts w:cs="Helvetica"/>
          <w:color w:val="595959"/>
        </w:rPr>
        <w:t xml:space="preserve"> aluminium </w:t>
      </w:r>
      <w:r w:rsidR="00C749A3">
        <w:rPr>
          <w:rFonts w:cs="Helvetica"/>
          <w:color w:val="595959"/>
        </w:rPr>
        <w:t xml:space="preserve">containing </w:t>
      </w:r>
      <w:r w:rsidR="00C749A3" w:rsidRPr="00E91489">
        <w:rPr>
          <w:rFonts w:cs="Helvetica"/>
          <w:color w:val="595959"/>
        </w:rPr>
        <w:t>products. The</w:t>
      </w:r>
      <w:r w:rsidR="00C749A3">
        <w:rPr>
          <w:rFonts w:cs="Helvetica"/>
          <w:color w:val="595959"/>
        </w:rPr>
        <w:t xml:space="preserve"> inventory</w:t>
      </w:r>
      <w:r w:rsidR="00C749A3" w:rsidRPr="00E91489">
        <w:rPr>
          <w:rFonts w:cs="Helvetica"/>
          <w:color w:val="595959"/>
        </w:rPr>
        <w:t xml:space="preserve"> data can be used as modules for LCA studies of product systems.</w:t>
      </w:r>
    </w:p>
    <w:p w14:paraId="6F0247FE" w14:textId="3B690E7D" w:rsidR="00BD2593" w:rsidRDefault="00BD2593" w:rsidP="00B86E2D">
      <w:pPr>
        <w:spacing w:after="0" w:line="312" w:lineRule="auto"/>
        <w:jc w:val="both"/>
        <w:rPr>
          <w:rFonts w:cs="Helvetica"/>
          <w:color w:val="595959"/>
          <w:szCs w:val="20"/>
        </w:rPr>
      </w:pPr>
    </w:p>
    <w:p w14:paraId="4590CDEA" w14:textId="02AA4C1E" w:rsidR="00273927" w:rsidRPr="009F4266" w:rsidRDefault="007C0651" w:rsidP="00B86E2D">
      <w:pPr>
        <w:spacing w:after="0" w:line="312" w:lineRule="auto"/>
        <w:jc w:val="both"/>
        <w:rPr>
          <w:rFonts w:cs="Helvetica"/>
          <w:color w:val="595959"/>
          <w:szCs w:val="20"/>
          <w:highlight w:val="yellow"/>
        </w:rPr>
      </w:pPr>
      <w:r>
        <w:rPr>
          <w:noProof/>
          <w:lang w:val="de-CH"/>
        </w:rPr>
        <w:drawing>
          <wp:inline distT="0" distB="0" distL="0" distR="0" wp14:anchorId="5A36D8A4" wp14:editId="0521E455">
            <wp:extent cx="5731510" cy="2758656"/>
            <wp:effectExtent l="0" t="0" r="0" b="0"/>
            <wp:docPr id="8" name="Grafik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Diagram&#10;&#10;Description automatically generated"/>
                    <pic:cNvPicPr/>
                  </pic:nvPicPr>
                  <pic:blipFill>
                    <a:blip r:embed="rId11"/>
                    <a:stretch>
                      <a:fillRect/>
                    </a:stretch>
                  </pic:blipFill>
                  <pic:spPr>
                    <a:xfrm>
                      <a:off x="0" y="0"/>
                      <a:ext cx="5731510" cy="2758656"/>
                    </a:xfrm>
                    <a:prstGeom prst="rect">
                      <a:avLst/>
                    </a:prstGeom>
                  </pic:spPr>
                </pic:pic>
              </a:graphicData>
            </a:graphic>
          </wp:inline>
        </w:drawing>
      </w:r>
    </w:p>
    <w:p w14:paraId="6C502B63" w14:textId="7EC15A45" w:rsidR="007C0651" w:rsidRPr="009F4266" w:rsidRDefault="007C0651" w:rsidP="007C0651">
      <w:pPr>
        <w:tabs>
          <w:tab w:val="left" w:pos="-1440"/>
          <w:tab w:val="left" w:pos="-720"/>
        </w:tabs>
        <w:spacing w:before="120" w:after="0" w:line="312" w:lineRule="auto"/>
        <w:jc w:val="right"/>
        <w:rPr>
          <w:rFonts w:cs="Helvetica"/>
          <w:b/>
          <w:color w:val="595959"/>
          <w:szCs w:val="20"/>
        </w:rPr>
      </w:pPr>
      <w:bookmarkStart w:id="22" w:name="__RefHeading__7_1147413177"/>
      <w:bookmarkEnd w:id="19"/>
      <w:bookmarkEnd w:id="22"/>
      <w:r w:rsidRPr="00472066">
        <w:rPr>
          <w:rFonts w:cs="Helvetica"/>
          <w:b/>
          <w:color w:val="595959"/>
          <w:szCs w:val="20"/>
        </w:rPr>
        <w:t>Figure 1:</w:t>
      </w:r>
      <w:r>
        <w:rPr>
          <w:rFonts w:cs="Helvetica"/>
          <w:b/>
          <w:color w:val="595959"/>
          <w:szCs w:val="20"/>
        </w:rPr>
        <w:tab/>
      </w:r>
      <w:r w:rsidRPr="007C0651">
        <w:rPr>
          <w:rFonts w:cs="Helvetica"/>
          <w:b/>
          <w:color w:val="595959"/>
          <w:szCs w:val="20"/>
        </w:rPr>
        <w:t>primary aluminium production processes</w:t>
      </w:r>
    </w:p>
    <w:p w14:paraId="05B9CA5C" w14:textId="77777777" w:rsidR="007C0651" w:rsidRDefault="007C0651" w:rsidP="00B86E2D">
      <w:pPr>
        <w:spacing w:after="0" w:line="312" w:lineRule="auto"/>
        <w:jc w:val="both"/>
        <w:rPr>
          <w:rFonts w:cs="Helvetica"/>
          <w:color w:val="595959"/>
          <w:szCs w:val="20"/>
        </w:rPr>
      </w:pPr>
    </w:p>
    <w:p w14:paraId="5F38608C" w14:textId="3D19114F" w:rsidR="008665F5" w:rsidRPr="009F4266" w:rsidRDefault="00597328" w:rsidP="00B86E2D">
      <w:pPr>
        <w:spacing w:after="0" w:line="312" w:lineRule="auto"/>
        <w:jc w:val="both"/>
        <w:rPr>
          <w:rFonts w:cs="Helvetica"/>
          <w:color w:val="595959"/>
          <w:szCs w:val="20"/>
        </w:rPr>
      </w:pPr>
      <w:r w:rsidRPr="009F4266">
        <w:rPr>
          <w:rFonts w:cs="Helvetica"/>
          <w:color w:val="595959"/>
          <w:szCs w:val="20"/>
        </w:rPr>
        <w:t>Th</w:t>
      </w:r>
      <w:r w:rsidR="00320E1D" w:rsidRPr="009F4266">
        <w:rPr>
          <w:rFonts w:cs="Helvetica"/>
          <w:color w:val="595959"/>
          <w:szCs w:val="20"/>
        </w:rPr>
        <w:t xml:space="preserve">is report </w:t>
      </w:r>
      <w:r w:rsidR="001068B5" w:rsidRPr="009F4266">
        <w:rPr>
          <w:rFonts w:cs="Helvetica"/>
          <w:color w:val="595959"/>
          <w:szCs w:val="20"/>
        </w:rPr>
        <w:t>covers the four main phases of an LCA as outlined in ISO 14040 and 14044</w:t>
      </w:r>
      <w:r w:rsidR="008665F5" w:rsidRPr="009F4266">
        <w:rPr>
          <w:rFonts w:cs="Helvetica"/>
          <w:color w:val="595959"/>
          <w:szCs w:val="20"/>
        </w:rPr>
        <w:t>:</w:t>
      </w:r>
    </w:p>
    <w:p w14:paraId="10DCD333" w14:textId="77777777" w:rsidR="001068B5" w:rsidRPr="009F4266" w:rsidRDefault="001068B5" w:rsidP="00935A71">
      <w:pPr>
        <w:pStyle w:val="ListParagraph"/>
        <w:numPr>
          <w:ilvl w:val="0"/>
          <w:numId w:val="12"/>
        </w:numPr>
        <w:spacing w:after="0" w:line="312" w:lineRule="auto"/>
        <w:jc w:val="both"/>
        <w:rPr>
          <w:rFonts w:cs="Helvetica"/>
          <w:color w:val="595959"/>
          <w:szCs w:val="20"/>
        </w:rPr>
      </w:pPr>
      <w:r w:rsidRPr="009F4266">
        <w:rPr>
          <w:rFonts w:cs="Helvetica"/>
          <w:color w:val="595959"/>
          <w:szCs w:val="20"/>
        </w:rPr>
        <w:t>Goal and Scope</w:t>
      </w:r>
    </w:p>
    <w:p w14:paraId="029EF411" w14:textId="77777777" w:rsidR="004D7928" w:rsidRPr="009F4266" w:rsidRDefault="001068B5" w:rsidP="00935A71">
      <w:pPr>
        <w:pStyle w:val="ListParagraph"/>
        <w:numPr>
          <w:ilvl w:val="0"/>
          <w:numId w:val="12"/>
        </w:numPr>
        <w:spacing w:after="0" w:line="312" w:lineRule="auto"/>
        <w:jc w:val="both"/>
        <w:rPr>
          <w:rFonts w:cs="Helvetica"/>
          <w:color w:val="595959"/>
          <w:szCs w:val="20"/>
        </w:rPr>
      </w:pPr>
      <w:r w:rsidRPr="009F4266">
        <w:rPr>
          <w:rFonts w:cs="Helvetica"/>
          <w:color w:val="595959"/>
          <w:szCs w:val="20"/>
        </w:rPr>
        <w:t>Inventory Analysis</w:t>
      </w:r>
    </w:p>
    <w:p w14:paraId="2705EDEB" w14:textId="77777777" w:rsidR="004D7928" w:rsidRPr="009F4266" w:rsidRDefault="0008464F" w:rsidP="00343530">
      <w:pPr>
        <w:pStyle w:val="ListParagraph"/>
        <w:numPr>
          <w:ilvl w:val="0"/>
          <w:numId w:val="12"/>
        </w:numPr>
        <w:spacing w:after="0" w:line="312" w:lineRule="auto"/>
        <w:jc w:val="both"/>
        <w:rPr>
          <w:rFonts w:cs="Helvetica"/>
          <w:color w:val="595959"/>
          <w:szCs w:val="20"/>
        </w:rPr>
      </w:pPr>
      <w:r w:rsidRPr="009F4266">
        <w:rPr>
          <w:color w:val="595959"/>
          <w:szCs w:val="20"/>
        </w:rPr>
        <w:t>Impact Assessment</w:t>
      </w:r>
      <w:r w:rsidR="007A3E6A" w:rsidRPr="009F4266">
        <w:rPr>
          <w:color w:val="595959"/>
          <w:szCs w:val="20"/>
        </w:rPr>
        <w:t xml:space="preserve"> </w:t>
      </w:r>
    </w:p>
    <w:p w14:paraId="29851DA0" w14:textId="77777777" w:rsidR="0008464F" w:rsidRPr="009F4266" w:rsidRDefault="0008464F">
      <w:pPr>
        <w:pStyle w:val="ListParagraph"/>
        <w:numPr>
          <w:ilvl w:val="0"/>
          <w:numId w:val="12"/>
        </w:numPr>
        <w:spacing w:after="0" w:line="312" w:lineRule="auto"/>
        <w:jc w:val="both"/>
        <w:rPr>
          <w:rFonts w:cs="Helvetica"/>
          <w:color w:val="595959"/>
          <w:szCs w:val="20"/>
        </w:rPr>
      </w:pPr>
      <w:r w:rsidRPr="009F4266">
        <w:rPr>
          <w:color w:val="595959"/>
          <w:szCs w:val="20"/>
        </w:rPr>
        <w:t>Interpretation</w:t>
      </w:r>
    </w:p>
    <w:p w14:paraId="3E5967F3" w14:textId="77777777" w:rsidR="00C749A3" w:rsidRDefault="00C749A3" w:rsidP="00C749A3">
      <w:pPr>
        <w:spacing w:after="0" w:line="312" w:lineRule="auto"/>
        <w:jc w:val="both"/>
        <w:rPr>
          <w:rFonts w:cs="Helvetica"/>
          <w:color w:val="595959"/>
        </w:rPr>
      </w:pPr>
    </w:p>
    <w:p w14:paraId="06F5A9CD" w14:textId="77777777" w:rsidR="00C749A3" w:rsidRDefault="00C749A3" w:rsidP="00C749A3">
      <w:pPr>
        <w:autoSpaceDE w:val="0"/>
        <w:autoSpaceDN w:val="0"/>
        <w:adjustRightInd w:val="0"/>
        <w:spacing w:after="0" w:line="312" w:lineRule="auto"/>
        <w:jc w:val="both"/>
        <w:rPr>
          <w:rFonts w:ascii="Arial" w:hAnsi="Arial" w:cs="Arial"/>
          <w:color w:val="595959"/>
          <w:szCs w:val="20"/>
          <w:lang w:eastAsia="en-GB"/>
        </w:rPr>
      </w:pPr>
      <w:r>
        <w:rPr>
          <w:rFonts w:ascii="Arial" w:hAnsi="Arial" w:cs="Arial"/>
          <w:color w:val="595959"/>
          <w:szCs w:val="20"/>
          <w:lang w:eastAsia="en-GB"/>
        </w:rPr>
        <w:t xml:space="preserve">The study has undergone an interactive </w:t>
      </w:r>
      <w:r w:rsidRPr="002B28BA">
        <w:rPr>
          <w:rFonts w:ascii="Arial" w:hAnsi="Arial" w:cs="Arial"/>
          <w:b/>
          <w:color w:val="595959"/>
          <w:szCs w:val="20"/>
          <w:lang w:eastAsia="en-GB"/>
        </w:rPr>
        <w:t xml:space="preserve">independent third-party </w:t>
      </w:r>
      <w:r>
        <w:rPr>
          <w:rFonts w:ascii="Arial" w:hAnsi="Arial" w:cs="Arial"/>
          <w:b/>
          <w:color w:val="595959"/>
          <w:szCs w:val="20"/>
          <w:lang w:eastAsia="en-GB"/>
        </w:rPr>
        <w:t xml:space="preserve">critical </w:t>
      </w:r>
      <w:r w:rsidRPr="002B28BA">
        <w:rPr>
          <w:rFonts w:ascii="Arial" w:hAnsi="Arial" w:cs="Arial"/>
          <w:b/>
          <w:color w:val="595959"/>
          <w:szCs w:val="20"/>
          <w:lang w:eastAsia="en-GB"/>
        </w:rPr>
        <w:t>review</w:t>
      </w:r>
      <w:r w:rsidRPr="002B28BA">
        <w:rPr>
          <w:rFonts w:ascii="Arial" w:hAnsi="Arial" w:cs="Arial"/>
          <w:color w:val="595959"/>
          <w:szCs w:val="20"/>
          <w:lang w:eastAsia="en-GB"/>
        </w:rPr>
        <w:t xml:space="preserve"> by </w:t>
      </w:r>
      <w:r>
        <w:rPr>
          <w:rFonts w:ascii="Arial" w:hAnsi="Arial" w:cs="Arial"/>
          <w:color w:val="4F4F4F"/>
          <w:szCs w:val="20"/>
        </w:rPr>
        <w:t xml:space="preserve">LCA </w:t>
      </w:r>
      <w:r w:rsidRPr="002B28BA">
        <w:rPr>
          <w:rFonts w:ascii="Arial" w:hAnsi="Arial" w:cs="Arial"/>
          <w:color w:val="4F4F4F"/>
          <w:szCs w:val="20"/>
        </w:rPr>
        <w:t>experts</w:t>
      </w:r>
      <w:r>
        <w:rPr>
          <w:rFonts w:ascii="Arial" w:hAnsi="Arial" w:cs="Arial"/>
          <w:color w:val="595959"/>
          <w:szCs w:val="20"/>
          <w:lang w:eastAsia="en-GB"/>
        </w:rPr>
        <w:t xml:space="preserve"> (</w:t>
      </w:r>
      <w:r w:rsidRPr="002B28BA">
        <w:rPr>
          <w:rFonts w:ascii="Arial" w:hAnsi="Arial" w:cs="Arial"/>
          <w:color w:val="595959"/>
          <w:szCs w:val="20"/>
          <w:lang w:eastAsia="en-GB"/>
        </w:rPr>
        <w:t xml:space="preserve">Rolf Frischknecht, </w:t>
      </w:r>
      <w:r>
        <w:rPr>
          <w:rFonts w:ascii="Arial" w:hAnsi="Arial" w:cs="Arial"/>
          <w:color w:val="595959"/>
          <w:szCs w:val="20"/>
          <w:lang w:eastAsia="en-GB"/>
        </w:rPr>
        <w:t>Hongtao Wang</w:t>
      </w:r>
      <w:r w:rsidRPr="002B28BA">
        <w:rPr>
          <w:rFonts w:ascii="Arial" w:hAnsi="Arial" w:cs="Arial"/>
          <w:color w:val="595959"/>
          <w:szCs w:val="20"/>
          <w:lang w:eastAsia="en-GB"/>
        </w:rPr>
        <w:t xml:space="preserve"> and Kurt Buxmann</w:t>
      </w:r>
      <w:r>
        <w:rPr>
          <w:rFonts w:ascii="Arial" w:hAnsi="Arial" w:cs="Arial"/>
          <w:color w:val="595959"/>
          <w:szCs w:val="20"/>
          <w:lang w:eastAsia="en-GB"/>
        </w:rPr>
        <w:t xml:space="preserve">) to ensure the methods, data and interpretations of this study are reasonable, consistent with relevant international standards and valid.  </w:t>
      </w:r>
    </w:p>
    <w:p w14:paraId="11C7F046" w14:textId="77777777" w:rsidR="00C749A3" w:rsidRDefault="00C749A3" w:rsidP="00E91489">
      <w:pPr>
        <w:pStyle w:val="CommentText"/>
        <w:spacing w:line="312" w:lineRule="auto"/>
        <w:rPr>
          <w:rFonts w:cs="Helvetica"/>
          <w:color w:val="595959"/>
        </w:rPr>
      </w:pPr>
    </w:p>
    <w:p w14:paraId="159F9907" w14:textId="77777777" w:rsidR="002B0EFA" w:rsidRPr="00B86E2D" w:rsidRDefault="002B0EFA" w:rsidP="007061DC">
      <w:pPr>
        <w:pStyle w:val="Heading1"/>
      </w:pPr>
      <w:bookmarkStart w:id="23" w:name="_Toc120111911"/>
      <w:r w:rsidRPr="00B86E2D">
        <w:t xml:space="preserve">Life </w:t>
      </w:r>
      <w:r w:rsidRPr="007061DC">
        <w:t>Cycle</w:t>
      </w:r>
      <w:r w:rsidRPr="00B86E2D">
        <w:t xml:space="preserve"> Inventory </w:t>
      </w:r>
      <w:r w:rsidR="007A3E6A" w:rsidRPr="00B86E2D">
        <w:t>(LCI)</w:t>
      </w:r>
      <w:bookmarkEnd w:id="23"/>
    </w:p>
    <w:p w14:paraId="26BE571E" w14:textId="2205ADA9" w:rsidR="002B0EFA" w:rsidRPr="007061DC" w:rsidRDefault="00D02D5D" w:rsidP="00DA5301">
      <w:pPr>
        <w:pStyle w:val="Heading2"/>
      </w:pPr>
      <w:bookmarkStart w:id="24" w:name="_Toc120111912"/>
      <w:r>
        <w:t>S</w:t>
      </w:r>
      <w:r w:rsidR="002B0EFA" w:rsidRPr="007061DC">
        <w:t>cope</w:t>
      </w:r>
      <w:r w:rsidR="007C0651">
        <w:t xml:space="preserve"> of Data</w:t>
      </w:r>
      <w:bookmarkEnd w:id="24"/>
    </w:p>
    <w:p w14:paraId="2D82C816" w14:textId="5800CE9C" w:rsidR="00273817" w:rsidRPr="009F4266" w:rsidRDefault="001E67D2" w:rsidP="009E11C8">
      <w:pPr>
        <w:spacing w:after="0" w:line="312" w:lineRule="auto"/>
        <w:jc w:val="both"/>
        <w:rPr>
          <w:rFonts w:cs="Helvetica"/>
          <w:color w:val="595959"/>
          <w:szCs w:val="20"/>
        </w:rPr>
      </w:pPr>
      <w:bookmarkStart w:id="25" w:name="__RefHeading__9_1147413177"/>
      <w:bookmarkEnd w:id="25"/>
      <w:r>
        <w:rPr>
          <w:rFonts w:cs="Helvetica"/>
          <w:color w:val="595959"/>
          <w:szCs w:val="20"/>
        </w:rPr>
        <w:t>LCI</w:t>
      </w:r>
      <w:r w:rsidR="00D568FA" w:rsidRPr="009F4266">
        <w:rPr>
          <w:rFonts w:cs="Helvetica"/>
          <w:color w:val="595959"/>
          <w:szCs w:val="20"/>
        </w:rPr>
        <w:t xml:space="preserve"> is to </w:t>
      </w:r>
      <w:r w:rsidR="00DD1902">
        <w:rPr>
          <w:rFonts w:cs="Helvetica"/>
          <w:color w:val="595959"/>
          <w:szCs w:val="20"/>
        </w:rPr>
        <w:t xml:space="preserve">determine inputs and outputs of environmental relevance associated with </w:t>
      </w:r>
      <w:r w:rsidR="002B0EFA" w:rsidRPr="009F4266">
        <w:rPr>
          <w:rFonts w:cs="Helvetica"/>
          <w:color w:val="595959"/>
          <w:szCs w:val="20"/>
        </w:rPr>
        <w:t xml:space="preserve">production </w:t>
      </w:r>
      <w:r w:rsidR="00D568FA" w:rsidRPr="009F4266">
        <w:rPr>
          <w:rFonts w:cs="Helvetica"/>
          <w:color w:val="595959"/>
          <w:szCs w:val="20"/>
        </w:rPr>
        <w:t xml:space="preserve">of primary aluminium from mine to </w:t>
      </w:r>
      <w:proofErr w:type="spellStart"/>
      <w:r w:rsidR="00D568FA" w:rsidRPr="009F4266">
        <w:rPr>
          <w:rFonts w:cs="Helvetica"/>
          <w:color w:val="595959"/>
          <w:szCs w:val="20"/>
        </w:rPr>
        <w:t>casthouse</w:t>
      </w:r>
      <w:proofErr w:type="spellEnd"/>
      <w:r w:rsidR="001E0F48" w:rsidRPr="001E0F48">
        <w:rPr>
          <w:rFonts w:cs="Helvetica"/>
          <w:color w:val="595959"/>
          <w:szCs w:val="20"/>
        </w:rPr>
        <w:t xml:space="preserve"> </w:t>
      </w:r>
      <w:r w:rsidR="001E0F48" w:rsidRPr="009F4266">
        <w:rPr>
          <w:rFonts w:cs="Helvetica"/>
          <w:color w:val="595959"/>
          <w:szCs w:val="20"/>
        </w:rPr>
        <w:t>at a global and</w:t>
      </w:r>
      <w:r w:rsidR="001E0F48">
        <w:rPr>
          <w:rFonts w:cs="Helvetica"/>
          <w:color w:val="595959"/>
          <w:szCs w:val="20"/>
        </w:rPr>
        <w:t>,</w:t>
      </w:r>
      <w:r w:rsidR="001E0F48" w:rsidRPr="009F4266">
        <w:rPr>
          <w:rFonts w:cs="Helvetica"/>
          <w:color w:val="595959"/>
          <w:szCs w:val="20"/>
        </w:rPr>
        <w:t xml:space="preserve"> where possible, regional level</w:t>
      </w:r>
      <w:r w:rsidR="007C0651">
        <w:rPr>
          <w:rFonts w:cs="Helvetica"/>
          <w:color w:val="595959"/>
          <w:szCs w:val="20"/>
        </w:rPr>
        <w:t xml:space="preserve"> (Table 1)</w:t>
      </w:r>
      <w:r w:rsidR="009831A3">
        <w:rPr>
          <w:rFonts w:cs="Helvetica"/>
          <w:color w:val="595959"/>
          <w:szCs w:val="20"/>
        </w:rPr>
        <w:t xml:space="preserve">.  </w:t>
      </w:r>
      <w:r w:rsidR="00BD3D29">
        <w:rPr>
          <w:rFonts w:cs="Helvetica"/>
          <w:color w:val="595959"/>
          <w:szCs w:val="20"/>
        </w:rPr>
        <w:t>The full inventory is available in Appendix A</w:t>
      </w:r>
      <w:r w:rsidR="007C0651">
        <w:rPr>
          <w:rFonts w:cs="Helvetica"/>
          <w:color w:val="595959"/>
          <w:szCs w:val="20"/>
        </w:rPr>
        <w:t xml:space="preserve">.  </w:t>
      </w:r>
    </w:p>
    <w:p w14:paraId="0D42C046" w14:textId="77777777" w:rsidR="004D7928" w:rsidRPr="009F4266" w:rsidRDefault="004D7928" w:rsidP="009E11C8">
      <w:pPr>
        <w:tabs>
          <w:tab w:val="left" w:pos="-1440"/>
          <w:tab w:val="left" w:pos="-720"/>
        </w:tabs>
        <w:spacing w:after="0" w:line="312" w:lineRule="auto"/>
        <w:jc w:val="both"/>
        <w:rPr>
          <w:rFonts w:cs="Helvetica"/>
          <w:color w:val="595959"/>
          <w:szCs w:val="20"/>
        </w:rPr>
      </w:pPr>
    </w:p>
    <w:p w14:paraId="54D6ED75" w14:textId="77777777" w:rsidR="004D7928" w:rsidRPr="009F4266" w:rsidRDefault="00472887" w:rsidP="009E11C8">
      <w:pPr>
        <w:tabs>
          <w:tab w:val="left" w:pos="-1440"/>
          <w:tab w:val="left" w:pos="-720"/>
        </w:tabs>
        <w:spacing w:after="0" w:line="312" w:lineRule="auto"/>
        <w:jc w:val="both"/>
        <w:rPr>
          <w:rFonts w:cs="Helvetica"/>
          <w:color w:val="595959"/>
          <w:szCs w:val="20"/>
        </w:rPr>
      </w:pPr>
      <w:r w:rsidRPr="009F4266">
        <w:rPr>
          <w:rFonts w:cs="Helvetica"/>
          <w:color w:val="595959"/>
          <w:szCs w:val="20"/>
        </w:rPr>
        <w:t>P</w:t>
      </w:r>
      <w:r w:rsidR="004D7928" w:rsidRPr="009F4266">
        <w:rPr>
          <w:rFonts w:cs="Helvetica"/>
          <w:color w:val="595959"/>
          <w:szCs w:val="20"/>
        </w:rPr>
        <w:t>rimary alumin</w:t>
      </w:r>
      <w:r w:rsidR="00386F47" w:rsidRPr="009F4266">
        <w:rPr>
          <w:rFonts w:cs="Helvetica"/>
          <w:color w:val="595959"/>
          <w:szCs w:val="20"/>
        </w:rPr>
        <w:t xml:space="preserve">ium production </w:t>
      </w:r>
      <w:r w:rsidR="004D7928" w:rsidRPr="009F4266">
        <w:rPr>
          <w:rFonts w:cs="Helvetica"/>
          <w:color w:val="595959"/>
          <w:szCs w:val="20"/>
        </w:rPr>
        <w:t xml:space="preserve">includes the following </w:t>
      </w:r>
      <w:r w:rsidR="00FD7732" w:rsidRPr="009F4266">
        <w:rPr>
          <w:rFonts w:cs="Helvetica"/>
          <w:color w:val="595959"/>
          <w:szCs w:val="20"/>
        </w:rPr>
        <w:t xml:space="preserve">five </w:t>
      </w:r>
      <w:r w:rsidR="004D7928" w:rsidRPr="009F4266">
        <w:rPr>
          <w:rFonts w:cs="Helvetica"/>
          <w:color w:val="595959"/>
          <w:szCs w:val="20"/>
        </w:rPr>
        <w:t>unit processes:</w:t>
      </w:r>
    </w:p>
    <w:p w14:paraId="16E3F410" w14:textId="24E1AC85" w:rsidR="004D7928" w:rsidRPr="009F4266" w:rsidRDefault="00186F7F" w:rsidP="009E11C8">
      <w:pPr>
        <w:widowControl w:val="0"/>
        <w:numPr>
          <w:ilvl w:val="0"/>
          <w:numId w:val="14"/>
        </w:numPr>
        <w:tabs>
          <w:tab w:val="left" w:pos="-1440"/>
          <w:tab w:val="left" w:pos="-720"/>
        </w:tabs>
        <w:suppressAutoHyphens/>
        <w:spacing w:after="0" w:line="312" w:lineRule="auto"/>
        <w:jc w:val="both"/>
        <w:rPr>
          <w:rFonts w:cs="Helvetica"/>
          <w:color w:val="595959"/>
          <w:szCs w:val="20"/>
        </w:rPr>
      </w:pPr>
      <w:r>
        <w:rPr>
          <w:rFonts w:cs="Helvetica"/>
          <w:color w:val="595959"/>
          <w:szCs w:val="20"/>
        </w:rPr>
        <w:t>B</w:t>
      </w:r>
      <w:r w:rsidR="004D7928" w:rsidRPr="009F4266">
        <w:rPr>
          <w:rFonts w:cs="Helvetica"/>
          <w:color w:val="595959"/>
          <w:szCs w:val="20"/>
        </w:rPr>
        <w:t>auxite mining;</w:t>
      </w:r>
    </w:p>
    <w:p w14:paraId="4216C6CE" w14:textId="00A43CBE" w:rsidR="004D7928" w:rsidRPr="009F4266" w:rsidRDefault="00186F7F" w:rsidP="009E11C8">
      <w:pPr>
        <w:widowControl w:val="0"/>
        <w:numPr>
          <w:ilvl w:val="0"/>
          <w:numId w:val="14"/>
        </w:numPr>
        <w:tabs>
          <w:tab w:val="left" w:pos="-1440"/>
          <w:tab w:val="left" w:pos="-720"/>
        </w:tabs>
        <w:suppressAutoHyphens/>
        <w:spacing w:after="0" w:line="312" w:lineRule="auto"/>
        <w:jc w:val="both"/>
        <w:rPr>
          <w:rFonts w:cs="Helvetica"/>
          <w:color w:val="595959"/>
          <w:szCs w:val="20"/>
        </w:rPr>
      </w:pPr>
      <w:r>
        <w:rPr>
          <w:rFonts w:cs="Helvetica"/>
          <w:color w:val="595959"/>
          <w:szCs w:val="20"/>
        </w:rPr>
        <w:t>A</w:t>
      </w:r>
      <w:r w:rsidR="004D7928" w:rsidRPr="009F4266">
        <w:rPr>
          <w:rFonts w:cs="Helvetica"/>
          <w:color w:val="595959"/>
          <w:szCs w:val="20"/>
        </w:rPr>
        <w:t>lumina production</w:t>
      </w:r>
      <w:r w:rsidR="004B6C8F" w:rsidRPr="009F4266">
        <w:rPr>
          <w:rFonts w:cs="Helvetica"/>
          <w:color w:val="595959"/>
          <w:szCs w:val="20"/>
        </w:rPr>
        <w:t xml:space="preserve"> (from bauxite)</w:t>
      </w:r>
      <w:r w:rsidR="004D7928" w:rsidRPr="009F4266">
        <w:rPr>
          <w:rFonts w:cs="Helvetica"/>
          <w:color w:val="595959"/>
          <w:szCs w:val="20"/>
        </w:rPr>
        <w:t>;</w:t>
      </w:r>
    </w:p>
    <w:p w14:paraId="7ED5A120" w14:textId="37BAF102" w:rsidR="004D7928" w:rsidRPr="009F4266" w:rsidRDefault="00186F7F" w:rsidP="009E11C8">
      <w:pPr>
        <w:widowControl w:val="0"/>
        <w:numPr>
          <w:ilvl w:val="0"/>
          <w:numId w:val="14"/>
        </w:numPr>
        <w:tabs>
          <w:tab w:val="left" w:pos="-1440"/>
          <w:tab w:val="left" w:pos="-720"/>
        </w:tabs>
        <w:suppressAutoHyphens/>
        <w:spacing w:after="0" w:line="312" w:lineRule="auto"/>
        <w:jc w:val="both"/>
        <w:rPr>
          <w:rFonts w:cs="Helvetica"/>
          <w:color w:val="595959"/>
          <w:szCs w:val="20"/>
        </w:rPr>
      </w:pPr>
      <w:r>
        <w:rPr>
          <w:rFonts w:cs="Helvetica"/>
          <w:color w:val="595959"/>
          <w:szCs w:val="20"/>
        </w:rPr>
        <w:t>A</w:t>
      </w:r>
      <w:r w:rsidR="004D7928" w:rsidRPr="009F4266">
        <w:rPr>
          <w:rFonts w:cs="Helvetica"/>
          <w:color w:val="595959"/>
          <w:szCs w:val="20"/>
        </w:rPr>
        <w:t xml:space="preserve">node production </w:t>
      </w:r>
      <w:r w:rsidR="004B6C8F" w:rsidRPr="009F4266">
        <w:rPr>
          <w:rFonts w:cs="Helvetica"/>
          <w:color w:val="595959"/>
          <w:szCs w:val="20"/>
        </w:rPr>
        <w:t xml:space="preserve">(including </w:t>
      </w:r>
      <w:r w:rsidR="004D7928" w:rsidRPr="009F4266">
        <w:rPr>
          <w:rFonts w:cs="Helvetica"/>
          <w:color w:val="595959"/>
          <w:szCs w:val="20"/>
        </w:rPr>
        <w:t xml:space="preserve">production of </w:t>
      </w:r>
      <w:r w:rsidR="00472887" w:rsidRPr="009F4266">
        <w:rPr>
          <w:rFonts w:cs="Helvetica"/>
          <w:i/>
          <w:color w:val="595959"/>
          <w:szCs w:val="20"/>
        </w:rPr>
        <w:t>Prebake</w:t>
      </w:r>
      <w:r w:rsidR="004D7928" w:rsidRPr="009F4266">
        <w:rPr>
          <w:rFonts w:cs="Helvetica"/>
          <w:color w:val="595959"/>
          <w:szCs w:val="20"/>
        </w:rPr>
        <w:t xml:space="preserve"> anodes</w:t>
      </w:r>
      <w:r w:rsidR="004B6C8F" w:rsidRPr="009F4266">
        <w:rPr>
          <w:rFonts w:cs="Helvetica"/>
          <w:color w:val="595959"/>
          <w:szCs w:val="20"/>
        </w:rPr>
        <w:t xml:space="preserve"> and</w:t>
      </w:r>
      <w:r w:rsidR="004D7928" w:rsidRPr="009F4266">
        <w:rPr>
          <w:rFonts w:cs="Helvetica"/>
          <w:color w:val="595959"/>
          <w:szCs w:val="20"/>
        </w:rPr>
        <w:t xml:space="preserve"> </w:t>
      </w:r>
      <w:proofErr w:type="spellStart"/>
      <w:r w:rsidR="00472887" w:rsidRPr="009F4266">
        <w:rPr>
          <w:rFonts w:cs="Helvetica"/>
          <w:i/>
          <w:color w:val="595959"/>
          <w:szCs w:val="20"/>
        </w:rPr>
        <w:t>Søderberg</w:t>
      </w:r>
      <w:proofErr w:type="spellEnd"/>
      <w:r w:rsidR="004D7928" w:rsidRPr="009F4266">
        <w:rPr>
          <w:rFonts w:cs="Helvetica"/>
          <w:color w:val="595959"/>
          <w:szCs w:val="20"/>
        </w:rPr>
        <w:t xml:space="preserve"> paste</w:t>
      </w:r>
      <w:r w:rsidR="004B6C8F" w:rsidRPr="009F4266">
        <w:rPr>
          <w:rFonts w:cs="Helvetica"/>
          <w:color w:val="595959"/>
          <w:szCs w:val="20"/>
        </w:rPr>
        <w:t>)</w:t>
      </w:r>
      <w:r w:rsidR="004D7928" w:rsidRPr="009F4266">
        <w:rPr>
          <w:rFonts w:cs="Helvetica"/>
          <w:color w:val="595959"/>
          <w:szCs w:val="20"/>
        </w:rPr>
        <w:t>;</w:t>
      </w:r>
    </w:p>
    <w:p w14:paraId="64935616" w14:textId="19BCA51C" w:rsidR="004D7928" w:rsidRPr="009F4266" w:rsidRDefault="00186F7F" w:rsidP="009E11C8">
      <w:pPr>
        <w:widowControl w:val="0"/>
        <w:numPr>
          <w:ilvl w:val="0"/>
          <w:numId w:val="14"/>
        </w:numPr>
        <w:tabs>
          <w:tab w:val="left" w:pos="-1440"/>
          <w:tab w:val="left" w:pos="-720"/>
        </w:tabs>
        <w:suppressAutoHyphens/>
        <w:spacing w:after="0" w:line="312" w:lineRule="auto"/>
        <w:jc w:val="both"/>
        <w:rPr>
          <w:rFonts w:cs="Helvetica"/>
          <w:color w:val="595959"/>
          <w:szCs w:val="20"/>
        </w:rPr>
      </w:pPr>
      <w:r>
        <w:rPr>
          <w:rFonts w:cs="Helvetica"/>
          <w:color w:val="595959"/>
          <w:szCs w:val="20"/>
        </w:rPr>
        <w:t>E</w:t>
      </w:r>
      <w:r w:rsidR="004D7928" w:rsidRPr="009F4266">
        <w:rPr>
          <w:rFonts w:cs="Helvetica"/>
          <w:color w:val="595959"/>
          <w:szCs w:val="20"/>
        </w:rPr>
        <w:t>lectrolysis</w:t>
      </w:r>
      <w:r w:rsidR="004B6C8F" w:rsidRPr="009F4266">
        <w:rPr>
          <w:rFonts w:cs="Helvetica"/>
          <w:color w:val="595959"/>
          <w:szCs w:val="20"/>
        </w:rPr>
        <w:t xml:space="preserve"> (including </w:t>
      </w:r>
      <w:r w:rsidR="00472887" w:rsidRPr="009F4266">
        <w:rPr>
          <w:rFonts w:cs="Helvetica"/>
          <w:i/>
          <w:color w:val="595959"/>
          <w:szCs w:val="20"/>
        </w:rPr>
        <w:t>Prebake</w:t>
      </w:r>
      <w:r w:rsidR="004B6C8F" w:rsidRPr="009F4266">
        <w:rPr>
          <w:rFonts w:cs="Helvetica"/>
          <w:color w:val="595959"/>
          <w:szCs w:val="20"/>
        </w:rPr>
        <w:t xml:space="preserve"> and </w:t>
      </w:r>
      <w:proofErr w:type="spellStart"/>
      <w:r w:rsidR="00472887" w:rsidRPr="009F4266">
        <w:rPr>
          <w:rFonts w:cs="Helvetica"/>
          <w:i/>
          <w:color w:val="595959"/>
          <w:szCs w:val="20"/>
        </w:rPr>
        <w:t>Søderberg</w:t>
      </w:r>
      <w:proofErr w:type="spellEnd"/>
      <w:r w:rsidR="004B6C8F" w:rsidRPr="009F4266">
        <w:rPr>
          <w:rFonts w:cs="Helvetica"/>
          <w:color w:val="595959"/>
          <w:szCs w:val="20"/>
        </w:rPr>
        <w:t xml:space="preserve"> technologies)</w:t>
      </w:r>
      <w:r w:rsidR="004D7928" w:rsidRPr="009F4266">
        <w:rPr>
          <w:rFonts w:cs="Helvetica"/>
          <w:color w:val="595959"/>
          <w:szCs w:val="20"/>
        </w:rPr>
        <w:t>;</w:t>
      </w:r>
    </w:p>
    <w:p w14:paraId="035A87CD" w14:textId="7516D7C5" w:rsidR="00E91489" w:rsidRPr="00E91489" w:rsidRDefault="00186F7F" w:rsidP="00E91489">
      <w:pPr>
        <w:pStyle w:val="Footer"/>
        <w:widowControl w:val="0"/>
        <w:numPr>
          <w:ilvl w:val="0"/>
          <w:numId w:val="14"/>
        </w:numPr>
        <w:tabs>
          <w:tab w:val="clear" w:pos="4320"/>
          <w:tab w:val="clear" w:pos="8640"/>
          <w:tab w:val="left" w:pos="-1440"/>
          <w:tab w:val="left" w:pos="-720"/>
        </w:tabs>
        <w:suppressAutoHyphens/>
        <w:spacing w:line="312" w:lineRule="auto"/>
        <w:jc w:val="both"/>
        <w:rPr>
          <w:rFonts w:cs="Helvetica"/>
          <w:color w:val="595959"/>
          <w:szCs w:val="20"/>
        </w:rPr>
      </w:pPr>
      <w:r>
        <w:rPr>
          <w:rFonts w:cs="Helvetica"/>
          <w:color w:val="595959"/>
          <w:szCs w:val="20"/>
        </w:rPr>
        <w:lastRenderedPageBreak/>
        <w:t>I</w:t>
      </w:r>
      <w:r w:rsidR="00E91489">
        <w:rPr>
          <w:rFonts w:cs="Helvetica"/>
          <w:color w:val="595959"/>
          <w:szCs w:val="20"/>
        </w:rPr>
        <w:t xml:space="preserve">ngot casting (no differentiation is made between ingot forms). </w:t>
      </w:r>
    </w:p>
    <w:p w14:paraId="431875F9" w14:textId="77777777" w:rsidR="004D7928" w:rsidRPr="009F4266" w:rsidRDefault="004D7928" w:rsidP="009E11C8">
      <w:pPr>
        <w:pStyle w:val="Footer"/>
        <w:tabs>
          <w:tab w:val="clear" w:pos="4320"/>
          <w:tab w:val="clear" w:pos="8640"/>
          <w:tab w:val="left" w:pos="-1440"/>
          <w:tab w:val="left" w:pos="-720"/>
        </w:tabs>
        <w:spacing w:line="312" w:lineRule="auto"/>
        <w:rPr>
          <w:rFonts w:cs="Helvetica"/>
          <w:color w:val="595959"/>
          <w:szCs w:val="20"/>
        </w:rPr>
      </w:pPr>
    </w:p>
    <w:p w14:paraId="1C72BBA2" w14:textId="77777777" w:rsidR="001E0F48" w:rsidRDefault="004D7928" w:rsidP="00B86E2D">
      <w:pPr>
        <w:pStyle w:val="Footer"/>
        <w:tabs>
          <w:tab w:val="clear" w:pos="4320"/>
          <w:tab w:val="clear" w:pos="8640"/>
          <w:tab w:val="left" w:pos="-1440"/>
          <w:tab w:val="left" w:pos="-720"/>
        </w:tabs>
        <w:spacing w:line="312" w:lineRule="auto"/>
        <w:jc w:val="both"/>
        <w:rPr>
          <w:rFonts w:cs="Helvetica"/>
          <w:color w:val="595959"/>
          <w:szCs w:val="20"/>
        </w:rPr>
      </w:pPr>
      <w:r w:rsidRPr="009F4266">
        <w:rPr>
          <w:rFonts w:cs="Helvetica"/>
          <w:color w:val="595959"/>
          <w:szCs w:val="20"/>
        </w:rPr>
        <w:t xml:space="preserve">Unit </w:t>
      </w:r>
      <w:r w:rsidR="004B6C8F" w:rsidRPr="009F4266">
        <w:rPr>
          <w:rFonts w:cs="Helvetica"/>
          <w:color w:val="595959"/>
          <w:szCs w:val="20"/>
        </w:rPr>
        <w:t>p</w:t>
      </w:r>
      <w:r w:rsidRPr="009F4266">
        <w:rPr>
          <w:rFonts w:cs="Helvetica"/>
          <w:color w:val="595959"/>
          <w:szCs w:val="20"/>
        </w:rPr>
        <w:t>rocess</w:t>
      </w:r>
      <w:r w:rsidR="001E0F48">
        <w:rPr>
          <w:rFonts w:cs="Helvetica"/>
          <w:color w:val="595959"/>
          <w:szCs w:val="20"/>
        </w:rPr>
        <w:t xml:space="preserve">es, their relationship to each other and an </w:t>
      </w:r>
      <w:r w:rsidR="001E0F48" w:rsidRPr="009F4266">
        <w:rPr>
          <w:rFonts w:cs="Helvetica"/>
          <w:color w:val="595959"/>
          <w:szCs w:val="20"/>
        </w:rPr>
        <w:t>overview of material input flows</w:t>
      </w:r>
      <w:r w:rsidR="001E0F48">
        <w:rPr>
          <w:rFonts w:cs="Helvetica"/>
          <w:color w:val="595959"/>
          <w:szCs w:val="20"/>
        </w:rPr>
        <w:t xml:space="preserve"> are described</w:t>
      </w:r>
      <w:r w:rsidRPr="009F4266">
        <w:rPr>
          <w:rFonts w:cs="Helvetica"/>
          <w:color w:val="595959"/>
          <w:szCs w:val="20"/>
        </w:rPr>
        <w:t xml:space="preserve"> in </w:t>
      </w:r>
      <w:r w:rsidRPr="006C7F49">
        <w:rPr>
          <w:rFonts w:cs="Helvetica"/>
          <w:color w:val="595959"/>
          <w:szCs w:val="20"/>
        </w:rPr>
        <w:t xml:space="preserve">Appendix </w:t>
      </w:r>
      <w:r w:rsidR="00BD3D29">
        <w:rPr>
          <w:rFonts w:cs="Helvetica"/>
          <w:color w:val="595959"/>
          <w:szCs w:val="20"/>
        </w:rPr>
        <w:t>B</w:t>
      </w:r>
      <w:r w:rsidRPr="006C7F49">
        <w:rPr>
          <w:rFonts w:cs="Helvetica"/>
          <w:color w:val="595959"/>
          <w:szCs w:val="20"/>
        </w:rPr>
        <w:t>.</w:t>
      </w:r>
    </w:p>
    <w:p w14:paraId="7894F816" w14:textId="77777777" w:rsidR="001E0F48" w:rsidRDefault="001E0F48" w:rsidP="00B86E2D">
      <w:pPr>
        <w:pStyle w:val="Footer"/>
        <w:tabs>
          <w:tab w:val="clear" w:pos="4320"/>
          <w:tab w:val="clear" w:pos="8640"/>
          <w:tab w:val="left" w:pos="-1440"/>
          <w:tab w:val="left" w:pos="-720"/>
        </w:tabs>
        <w:spacing w:line="312" w:lineRule="auto"/>
        <w:jc w:val="both"/>
        <w:rPr>
          <w:rFonts w:cs="Helvetica"/>
          <w:color w:val="595959"/>
          <w:szCs w:val="20"/>
        </w:rPr>
      </w:pPr>
    </w:p>
    <w:p w14:paraId="08DE405E" w14:textId="7101F9BD" w:rsidR="00F329E2" w:rsidRDefault="004B6C8F" w:rsidP="001A5B9F">
      <w:pPr>
        <w:spacing w:after="0"/>
        <w:rPr>
          <w:rFonts w:cs="Helvetica"/>
          <w:color w:val="595959"/>
          <w:szCs w:val="20"/>
        </w:rPr>
      </w:pPr>
      <w:r w:rsidRPr="009F4266">
        <w:rPr>
          <w:rFonts w:cs="Helvetica"/>
          <w:color w:val="595959"/>
          <w:szCs w:val="20"/>
        </w:rPr>
        <w:t>The primary aluminium production process can be summari</w:t>
      </w:r>
      <w:r w:rsidR="001E67D2">
        <w:rPr>
          <w:rFonts w:cs="Helvetica"/>
          <w:color w:val="595959"/>
          <w:szCs w:val="20"/>
        </w:rPr>
        <w:t>s</w:t>
      </w:r>
      <w:r w:rsidRPr="009F4266">
        <w:rPr>
          <w:rFonts w:cs="Helvetica"/>
          <w:color w:val="595959"/>
          <w:szCs w:val="20"/>
        </w:rPr>
        <w:t xml:space="preserve">ed as </w:t>
      </w:r>
      <w:r w:rsidR="004D7928" w:rsidRPr="009F4266">
        <w:rPr>
          <w:rFonts w:cs="Helvetica"/>
          <w:color w:val="595959"/>
          <w:szCs w:val="20"/>
        </w:rPr>
        <w:t>follows:</w:t>
      </w:r>
    </w:p>
    <w:p w14:paraId="5158020E" w14:textId="08608E0A" w:rsidR="00F329E2" w:rsidRDefault="00186F7F" w:rsidP="00B86E2D">
      <w:pPr>
        <w:pStyle w:val="Footer"/>
        <w:numPr>
          <w:ilvl w:val="0"/>
          <w:numId w:val="25"/>
        </w:numPr>
        <w:tabs>
          <w:tab w:val="clear" w:pos="4320"/>
          <w:tab w:val="clear" w:pos="8640"/>
          <w:tab w:val="left" w:pos="-1440"/>
          <w:tab w:val="left" w:pos="-720"/>
        </w:tabs>
        <w:spacing w:line="312" w:lineRule="auto"/>
        <w:jc w:val="both"/>
        <w:rPr>
          <w:rFonts w:cs="Helvetica"/>
          <w:color w:val="595959"/>
          <w:szCs w:val="20"/>
        </w:rPr>
      </w:pPr>
      <w:r>
        <w:rPr>
          <w:rFonts w:cs="Helvetica"/>
          <w:color w:val="595959"/>
          <w:szCs w:val="20"/>
        </w:rPr>
        <w:t>A</w:t>
      </w:r>
      <w:r w:rsidR="00F329E2">
        <w:rPr>
          <w:rFonts w:cs="Helvetica"/>
          <w:color w:val="595959"/>
          <w:szCs w:val="20"/>
        </w:rPr>
        <w:t xml:space="preserve">luminium-containing ores (bauxites) are mined, predominantly at shallow depths using open cast methods; </w:t>
      </w:r>
    </w:p>
    <w:p w14:paraId="3853BDDC" w14:textId="7B35D7A4" w:rsidR="00F329E2" w:rsidRDefault="00186F7F" w:rsidP="00B86E2D">
      <w:pPr>
        <w:pStyle w:val="Footer"/>
        <w:numPr>
          <w:ilvl w:val="0"/>
          <w:numId w:val="25"/>
        </w:numPr>
        <w:tabs>
          <w:tab w:val="clear" w:pos="4320"/>
          <w:tab w:val="clear" w:pos="8640"/>
          <w:tab w:val="left" w:pos="-1440"/>
          <w:tab w:val="left" w:pos="-720"/>
        </w:tabs>
        <w:spacing w:line="312" w:lineRule="auto"/>
        <w:jc w:val="both"/>
        <w:rPr>
          <w:rFonts w:cs="Helvetica"/>
          <w:color w:val="595959"/>
          <w:szCs w:val="20"/>
        </w:rPr>
      </w:pPr>
      <w:r>
        <w:rPr>
          <w:rFonts w:cs="Helvetica"/>
          <w:color w:val="595959"/>
          <w:szCs w:val="20"/>
        </w:rPr>
        <w:t>A</w:t>
      </w:r>
      <w:r w:rsidR="00F329E2" w:rsidRPr="009F4266">
        <w:rPr>
          <w:rFonts w:cs="Helvetica"/>
          <w:color w:val="595959"/>
          <w:szCs w:val="20"/>
        </w:rPr>
        <w:t>luminium oxide (alumina)</w:t>
      </w:r>
      <w:r w:rsidR="00F329E2">
        <w:rPr>
          <w:rFonts w:cs="Helvetica"/>
          <w:color w:val="595959"/>
          <w:szCs w:val="20"/>
        </w:rPr>
        <w:t xml:space="preserve"> </w:t>
      </w:r>
      <w:r w:rsidR="004D7928" w:rsidRPr="009F4266">
        <w:rPr>
          <w:rFonts w:cs="Helvetica"/>
          <w:color w:val="595959"/>
          <w:szCs w:val="20"/>
        </w:rPr>
        <w:t>is extracted from bauxite</w:t>
      </w:r>
      <w:r w:rsidR="00F329E2">
        <w:rPr>
          <w:rFonts w:cs="Helvetica"/>
          <w:color w:val="595959"/>
          <w:szCs w:val="20"/>
        </w:rPr>
        <w:t xml:space="preserve"> through a thermo-chemical digestion process, leaving a waste product comprising the remaining mineralogical contents of the ore</w:t>
      </w:r>
      <w:r w:rsidR="004B6C8F" w:rsidRPr="009F4266">
        <w:rPr>
          <w:rFonts w:cs="Helvetica"/>
          <w:color w:val="595959"/>
          <w:szCs w:val="20"/>
        </w:rPr>
        <w:t>;</w:t>
      </w:r>
    </w:p>
    <w:p w14:paraId="7FA7748A" w14:textId="5B9EAFC1" w:rsidR="00F329E2" w:rsidRDefault="00186F7F" w:rsidP="00B86E2D">
      <w:pPr>
        <w:pStyle w:val="Footer"/>
        <w:numPr>
          <w:ilvl w:val="0"/>
          <w:numId w:val="25"/>
        </w:numPr>
        <w:tabs>
          <w:tab w:val="clear" w:pos="4320"/>
          <w:tab w:val="clear" w:pos="8640"/>
          <w:tab w:val="left" w:pos="-1440"/>
          <w:tab w:val="left" w:pos="-720"/>
        </w:tabs>
        <w:spacing w:line="312" w:lineRule="auto"/>
        <w:jc w:val="both"/>
        <w:rPr>
          <w:rFonts w:cs="Helvetica"/>
          <w:color w:val="595959"/>
          <w:szCs w:val="20"/>
        </w:rPr>
      </w:pPr>
      <w:r>
        <w:rPr>
          <w:rFonts w:cs="Helvetica"/>
          <w:color w:val="595959"/>
          <w:szCs w:val="20"/>
        </w:rPr>
        <w:t>A</w:t>
      </w:r>
      <w:r w:rsidR="004D7928" w:rsidRPr="009F4266">
        <w:rPr>
          <w:rFonts w:cs="Helvetica"/>
          <w:color w:val="595959"/>
          <w:szCs w:val="20"/>
        </w:rPr>
        <w:t>n electroly</w:t>
      </w:r>
      <w:r w:rsidR="00F329E2">
        <w:rPr>
          <w:rFonts w:cs="Helvetica"/>
          <w:color w:val="595959"/>
          <w:szCs w:val="20"/>
        </w:rPr>
        <w:t>tic</w:t>
      </w:r>
      <w:r w:rsidR="004D7928" w:rsidRPr="009F4266">
        <w:rPr>
          <w:rFonts w:cs="Helvetica"/>
          <w:color w:val="595959"/>
          <w:szCs w:val="20"/>
        </w:rPr>
        <w:t xml:space="preserve"> process </w:t>
      </w:r>
      <w:r w:rsidR="00F329E2">
        <w:rPr>
          <w:rFonts w:cs="Helvetica"/>
          <w:color w:val="595959"/>
          <w:szCs w:val="20"/>
        </w:rPr>
        <w:t xml:space="preserve">reduces the alumina </w:t>
      </w:r>
      <w:r w:rsidR="004D7928" w:rsidRPr="009F4266">
        <w:rPr>
          <w:rFonts w:cs="Helvetica"/>
          <w:color w:val="595959"/>
          <w:szCs w:val="20"/>
        </w:rPr>
        <w:t>into</w:t>
      </w:r>
      <w:r w:rsidR="00F329E2">
        <w:rPr>
          <w:rFonts w:cs="Helvetica"/>
          <w:color w:val="595959"/>
          <w:szCs w:val="20"/>
        </w:rPr>
        <w:t xml:space="preserve"> its constituent elements</w:t>
      </w:r>
      <w:r w:rsidR="004D7928" w:rsidRPr="009F4266">
        <w:rPr>
          <w:rFonts w:cs="Helvetica"/>
          <w:color w:val="595959"/>
          <w:szCs w:val="20"/>
        </w:rPr>
        <w:t xml:space="preserve"> oxygen, emitted as CO</w:t>
      </w:r>
      <w:r w:rsidR="004D7928" w:rsidRPr="009F4266">
        <w:rPr>
          <w:rFonts w:cs="Helvetica"/>
          <w:color w:val="595959"/>
          <w:szCs w:val="20"/>
          <w:vertAlign w:val="subscript"/>
        </w:rPr>
        <w:t>2</w:t>
      </w:r>
      <w:r w:rsidR="004D7928" w:rsidRPr="009F4266">
        <w:rPr>
          <w:rFonts w:cs="Helvetica"/>
          <w:color w:val="595959"/>
          <w:szCs w:val="20"/>
        </w:rPr>
        <w:t xml:space="preserve"> by reaction with a carbon anode, and aluminium</w:t>
      </w:r>
      <w:r w:rsidR="00F329E2">
        <w:rPr>
          <w:rFonts w:cs="Helvetica"/>
          <w:color w:val="595959"/>
          <w:szCs w:val="20"/>
        </w:rPr>
        <w:t>,</w:t>
      </w:r>
      <w:r w:rsidR="004D7928" w:rsidRPr="009F4266">
        <w:rPr>
          <w:rFonts w:cs="Helvetica"/>
          <w:color w:val="595959"/>
          <w:szCs w:val="20"/>
        </w:rPr>
        <w:t xml:space="preserve"> </w:t>
      </w:r>
      <w:r w:rsidR="00F329E2">
        <w:rPr>
          <w:rFonts w:cs="Helvetica"/>
          <w:color w:val="595959"/>
          <w:szCs w:val="20"/>
        </w:rPr>
        <w:t xml:space="preserve">collected </w:t>
      </w:r>
      <w:r w:rsidR="004D7928" w:rsidRPr="009F4266">
        <w:rPr>
          <w:rFonts w:cs="Helvetica"/>
          <w:color w:val="595959"/>
          <w:szCs w:val="20"/>
        </w:rPr>
        <w:t>as liquid metal;</w:t>
      </w:r>
    </w:p>
    <w:p w14:paraId="562EC73F" w14:textId="27B47A28" w:rsidR="00750BDC" w:rsidRPr="009F4266" w:rsidRDefault="00186F7F" w:rsidP="00935A71">
      <w:pPr>
        <w:pStyle w:val="Footer"/>
        <w:numPr>
          <w:ilvl w:val="0"/>
          <w:numId w:val="25"/>
        </w:numPr>
        <w:tabs>
          <w:tab w:val="clear" w:pos="4320"/>
          <w:tab w:val="clear" w:pos="8640"/>
          <w:tab w:val="left" w:pos="-1440"/>
          <w:tab w:val="left" w:pos="-720"/>
        </w:tabs>
        <w:spacing w:line="312" w:lineRule="auto"/>
        <w:jc w:val="both"/>
        <w:rPr>
          <w:rFonts w:cs="Helvetica"/>
          <w:color w:val="595959"/>
          <w:szCs w:val="20"/>
        </w:rPr>
      </w:pPr>
      <w:r>
        <w:rPr>
          <w:rFonts w:cs="Helvetica"/>
          <w:color w:val="595959"/>
          <w:szCs w:val="20"/>
        </w:rPr>
        <w:t>T</w:t>
      </w:r>
      <w:r w:rsidR="004B6C8F" w:rsidRPr="009F4266">
        <w:rPr>
          <w:rFonts w:cs="Helvetica"/>
          <w:color w:val="595959"/>
          <w:szCs w:val="20"/>
        </w:rPr>
        <w:t xml:space="preserve">his molten </w:t>
      </w:r>
      <w:r w:rsidR="004D7928" w:rsidRPr="009F4266">
        <w:rPr>
          <w:rFonts w:cs="Helvetica"/>
          <w:color w:val="595959"/>
          <w:szCs w:val="20"/>
        </w:rPr>
        <w:t xml:space="preserve">aluminium </w:t>
      </w:r>
      <w:r w:rsidR="00AD3CAD">
        <w:rPr>
          <w:rFonts w:cs="Helvetica"/>
          <w:color w:val="595959"/>
          <w:szCs w:val="20"/>
        </w:rPr>
        <w:t xml:space="preserve">typically </w:t>
      </w:r>
      <w:r w:rsidR="004D7928" w:rsidRPr="009F4266">
        <w:rPr>
          <w:rFonts w:cs="Helvetica"/>
          <w:color w:val="595959"/>
          <w:szCs w:val="20"/>
        </w:rPr>
        <w:t>is cast into ingot</w:t>
      </w:r>
      <w:r w:rsidR="00D3086F" w:rsidRPr="009F4266">
        <w:rPr>
          <w:rFonts w:cs="Helvetica"/>
          <w:color w:val="595959"/>
          <w:szCs w:val="20"/>
        </w:rPr>
        <w:t>s</w:t>
      </w:r>
      <w:r w:rsidR="004D7928" w:rsidRPr="009F4266">
        <w:rPr>
          <w:rFonts w:cs="Helvetica"/>
          <w:color w:val="595959"/>
          <w:szCs w:val="20"/>
        </w:rPr>
        <w:t>, the usual form suitable for further fabrication of semi-finished aluminium products.</w:t>
      </w:r>
    </w:p>
    <w:p w14:paraId="4848091B" w14:textId="77777777" w:rsidR="007C0651" w:rsidRDefault="007C0651" w:rsidP="007C0651">
      <w:pPr>
        <w:spacing w:after="0" w:line="312" w:lineRule="auto"/>
        <w:jc w:val="both"/>
        <w:rPr>
          <w:rFonts w:cs="Helvetica"/>
          <w:color w:val="595959"/>
          <w:szCs w:val="20"/>
        </w:rPr>
      </w:pPr>
    </w:p>
    <w:tbl>
      <w:tblPr>
        <w:tblStyle w:val="PlainTable11"/>
        <w:tblW w:w="4739" w:type="pct"/>
        <w:jc w:val="center"/>
        <w:tblLook w:val="04A0" w:firstRow="1" w:lastRow="0" w:firstColumn="1" w:lastColumn="0" w:noHBand="0" w:noVBand="1"/>
      </w:tblPr>
      <w:tblGrid>
        <w:gridCol w:w="2689"/>
        <w:gridCol w:w="2409"/>
        <w:gridCol w:w="4028"/>
      </w:tblGrid>
      <w:tr w:rsidR="007C0651" w:rsidRPr="00186F7F" w14:paraId="6996D43B" w14:textId="77777777" w:rsidTr="003E0DB6">
        <w:trPr>
          <w:cnfStyle w:val="100000000000" w:firstRow="1" w:lastRow="0" w:firstColumn="0" w:lastColumn="0" w:oddVBand="0" w:evenVBand="0" w:oddHBand="0"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1473" w:type="pct"/>
            <w:noWrap/>
            <w:vAlign w:val="center"/>
          </w:tcPr>
          <w:p w14:paraId="0E921A2B" w14:textId="77777777" w:rsidR="007C0651" w:rsidRPr="003715F9" w:rsidRDefault="007C0651" w:rsidP="003E0DB6">
            <w:pPr>
              <w:widowControl w:val="0"/>
              <w:tabs>
                <w:tab w:val="left" w:pos="-1440"/>
                <w:tab w:val="left" w:pos="-720"/>
              </w:tabs>
              <w:spacing w:after="0" w:line="312" w:lineRule="auto"/>
              <w:jc w:val="center"/>
              <w:rPr>
                <w:rFonts w:cs="Helvetica"/>
                <w:color w:val="595959"/>
                <w:sz w:val="18"/>
                <w:szCs w:val="18"/>
              </w:rPr>
            </w:pPr>
            <w:r w:rsidRPr="00186F7F">
              <w:rPr>
                <w:rFonts w:cs="Helvetica"/>
                <w:color w:val="595959"/>
                <w:sz w:val="18"/>
                <w:szCs w:val="18"/>
              </w:rPr>
              <w:t>Region Name</w:t>
            </w:r>
          </w:p>
        </w:tc>
        <w:tc>
          <w:tcPr>
            <w:tcW w:w="1320" w:type="pct"/>
            <w:vAlign w:val="center"/>
          </w:tcPr>
          <w:p w14:paraId="1602906E" w14:textId="77777777" w:rsidR="007C0651" w:rsidRPr="003715F9" w:rsidRDefault="007C0651" w:rsidP="003E0DB6">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 w:val="18"/>
                <w:szCs w:val="18"/>
              </w:rPr>
            </w:pPr>
            <w:r w:rsidRPr="003715F9">
              <w:rPr>
                <w:rFonts w:cs="Helvetica"/>
                <w:color w:val="595959"/>
                <w:sz w:val="18"/>
                <w:szCs w:val="18"/>
              </w:rPr>
              <w:t>Region Code</w:t>
            </w:r>
          </w:p>
        </w:tc>
        <w:tc>
          <w:tcPr>
            <w:tcW w:w="2207" w:type="pct"/>
          </w:tcPr>
          <w:p w14:paraId="7B6B9743" w14:textId="77777777" w:rsidR="007C0651" w:rsidRPr="003715F9" w:rsidRDefault="007C0651" w:rsidP="003E0DB6">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 w:val="18"/>
                <w:szCs w:val="18"/>
              </w:rPr>
            </w:pPr>
            <w:r>
              <w:rPr>
                <w:rFonts w:cs="Helvetica"/>
                <w:color w:val="595959"/>
                <w:sz w:val="18"/>
                <w:szCs w:val="18"/>
              </w:rPr>
              <w:t>Participated Countries</w:t>
            </w:r>
          </w:p>
        </w:tc>
      </w:tr>
      <w:tr w:rsidR="007C0651" w:rsidRPr="009F4266" w14:paraId="0E9E4BF2" w14:textId="77777777" w:rsidTr="003E0DB6">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1473" w:type="pct"/>
            <w:noWrap/>
            <w:vAlign w:val="center"/>
          </w:tcPr>
          <w:p w14:paraId="5A58D50A" w14:textId="77777777" w:rsidR="007C0651" w:rsidRPr="003715F9" w:rsidRDefault="007C0651" w:rsidP="003E0DB6">
            <w:pPr>
              <w:widowControl w:val="0"/>
              <w:tabs>
                <w:tab w:val="left" w:pos="-1440"/>
                <w:tab w:val="left" w:pos="-720"/>
              </w:tabs>
              <w:spacing w:after="0" w:line="312" w:lineRule="auto"/>
              <w:rPr>
                <w:rFonts w:cs="Helvetica"/>
                <w:b w:val="0"/>
                <w:color w:val="595959"/>
                <w:sz w:val="18"/>
                <w:szCs w:val="18"/>
              </w:rPr>
            </w:pPr>
            <w:r w:rsidRPr="00FE6088">
              <w:rPr>
                <w:rFonts w:cs="Helvetica"/>
                <w:b w:val="0"/>
                <w:color w:val="595959"/>
                <w:sz w:val="18"/>
                <w:szCs w:val="18"/>
              </w:rPr>
              <w:t>Global</w:t>
            </w:r>
          </w:p>
        </w:tc>
        <w:tc>
          <w:tcPr>
            <w:tcW w:w="1320" w:type="pct"/>
            <w:vAlign w:val="center"/>
          </w:tcPr>
          <w:p w14:paraId="1CF1D945" w14:textId="77777777" w:rsidR="007C0651" w:rsidRPr="00186F7F" w:rsidRDefault="007C0651" w:rsidP="003E0DB6">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8"/>
                <w:szCs w:val="18"/>
              </w:rPr>
            </w:pPr>
            <w:r w:rsidRPr="00FE6088">
              <w:rPr>
                <w:rFonts w:cs="Helvetica"/>
                <w:color w:val="595959"/>
                <w:sz w:val="18"/>
                <w:szCs w:val="18"/>
              </w:rPr>
              <w:t>GLO</w:t>
            </w:r>
          </w:p>
        </w:tc>
        <w:tc>
          <w:tcPr>
            <w:tcW w:w="2207" w:type="pct"/>
          </w:tcPr>
          <w:p w14:paraId="0528F07B" w14:textId="77777777" w:rsidR="007C0651" w:rsidRPr="00FE6088" w:rsidRDefault="007C0651" w:rsidP="003E0DB6">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8"/>
                <w:szCs w:val="18"/>
              </w:rPr>
            </w:pPr>
          </w:p>
        </w:tc>
      </w:tr>
      <w:tr w:rsidR="007C0651" w:rsidRPr="009F4266" w14:paraId="4E1E0D8B" w14:textId="77777777" w:rsidTr="003E0DB6">
        <w:trPr>
          <w:trHeight w:val="362"/>
          <w:jc w:val="center"/>
        </w:trPr>
        <w:tc>
          <w:tcPr>
            <w:cnfStyle w:val="001000000000" w:firstRow="0" w:lastRow="0" w:firstColumn="1" w:lastColumn="0" w:oddVBand="0" w:evenVBand="0" w:oddHBand="0" w:evenHBand="0" w:firstRowFirstColumn="0" w:firstRowLastColumn="0" w:lastRowFirstColumn="0" w:lastRowLastColumn="0"/>
            <w:tcW w:w="1473" w:type="pct"/>
            <w:noWrap/>
            <w:vAlign w:val="center"/>
          </w:tcPr>
          <w:p w14:paraId="69D42B4C" w14:textId="77777777" w:rsidR="007C0651" w:rsidRPr="00FE6088" w:rsidRDefault="007C0651" w:rsidP="003E0DB6">
            <w:pPr>
              <w:widowControl w:val="0"/>
              <w:tabs>
                <w:tab w:val="left" w:pos="-1440"/>
                <w:tab w:val="left" w:pos="-720"/>
              </w:tabs>
              <w:spacing w:after="0" w:line="312" w:lineRule="auto"/>
              <w:rPr>
                <w:rFonts w:cs="Helvetica"/>
                <w:b w:val="0"/>
                <w:color w:val="595959"/>
                <w:sz w:val="18"/>
                <w:szCs w:val="18"/>
              </w:rPr>
            </w:pPr>
            <w:r w:rsidRPr="00FE6088">
              <w:rPr>
                <w:rFonts w:cs="Helvetica"/>
                <w:b w:val="0"/>
                <w:color w:val="595959"/>
                <w:sz w:val="18"/>
                <w:szCs w:val="18"/>
              </w:rPr>
              <w:t>Africa</w:t>
            </w:r>
          </w:p>
        </w:tc>
        <w:tc>
          <w:tcPr>
            <w:tcW w:w="1320" w:type="pct"/>
            <w:vAlign w:val="center"/>
          </w:tcPr>
          <w:p w14:paraId="0B8DFF25" w14:textId="77777777" w:rsidR="007C0651" w:rsidRPr="00186F7F" w:rsidRDefault="007C0651" w:rsidP="003E0DB6">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8"/>
                <w:szCs w:val="18"/>
              </w:rPr>
            </w:pPr>
            <w:r w:rsidRPr="00186F7F">
              <w:rPr>
                <w:rFonts w:cs="Helvetica"/>
                <w:color w:val="595959"/>
                <w:sz w:val="18"/>
                <w:szCs w:val="18"/>
              </w:rPr>
              <w:t>AFR</w:t>
            </w:r>
          </w:p>
        </w:tc>
        <w:tc>
          <w:tcPr>
            <w:tcW w:w="2207" w:type="pct"/>
          </w:tcPr>
          <w:p w14:paraId="6181DD92" w14:textId="77777777" w:rsidR="007C0651" w:rsidRPr="00186F7F" w:rsidRDefault="007C0651" w:rsidP="003E0DB6">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8"/>
                <w:szCs w:val="18"/>
              </w:rPr>
            </w:pPr>
            <w:r w:rsidRPr="00FD4D41">
              <w:rPr>
                <w:rFonts w:cs="Helvetica"/>
                <w:color w:val="595959"/>
                <w:sz w:val="18"/>
                <w:szCs w:val="18"/>
              </w:rPr>
              <w:t>South Africa</w:t>
            </w:r>
            <w:r>
              <w:rPr>
                <w:rFonts w:cs="Helvetica"/>
                <w:color w:val="595959"/>
                <w:sz w:val="18"/>
                <w:szCs w:val="18"/>
              </w:rPr>
              <w:t xml:space="preserve">, </w:t>
            </w:r>
            <w:r w:rsidRPr="00FD4D41">
              <w:rPr>
                <w:rFonts w:cs="Helvetica"/>
                <w:color w:val="595959"/>
                <w:sz w:val="18"/>
                <w:szCs w:val="18"/>
              </w:rPr>
              <w:t>Mozambique</w:t>
            </w:r>
            <w:r>
              <w:rPr>
                <w:rFonts w:cs="Helvetica"/>
                <w:color w:val="595959"/>
                <w:sz w:val="18"/>
                <w:szCs w:val="18"/>
              </w:rPr>
              <w:t xml:space="preserve">, Guinea, </w:t>
            </w:r>
            <w:r w:rsidRPr="00FD4D41">
              <w:rPr>
                <w:rFonts w:cs="Helvetica"/>
                <w:color w:val="595959"/>
                <w:sz w:val="18"/>
                <w:szCs w:val="18"/>
              </w:rPr>
              <w:t>Egypt</w:t>
            </w:r>
          </w:p>
        </w:tc>
      </w:tr>
      <w:tr w:rsidR="007C0651" w:rsidRPr="009F4266" w14:paraId="561746BB" w14:textId="77777777" w:rsidTr="003E0DB6">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1473" w:type="pct"/>
            <w:noWrap/>
            <w:vAlign w:val="center"/>
          </w:tcPr>
          <w:p w14:paraId="71FA6FB9" w14:textId="77777777" w:rsidR="007C0651" w:rsidRPr="00FE6088" w:rsidRDefault="007C0651" w:rsidP="003E0DB6">
            <w:pPr>
              <w:widowControl w:val="0"/>
              <w:tabs>
                <w:tab w:val="left" w:pos="-1440"/>
                <w:tab w:val="left" w:pos="-720"/>
              </w:tabs>
              <w:spacing w:after="0" w:line="312" w:lineRule="auto"/>
              <w:rPr>
                <w:rFonts w:cs="Helvetica"/>
                <w:b w:val="0"/>
                <w:color w:val="595959"/>
                <w:sz w:val="18"/>
                <w:szCs w:val="18"/>
              </w:rPr>
            </w:pPr>
            <w:r w:rsidRPr="00FE6088">
              <w:rPr>
                <w:rFonts w:cs="Helvetica"/>
                <w:b w:val="0"/>
                <w:color w:val="595959"/>
                <w:sz w:val="18"/>
                <w:szCs w:val="18"/>
              </w:rPr>
              <w:t>Asia ex China</w:t>
            </w:r>
          </w:p>
        </w:tc>
        <w:tc>
          <w:tcPr>
            <w:tcW w:w="1320" w:type="pct"/>
            <w:vAlign w:val="center"/>
          </w:tcPr>
          <w:p w14:paraId="2F9D116E" w14:textId="77777777" w:rsidR="007C0651" w:rsidRPr="00186F7F" w:rsidRDefault="007C0651" w:rsidP="003E0DB6">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8"/>
                <w:szCs w:val="18"/>
              </w:rPr>
            </w:pPr>
            <w:r w:rsidRPr="00186F7F">
              <w:rPr>
                <w:rFonts w:cs="Helvetica"/>
                <w:color w:val="595959"/>
                <w:sz w:val="18"/>
                <w:szCs w:val="18"/>
              </w:rPr>
              <w:t>OAS</w:t>
            </w:r>
          </w:p>
        </w:tc>
        <w:tc>
          <w:tcPr>
            <w:tcW w:w="2207" w:type="pct"/>
          </w:tcPr>
          <w:p w14:paraId="37B2814D" w14:textId="77777777" w:rsidR="007C0651" w:rsidRPr="00186F7F" w:rsidRDefault="007C0651" w:rsidP="003E0DB6">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8"/>
                <w:szCs w:val="18"/>
              </w:rPr>
            </w:pPr>
            <w:r w:rsidRPr="00FD4D41">
              <w:rPr>
                <w:rFonts w:cs="Helvetica"/>
                <w:color w:val="595959"/>
                <w:sz w:val="18"/>
                <w:szCs w:val="18"/>
              </w:rPr>
              <w:t>India</w:t>
            </w:r>
            <w:r>
              <w:rPr>
                <w:rFonts w:cs="Helvetica"/>
                <w:color w:val="595959"/>
                <w:sz w:val="18"/>
                <w:szCs w:val="18"/>
              </w:rPr>
              <w:t xml:space="preserve">, </w:t>
            </w:r>
            <w:r w:rsidRPr="00FD4D41">
              <w:rPr>
                <w:rFonts w:cs="Helvetica"/>
                <w:color w:val="595959"/>
                <w:sz w:val="18"/>
                <w:szCs w:val="18"/>
              </w:rPr>
              <w:t>Kazakhstan</w:t>
            </w:r>
            <w:r>
              <w:rPr>
                <w:rFonts w:cs="Helvetica"/>
                <w:color w:val="595959"/>
                <w:sz w:val="18"/>
                <w:szCs w:val="18"/>
              </w:rPr>
              <w:t xml:space="preserve">, </w:t>
            </w:r>
            <w:r w:rsidRPr="00FD4D41">
              <w:rPr>
                <w:rFonts w:cs="Helvetica"/>
                <w:color w:val="595959"/>
                <w:sz w:val="18"/>
                <w:szCs w:val="18"/>
              </w:rPr>
              <w:t>Turkey</w:t>
            </w:r>
          </w:p>
        </w:tc>
      </w:tr>
      <w:tr w:rsidR="007C0651" w:rsidRPr="009F4266" w14:paraId="52065EA9" w14:textId="77777777" w:rsidTr="003E0DB6">
        <w:trPr>
          <w:trHeight w:val="362"/>
          <w:jc w:val="center"/>
        </w:trPr>
        <w:tc>
          <w:tcPr>
            <w:cnfStyle w:val="001000000000" w:firstRow="0" w:lastRow="0" w:firstColumn="1" w:lastColumn="0" w:oddVBand="0" w:evenVBand="0" w:oddHBand="0" w:evenHBand="0" w:firstRowFirstColumn="0" w:firstRowLastColumn="0" w:lastRowFirstColumn="0" w:lastRowLastColumn="0"/>
            <w:tcW w:w="1473" w:type="pct"/>
            <w:noWrap/>
            <w:vAlign w:val="center"/>
          </w:tcPr>
          <w:p w14:paraId="56015304" w14:textId="77777777" w:rsidR="007C0651" w:rsidRPr="00FE6088" w:rsidRDefault="007C0651" w:rsidP="003E0DB6">
            <w:pPr>
              <w:widowControl w:val="0"/>
              <w:tabs>
                <w:tab w:val="left" w:pos="-1440"/>
                <w:tab w:val="left" w:pos="-720"/>
              </w:tabs>
              <w:spacing w:after="0" w:line="312" w:lineRule="auto"/>
              <w:rPr>
                <w:rFonts w:cs="Helvetica"/>
                <w:b w:val="0"/>
                <w:color w:val="595959"/>
                <w:sz w:val="18"/>
                <w:szCs w:val="18"/>
              </w:rPr>
            </w:pPr>
            <w:r w:rsidRPr="00FE6088">
              <w:rPr>
                <w:rFonts w:cs="Helvetica"/>
                <w:b w:val="0"/>
                <w:color w:val="595959"/>
                <w:sz w:val="18"/>
                <w:szCs w:val="18"/>
              </w:rPr>
              <w:t>Canada</w:t>
            </w:r>
          </w:p>
        </w:tc>
        <w:tc>
          <w:tcPr>
            <w:tcW w:w="1320" w:type="pct"/>
            <w:vAlign w:val="center"/>
          </w:tcPr>
          <w:p w14:paraId="0BDAAD8D" w14:textId="77777777" w:rsidR="007C0651" w:rsidRPr="00186F7F" w:rsidRDefault="007C0651" w:rsidP="003E0DB6">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8"/>
                <w:szCs w:val="18"/>
              </w:rPr>
            </w:pPr>
            <w:r w:rsidRPr="00186F7F">
              <w:rPr>
                <w:rFonts w:cs="Helvetica"/>
                <w:color w:val="595959"/>
                <w:sz w:val="18"/>
                <w:szCs w:val="18"/>
              </w:rPr>
              <w:t>CAN</w:t>
            </w:r>
          </w:p>
        </w:tc>
        <w:tc>
          <w:tcPr>
            <w:tcW w:w="2207" w:type="pct"/>
          </w:tcPr>
          <w:p w14:paraId="5F40BFAE" w14:textId="77777777" w:rsidR="007C0651" w:rsidRPr="00186F7F" w:rsidRDefault="007C0651" w:rsidP="003E0DB6">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8"/>
                <w:szCs w:val="18"/>
              </w:rPr>
            </w:pPr>
            <w:r>
              <w:rPr>
                <w:rFonts w:cs="Helvetica"/>
                <w:color w:val="595959"/>
                <w:sz w:val="18"/>
                <w:szCs w:val="18"/>
              </w:rPr>
              <w:t>Canada</w:t>
            </w:r>
          </w:p>
        </w:tc>
      </w:tr>
      <w:tr w:rsidR="007C0651" w:rsidRPr="009F4266" w14:paraId="6E54F143" w14:textId="77777777" w:rsidTr="003E0DB6">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1473" w:type="pct"/>
            <w:noWrap/>
            <w:vAlign w:val="center"/>
          </w:tcPr>
          <w:p w14:paraId="596A5B2D" w14:textId="77777777" w:rsidR="007C0651" w:rsidRPr="00FE6088" w:rsidRDefault="007C0651" w:rsidP="003E0DB6">
            <w:pPr>
              <w:widowControl w:val="0"/>
              <w:tabs>
                <w:tab w:val="left" w:pos="-1440"/>
                <w:tab w:val="left" w:pos="-720"/>
              </w:tabs>
              <w:spacing w:after="0" w:line="312" w:lineRule="auto"/>
              <w:rPr>
                <w:rFonts w:cs="Helvetica"/>
                <w:b w:val="0"/>
                <w:color w:val="595959"/>
                <w:sz w:val="18"/>
                <w:szCs w:val="18"/>
              </w:rPr>
            </w:pPr>
            <w:r w:rsidRPr="00FE6088">
              <w:rPr>
                <w:rFonts w:cs="Helvetica"/>
                <w:b w:val="0"/>
                <w:color w:val="595959"/>
                <w:sz w:val="18"/>
                <w:szCs w:val="18"/>
              </w:rPr>
              <w:t>China</w:t>
            </w:r>
          </w:p>
        </w:tc>
        <w:tc>
          <w:tcPr>
            <w:tcW w:w="1320" w:type="pct"/>
            <w:vAlign w:val="center"/>
          </w:tcPr>
          <w:p w14:paraId="6038A8C2" w14:textId="77777777" w:rsidR="007C0651" w:rsidRPr="00186F7F" w:rsidRDefault="007C0651" w:rsidP="003E0DB6">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8"/>
                <w:szCs w:val="18"/>
              </w:rPr>
            </w:pPr>
            <w:r w:rsidRPr="00186F7F">
              <w:rPr>
                <w:rFonts w:cs="Helvetica"/>
                <w:color w:val="595959"/>
                <w:sz w:val="18"/>
                <w:szCs w:val="18"/>
              </w:rPr>
              <w:t>CNA</w:t>
            </w:r>
          </w:p>
        </w:tc>
        <w:tc>
          <w:tcPr>
            <w:tcW w:w="2207" w:type="pct"/>
          </w:tcPr>
          <w:p w14:paraId="78AF0B64" w14:textId="77777777" w:rsidR="007C0651" w:rsidRPr="00186F7F" w:rsidRDefault="007C0651" w:rsidP="003E0DB6">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8"/>
                <w:szCs w:val="18"/>
              </w:rPr>
            </w:pPr>
            <w:r>
              <w:rPr>
                <w:rFonts w:cs="Helvetica"/>
                <w:color w:val="595959"/>
                <w:sz w:val="18"/>
                <w:szCs w:val="18"/>
              </w:rPr>
              <w:t>China</w:t>
            </w:r>
          </w:p>
        </w:tc>
      </w:tr>
      <w:tr w:rsidR="007C0651" w:rsidRPr="009F4266" w14:paraId="42B5297A" w14:textId="77777777" w:rsidTr="003E0DB6">
        <w:trPr>
          <w:trHeight w:val="70"/>
          <w:jc w:val="center"/>
        </w:trPr>
        <w:tc>
          <w:tcPr>
            <w:cnfStyle w:val="001000000000" w:firstRow="0" w:lastRow="0" w:firstColumn="1" w:lastColumn="0" w:oddVBand="0" w:evenVBand="0" w:oddHBand="0" w:evenHBand="0" w:firstRowFirstColumn="0" w:firstRowLastColumn="0" w:lastRowFirstColumn="0" w:lastRowLastColumn="0"/>
            <w:tcW w:w="1473" w:type="pct"/>
            <w:noWrap/>
            <w:vAlign w:val="center"/>
          </w:tcPr>
          <w:p w14:paraId="4BB893F2" w14:textId="77777777" w:rsidR="007C0651" w:rsidRPr="003715F9" w:rsidRDefault="007C0651" w:rsidP="003E0DB6">
            <w:pPr>
              <w:spacing w:after="0" w:line="312" w:lineRule="auto"/>
              <w:rPr>
                <w:rFonts w:cs="Helvetica"/>
                <w:b w:val="0"/>
                <w:color w:val="595959"/>
                <w:sz w:val="18"/>
                <w:szCs w:val="18"/>
              </w:rPr>
            </w:pPr>
            <w:r w:rsidRPr="003715F9">
              <w:rPr>
                <w:rFonts w:cs="Helvetica"/>
                <w:b w:val="0"/>
                <w:color w:val="595959"/>
                <w:sz w:val="18"/>
                <w:szCs w:val="18"/>
              </w:rPr>
              <w:t>Europe (</w:t>
            </w:r>
            <w:r>
              <w:rPr>
                <w:rFonts w:cs="Helvetica"/>
                <w:b w:val="0"/>
                <w:color w:val="595959"/>
                <w:sz w:val="18"/>
                <w:szCs w:val="18"/>
              </w:rPr>
              <w:t>West</w:t>
            </w:r>
            <w:r w:rsidRPr="003715F9">
              <w:rPr>
                <w:rFonts w:cs="Helvetica"/>
                <w:b w:val="0"/>
                <w:color w:val="595959"/>
                <w:sz w:val="18"/>
                <w:szCs w:val="18"/>
              </w:rPr>
              <w:t xml:space="preserve"> &amp; </w:t>
            </w:r>
            <w:r>
              <w:rPr>
                <w:rFonts w:cs="Helvetica"/>
                <w:b w:val="0"/>
                <w:color w:val="595959"/>
                <w:sz w:val="18"/>
                <w:szCs w:val="18"/>
              </w:rPr>
              <w:t>Central</w:t>
            </w:r>
            <w:r w:rsidRPr="003715F9">
              <w:rPr>
                <w:rFonts w:cs="Helvetica"/>
                <w:b w:val="0"/>
                <w:color w:val="595959"/>
                <w:sz w:val="18"/>
                <w:szCs w:val="18"/>
              </w:rPr>
              <w:t>)</w:t>
            </w:r>
          </w:p>
        </w:tc>
        <w:tc>
          <w:tcPr>
            <w:tcW w:w="1320" w:type="pct"/>
            <w:vAlign w:val="center"/>
          </w:tcPr>
          <w:p w14:paraId="03108774" w14:textId="77777777" w:rsidR="007C0651" w:rsidRPr="003715F9" w:rsidRDefault="007C0651" w:rsidP="003E0DB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8"/>
                <w:szCs w:val="18"/>
              </w:rPr>
            </w:pPr>
            <w:r w:rsidRPr="003715F9">
              <w:rPr>
                <w:rFonts w:cs="Helvetica"/>
                <w:color w:val="595959"/>
                <w:sz w:val="18"/>
                <w:szCs w:val="18"/>
              </w:rPr>
              <w:t>EUR</w:t>
            </w:r>
          </w:p>
        </w:tc>
        <w:tc>
          <w:tcPr>
            <w:tcW w:w="2207" w:type="pct"/>
          </w:tcPr>
          <w:p w14:paraId="2C292D22" w14:textId="77777777" w:rsidR="007C0651" w:rsidRPr="003715F9" w:rsidRDefault="007C0651" w:rsidP="003E0DB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8"/>
                <w:szCs w:val="18"/>
              </w:rPr>
            </w:pPr>
            <w:r w:rsidRPr="00FD4D41">
              <w:rPr>
                <w:rFonts w:cs="Helvetica"/>
                <w:color w:val="595959"/>
                <w:sz w:val="18"/>
                <w:szCs w:val="18"/>
              </w:rPr>
              <w:t>Germany</w:t>
            </w:r>
            <w:r>
              <w:rPr>
                <w:rFonts w:cs="Helvetica"/>
                <w:color w:val="595959"/>
                <w:sz w:val="18"/>
                <w:szCs w:val="18"/>
              </w:rPr>
              <w:t xml:space="preserve">, </w:t>
            </w:r>
            <w:r w:rsidRPr="00FD4D41">
              <w:rPr>
                <w:rFonts w:cs="Helvetica"/>
                <w:color w:val="595959"/>
                <w:sz w:val="18"/>
                <w:szCs w:val="18"/>
              </w:rPr>
              <w:t>Greece</w:t>
            </w:r>
            <w:r>
              <w:rPr>
                <w:rFonts w:cs="Helvetica"/>
                <w:color w:val="595959"/>
                <w:sz w:val="18"/>
                <w:szCs w:val="18"/>
              </w:rPr>
              <w:t xml:space="preserve">, </w:t>
            </w:r>
            <w:r w:rsidRPr="004E703D">
              <w:rPr>
                <w:rFonts w:cs="Helvetica"/>
                <w:color w:val="595959"/>
                <w:sz w:val="18"/>
                <w:szCs w:val="18"/>
              </w:rPr>
              <w:t>France</w:t>
            </w:r>
            <w:r>
              <w:rPr>
                <w:rFonts w:cs="Helvetica"/>
                <w:color w:val="595959"/>
                <w:sz w:val="18"/>
                <w:szCs w:val="18"/>
              </w:rPr>
              <w:t>,</w:t>
            </w:r>
            <w:r w:rsidRPr="004E703D">
              <w:rPr>
                <w:rFonts w:cs="Helvetica"/>
                <w:color w:val="595959"/>
                <w:sz w:val="18"/>
                <w:szCs w:val="18"/>
              </w:rPr>
              <w:t xml:space="preserve"> Iceland</w:t>
            </w:r>
            <w:r>
              <w:rPr>
                <w:rFonts w:cs="Helvetica"/>
                <w:color w:val="595959"/>
                <w:sz w:val="18"/>
                <w:szCs w:val="18"/>
              </w:rPr>
              <w:t xml:space="preserve">, </w:t>
            </w:r>
            <w:r w:rsidRPr="00FD4D41">
              <w:rPr>
                <w:rFonts w:cs="Helvetica"/>
                <w:color w:val="595959"/>
                <w:sz w:val="18"/>
                <w:szCs w:val="18"/>
              </w:rPr>
              <w:t>Norway</w:t>
            </w:r>
            <w:r>
              <w:rPr>
                <w:rFonts w:cs="Helvetica"/>
                <w:color w:val="595959"/>
                <w:sz w:val="18"/>
                <w:szCs w:val="18"/>
              </w:rPr>
              <w:t xml:space="preserve">, </w:t>
            </w:r>
            <w:r w:rsidRPr="006E490F">
              <w:rPr>
                <w:rFonts w:cs="Helvetica"/>
                <w:color w:val="595959"/>
                <w:sz w:val="18"/>
                <w:szCs w:val="18"/>
              </w:rPr>
              <w:t>Spain</w:t>
            </w:r>
            <w:r>
              <w:rPr>
                <w:rFonts w:cs="Helvetica"/>
                <w:color w:val="595959"/>
                <w:sz w:val="18"/>
                <w:szCs w:val="18"/>
              </w:rPr>
              <w:t>,</w:t>
            </w:r>
            <w:r w:rsidRPr="006E490F">
              <w:rPr>
                <w:rFonts w:cs="Helvetica"/>
                <w:color w:val="595959"/>
                <w:sz w:val="18"/>
                <w:szCs w:val="18"/>
              </w:rPr>
              <w:t xml:space="preserve"> </w:t>
            </w:r>
            <w:r w:rsidRPr="004E703D">
              <w:rPr>
                <w:rFonts w:cs="Helvetica"/>
                <w:color w:val="595959"/>
                <w:sz w:val="18"/>
                <w:szCs w:val="18"/>
              </w:rPr>
              <w:t>Sweden</w:t>
            </w:r>
          </w:p>
        </w:tc>
      </w:tr>
      <w:tr w:rsidR="007C0651" w:rsidRPr="009F4266" w14:paraId="7DD937BF" w14:textId="77777777" w:rsidTr="003E0DB6">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1473" w:type="pct"/>
            <w:noWrap/>
            <w:vAlign w:val="center"/>
          </w:tcPr>
          <w:p w14:paraId="3B04F9AC" w14:textId="77777777" w:rsidR="007C0651" w:rsidRPr="003715F9" w:rsidRDefault="007C0651" w:rsidP="003E0DB6">
            <w:pPr>
              <w:spacing w:after="0" w:line="312" w:lineRule="auto"/>
              <w:rPr>
                <w:rFonts w:cs="Helvetica"/>
                <w:b w:val="0"/>
                <w:color w:val="595959"/>
                <w:sz w:val="18"/>
                <w:szCs w:val="18"/>
              </w:rPr>
            </w:pPr>
            <w:r w:rsidRPr="003715F9">
              <w:rPr>
                <w:rFonts w:cs="Helvetica"/>
                <w:b w:val="0"/>
                <w:color w:val="595959"/>
                <w:sz w:val="18"/>
                <w:szCs w:val="18"/>
              </w:rPr>
              <w:t>Gulf Cooperation Council</w:t>
            </w:r>
          </w:p>
        </w:tc>
        <w:tc>
          <w:tcPr>
            <w:tcW w:w="1320" w:type="pct"/>
            <w:vAlign w:val="center"/>
          </w:tcPr>
          <w:p w14:paraId="48EB18D8" w14:textId="77777777" w:rsidR="007C0651" w:rsidRPr="003715F9" w:rsidRDefault="007C0651" w:rsidP="003E0DB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8"/>
                <w:szCs w:val="18"/>
              </w:rPr>
            </w:pPr>
            <w:r w:rsidRPr="003715F9">
              <w:rPr>
                <w:rFonts w:cs="Helvetica"/>
                <w:color w:val="595959"/>
                <w:sz w:val="18"/>
                <w:szCs w:val="18"/>
              </w:rPr>
              <w:t>GCC</w:t>
            </w:r>
          </w:p>
        </w:tc>
        <w:tc>
          <w:tcPr>
            <w:tcW w:w="2207" w:type="pct"/>
          </w:tcPr>
          <w:p w14:paraId="7E24FCBE" w14:textId="77777777" w:rsidR="007C0651" w:rsidRDefault="007C0651" w:rsidP="003E0DB6">
            <w:pPr>
              <w:spacing w:after="0" w:line="312" w:lineRule="auto"/>
              <w:jc w:val="center"/>
              <w:cnfStyle w:val="000000100000" w:firstRow="0" w:lastRow="0" w:firstColumn="0" w:lastColumn="0" w:oddVBand="0" w:evenVBand="0" w:oddHBand="1" w:evenHBand="0" w:firstRowFirstColumn="0" w:firstRowLastColumn="0" w:lastRowFirstColumn="0" w:lastRowLastColumn="0"/>
            </w:pPr>
            <w:r w:rsidRPr="00FD4D41">
              <w:rPr>
                <w:rFonts w:cs="Helvetica"/>
                <w:color w:val="595959"/>
                <w:sz w:val="18"/>
                <w:szCs w:val="18"/>
              </w:rPr>
              <w:t>Bahrain</w:t>
            </w:r>
            <w:r>
              <w:rPr>
                <w:rFonts w:cs="Helvetica"/>
                <w:color w:val="595959"/>
                <w:sz w:val="18"/>
                <w:szCs w:val="18"/>
              </w:rPr>
              <w:t xml:space="preserve">, </w:t>
            </w:r>
            <w:r w:rsidRPr="00FD4D41">
              <w:rPr>
                <w:rFonts w:cs="Helvetica"/>
                <w:color w:val="595959"/>
                <w:sz w:val="18"/>
                <w:szCs w:val="18"/>
              </w:rPr>
              <w:t>Oman</w:t>
            </w:r>
            <w:r>
              <w:rPr>
                <w:rFonts w:cs="Helvetica"/>
                <w:color w:val="595959"/>
                <w:sz w:val="18"/>
                <w:szCs w:val="18"/>
              </w:rPr>
              <w:t xml:space="preserve">, </w:t>
            </w:r>
            <w:r w:rsidRPr="00FD4D41">
              <w:rPr>
                <w:rFonts w:cs="Helvetica"/>
                <w:color w:val="595959"/>
                <w:sz w:val="18"/>
                <w:szCs w:val="18"/>
              </w:rPr>
              <w:t>Qatar</w:t>
            </w:r>
            <w:r>
              <w:rPr>
                <w:rFonts w:cs="Helvetica"/>
                <w:color w:val="595959"/>
                <w:sz w:val="18"/>
                <w:szCs w:val="18"/>
              </w:rPr>
              <w:t>,</w:t>
            </w:r>
            <w:r>
              <w:t xml:space="preserve"> </w:t>
            </w:r>
          </w:p>
          <w:p w14:paraId="6C0102E7" w14:textId="77777777" w:rsidR="007C0651" w:rsidRPr="003715F9" w:rsidRDefault="007C0651" w:rsidP="003E0DB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8"/>
                <w:szCs w:val="18"/>
              </w:rPr>
            </w:pPr>
            <w:r w:rsidRPr="00FD4D41">
              <w:rPr>
                <w:rFonts w:cs="Helvetica"/>
                <w:color w:val="595959"/>
                <w:sz w:val="18"/>
                <w:szCs w:val="18"/>
              </w:rPr>
              <w:t>Saudi Arabia</w:t>
            </w:r>
            <w:r>
              <w:rPr>
                <w:rFonts w:cs="Helvetica"/>
                <w:color w:val="595959"/>
                <w:sz w:val="18"/>
                <w:szCs w:val="18"/>
              </w:rPr>
              <w:t>,</w:t>
            </w:r>
            <w:r w:rsidRPr="00FD4D41">
              <w:rPr>
                <w:rFonts w:cs="Helvetica"/>
                <w:color w:val="595959"/>
                <w:sz w:val="18"/>
                <w:szCs w:val="18"/>
              </w:rPr>
              <w:t xml:space="preserve"> UAE</w:t>
            </w:r>
          </w:p>
        </w:tc>
      </w:tr>
      <w:tr w:rsidR="007C0651" w:rsidRPr="009F4266" w14:paraId="0EC103B2" w14:textId="77777777" w:rsidTr="003E0DB6">
        <w:trPr>
          <w:trHeight w:val="362"/>
          <w:jc w:val="center"/>
        </w:trPr>
        <w:tc>
          <w:tcPr>
            <w:cnfStyle w:val="001000000000" w:firstRow="0" w:lastRow="0" w:firstColumn="1" w:lastColumn="0" w:oddVBand="0" w:evenVBand="0" w:oddHBand="0" w:evenHBand="0" w:firstRowFirstColumn="0" w:firstRowLastColumn="0" w:lastRowFirstColumn="0" w:lastRowLastColumn="0"/>
            <w:tcW w:w="1473" w:type="pct"/>
            <w:noWrap/>
            <w:vAlign w:val="center"/>
          </w:tcPr>
          <w:p w14:paraId="113CA6E1" w14:textId="77777777" w:rsidR="007C0651" w:rsidRPr="003715F9" w:rsidRDefault="007C0651" w:rsidP="003E0DB6">
            <w:pPr>
              <w:spacing w:after="0" w:line="312" w:lineRule="auto"/>
              <w:rPr>
                <w:rFonts w:cs="Helvetica"/>
                <w:b w:val="0"/>
                <w:color w:val="595959"/>
                <w:sz w:val="18"/>
                <w:szCs w:val="18"/>
              </w:rPr>
            </w:pPr>
            <w:r w:rsidRPr="003715F9">
              <w:rPr>
                <w:rFonts w:cs="Helvetica"/>
                <w:b w:val="0"/>
                <w:color w:val="595959"/>
                <w:sz w:val="18"/>
                <w:szCs w:val="18"/>
              </w:rPr>
              <w:t>North America</w:t>
            </w:r>
          </w:p>
        </w:tc>
        <w:tc>
          <w:tcPr>
            <w:tcW w:w="1320" w:type="pct"/>
            <w:vAlign w:val="center"/>
          </w:tcPr>
          <w:p w14:paraId="5EDACF64" w14:textId="77777777" w:rsidR="007C0651" w:rsidRPr="003715F9" w:rsidRDefault="007C0651" w:rsidP="003E0DB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8"/>
                <w:szCs w:val="18"/>
              </w:rPr>
            </w:pPr>
            <w:r w:rsidRPr="003715F9">
              <w:rPr>
                <w:rFonts w:cs="Helvetica"/>
                <w:color w:val="595959"/>
                <w:sz w:val="18"/>
                <w:szCs w:val="18"/>
              </w:rPr>
              <w:t>NAM</w:t>
            </w:r>
          </w:p>
        </w:tc>
        <w:tc>
          <w:tcPr>
            <w:tcW w:w="2207" w:type="pct"/>
          </w:tcPr>
          <w:p w14:paraId="0B531E60" w14:textId="77777777" w:rsidR="007C0651" w:rsidRPr="003715F9" w:rsidRDefault="007C0651" w:rsidP="003E0DB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8"/>
                <w:szCs w:val="18"/>
              </w:rPr>
            </w:pPr>
            <w:r>
              <w:rPr>
                <w:rFonts w:cs="Helvetica"/>
                <w:color w:val="595959"/>
                <w:sz w:val="18"/>
                <w:szCs w:val="18"/>
              </w:rPr>
              <w:t>Canada, USA</w:t>
            </w:r>
          </w:p>
        </w:tc>
      </w:tr>
      <w:tr w:rsidR="007C0651" w:rsidRPr="009F4266" w14:paraId="55A94928" w14:textId="77777777" w:rsidTr="003E0DB6">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1473" w:type="pct"/>
            <w:noWrap/>
            <w:vAlign w:val="center"/>
          </w:tcPr>
          <w:p w14:paraId="1DB78DB2" w14:textId="77777777" w:rsidR="007C0651" w:rsidRPr="003715F9" w:rsidRDefault="007C0651" w:rsidP="003E0DB6">
            <w:pPr>
              <w:spacing w:after="0" w:line="312" w:lineRule="auto"/>
              <w:rPr>
                <w:rFonts w:cs="Helvetica"/>
                <w:b w:val="0"/>
                <w:color w:val="595959"/>
                <w:sz w:val="18"/>
                <w:szCs w:val="18"/>
              </w:rPr>
            </w:pPr>
            <w:r w:rsidRPr="003715F9">
              <w:rPr>
                <w:rFonts w:cs="Helvetica"/>
                <w:b w:val="0"/>
                <w:color w:val="595959"/>
                <w:sz w:val="18"/>
                <w:szCs w:val="18"/>
              </w:rPr>
              <w:t>Oceania</w:t>
            </w:r>
          </w:p>
        </w:tc>
        <w:tc>
          <w:tcPr>
            <w:tcW w:w="1320" w:type="pct"/>
            <w:vAlign w:val="center"/>
          </w:tcPr>
          <w:p w14:paraId="25C3AAD3" w14:textId="77777777" w:rsidR="007C0651" w:rsidRPr="003715F9" w:rsidRDefault="007C0651" w:rsidP="003E0DB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8"/>
                <w:szCs w:val="18"/>
              </w:rPr>
            </w:pPr>
            <w:r w:rsidRPr="003715F9">
              <w:rPr>
                <w:rFonts w:cs="Helvetica"/>
                <w:color w:val="595959"/>
                <w:sz w:val="18"/>
                <w:szCs w:val="18"/>
              </w:rPr>
              <w:t>OCA</w:t>
            </w:r>
          </w:p>
        </w:tc>
        <w:tc>
          <w:tcPr>
            <w:tcW w:w="2207" w:type="pct"/>
          </w:tcPr>
          <w:p w14:paraId="5E7D2D3A" w14:textId="77777777" w:rsidR="007C0651" w:rsidRPr="00FD4D41" w:rsidRDefault="007C0651" w:rsidP="003E0DB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8"/>
                <w:szCs w:val="18"/>
              </w:rPr>
            </w:pPr>
            <w:r w:rsidRPr="00FD4D41">
              <w:rPr>
                <w:rFonts w:cs="Helvetica"/>
                <w:color w:val="595959"/>
                <w:sz w:val="18"/>
                <w:szCs w:val="18"/>
              </w:rPr>
              <w:t>Australia</w:t>
            </w:r>
          </w:p>
          <w:p w14:paraId="033CFC57" w14:textId="77777777" w:rsidR="007C0651" w:rsidRPr="003715F9" w:rsidRDefault="007C0651" w:rsidP="003E0DB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8"/>
                <w:szCs w:val="18"/>
              </w:rPr>
            </w:pPr>
            <w:r w:rsidRPr="00FD4D41">
              <w:rPr>
                <w:rFonts w:cs="Helvetica"/>
                <w:color w:val="595959"/>
                <w:sz w:val="18"/>
                <w:szCs w:val="18"/>
              </w:rPr>
              <w:t>New Zealand</w:t>
            </w:r>
          </w:p>
        </w:tc>
      </w:tr>
      <w:tr w:rsidR="007C0651" w:rsidRPr="009F4266" w14:paraId="16223FA6" w14:textId="77777777" w:rsidTr="003E0DB6">
        <w:trPr>
          <w:trHeight w:val="362"/>
          <w:jc w:val="center"/>
        </w:trPr>
        <w:tc>
          <w:tcPr>
            <w:cnfStyle w:val="001000000000" w:firstRow="0" w:lastRow="0" w:firstColumn="1" w:lastColumn="0" w:oddVBand="0" w:evenVBand="0" w:oddHBand="0" w:evenHBand="0" w:firstRowFirstColumn="0" w:firstRowLastColumn="0" w:lastRowFirstColumn="0" w:lastRowLastColumn="0"/>
            <w:tcW w:w="1473" w:type="pct"/>
            <w:noWrap/>
            <w:vAlign w:val="center"/>
          </w:tcPr>
          <w:p w14:paraId="5A685C2C" w14:textId="77777777" w:rsidR="007C0651" w:rsidRPr="003715F9" w:rsidRDefault="007C0651" w:rsidP="003E0DB6">
            <w:pPr>
              <w:spacing w:after="0" w:line="312" w:lineRule="auto"/>
              <w:rPr>
                <w:rFonts w:cs="Helvetica"/>
                <w:b w:val="0"/>
                <w:color w:val="595959"/>
                <w:sz w:val="18"/>
                <w:szCs w:val="18"/>
              </w:rPr>
            </w:pPr>
            <w:r w:rsidRPr="003715F9">
              <w:rPr>
                <w:rFonts w:cs="Helvetica"/>
                <w:b w:val="0"/>
                <w:color w:val="595959"/>
                <w:sz w:val="18"/>
                <w:szCs w:val="18"/>
              </w:rPr>
              <w:t xml:space="preserve">Russia and </w:t>
            </w:r>
            <w:r>
              <w:rPr>
                <w:rFonts w:cs="Helvetica"/>
                <w:b w:val="0"/>
                <w:color w:val="595959"/>
                <w:sz w:val="18"/>
                <w:szCs w:val="18"/>
              </w:rPr>
              <w:t>East</w:t>
            </w:r>
            <w:r w:rsidRPr="003715F9">
              <w:rPr>
                <w:rFonts w:cs="Helvetica"/>
                <w:b w:val="0"/>
                <w:color w:val="595959"/>
                <w:sz w:val="18"/>
                <w:szCs w:val="18"/>
              </w:rPr>
              <w:t xml:space="preserve"> Europe</w:t>
            </w:r>
          </w:p>
        </w:tc>
        <w:tc>
          <w:tcPr>
            <w:tcW w:w="1320" w:type="pct"/>
            <w:vAlign w:val="center"/>
          </w:tcPr>
          <w:p w14:paraId="70A4F041" w14:textId="77777777" w:rsidR="007C0651" w:rsidRPr="003715F9" w:rsidRDefault="007C0651" w:rsidP="003E0DB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8"/>
                <w:szCs w:val="18"/>
              </w:rPr>
            </w:pPr>
            <w:r w:rsidRPr="003715F9">
              <w:rPr>
                <w:rFonts w:cs="Helvetica"/>
                <w:color w:val="595959"/>
                <w:sz w:val="18"/>
                <w:szCs w:val="18"/>
              </w:rPr>
              <w:t>ROE</w:t>
            </w:r>
          </w:p>
        </w:tc>
        <w:tc>
          <w:tcPr>
            <w:tcW w:w="2207" w:type="pct"/>
          </w:tcPr>
          <w:p w14:paraId="02A1D984" w14:textId="77777777" w:rsidR="007C0651" w:rsidRPr="003715F9" w:rsidRDefault="007C0651" w:rsidP="003E0DB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8"/>
                <w:szCs w:val="18"/>
              </w:rPr>
            </w:pPr>
            <w:r w:rsidRPr="00FD4D41">
              <w:rPr>
                <w:rFonts w:cs="Helvetica"/>
                <w:color w:val="595959"/>
                <w:sz w:val="18"/>
                <w:szCs w:val="18"/>
              </w:rPr>
              <w:t>Montenegro</w:t>
            </w:r>
            <w:r>
              <w:rPr>
                <w:rFonts w:cs="Helvetica"/>
                <w:color w:val="595959"/>
                <w:sz w:val="18"/>
                <w:szCs w:val="18"/>
              </w:rPr>
              <w:t xml:space="preserve">, </w:t>
            </w:r>
            <w:r w:rsidRPr="00FD4D41">
              <w:rPr>
                <w:rFonts w:cs="Helvetica"/>
                <w:color w:val="595959"/>
                <w:sz w:val="18"/>
                <w:szCs w:val="18"/>
              </w:rPr>
              <w:t>Russia</w:t>
            </w:r>
            <w:r>
              <w:rPr>
                <w:rFonts w:cs="Helvetica"/>
                <w:color w:val="595959"/>
                <w:sz w:val="18"/>
                <w:szCs w:val="18"/>
              </w:rPr>
              <w:t xml:space="preserve">, </w:t>
            </w:r>
            <w:r w:rsidRPr="00FD4D41">
              <w:rPr>
                <w:rFonts w:cs="Helvetica"/>
                <w:color w:val="595959"/>
                <w:sz w:val="18"/>
                <w:szCs w:val="18"/>
              </w:rPr>
              <w:t>Slovenia</w:t>
            </w:r>
            <w:r>
              <w:rPr>
                <w:rFonts w:cs="Helvetica"/>
                <w:color w:val="595959"/>
                <w:sz w:val="18"/>
                <w:szCs w:val="18"/>
              </w:rPr>
              <w:t>,</w:t>
            </w:r>
            <w:r>
              <w:t xml:space="preserve"> </w:t>
            </w:r>
            <w:r w:rsidRPr="00FD4D41">
              <w:rPr>
                <w:rFonts w:cs="Helvetica"/>
                <w:color w:val="595959"/>
                <w:sz w:val="18"/>
                <w:szCs w:val="18"/>
              </w:rPr>
              <w:t>Slovakia</w:t>
            </w:r>
            <w:r>
              <w:rPr>
                <w:rFonts w:cs="Helvetica"/>
                <w:color w:val="595959"/>
                <w:sz w:val="18"/>
                <w:szCs w:val="18"/>
              </w:rPr>
              <w:t>, Ukraine</w:t>
            </w:r>
          </w:p>
        </w:tc>
      </w:tr>
      <w:tr w:rsidR="007C0651" w:rsidRPr="009F4266" w14:paraId="41FED60C" w14:textId="77777777" w:rsidTr="003E0DB6">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1473" w:type="pct"/>
            <w:noWrap/>
            <w:vAlign w:val="center"/>
          </w:tcPr>
          <w:p w14:paraId="3AF07A9B" w14:textId="77777777" w:rsidR="007C0651" w:rsidRPr="003715F9" w:rsidRDefault="007C0651" w:rsidP="003E0DB6">
            <w:pPr>
              <w:spacing w:after="0" w:line="312" w:lineRule="auto"/>
              <w:rPr>
                <w:rFonts w:cs="Helvetica"/>
                <w:b w:val="0"/>
                <w:color w:val="595959"/>
                <w:sz w:val="18"/>
                <w:szCs w:val="18"/>
              </w:rPr>
            </w:pPr>
            <w:r w:rsidRPr="003715F9">
              <w:rPr>
                <w:rFonts w:cs="Helvetica"/>
                <w:b w:val="0"/>
                <w:color w:val="595959"/>
                <w:sz w:val="18"/>
                <w:szCs w:val="18"/>
              </w:rPr>
              <w:t>South America</w:t>
            </w:r>
          </w:p>
        </w:tc>
        <w:tc>
          <w:tcPr>
            <w:tcW w:w="1320" w:type="pct"/>
            <w:vAlign w:val="center"/>
          </w:tcPr>
          <w:p w14:paraId="369C58BD" w14:textId="77777777" w:rsidR="007C0651" w:rsidRPr="003715F9" w:rsidRDefault="007C0651" w:rsidP="003E0DB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8"/>
                <w:szCs w:val="18"/>
              </w:rPr>
            </w:pPr>
            <w:r w:rsidRPr="003715F9">
              <w:rPr>
                <w:rFonts w:cs="Helvetica"/>
                <w:color w:val="595959"/>
                <w:sz w:val="18"/>
                <w:szCs w:val="18"/>
              </w:rPr>
              <w:t>SAM</w:t>
            </w:r>
          </w:p>
        </w:tc>
        <w:tc>
          <w:tcPr>
            <w:tcW w:w="2207" w:type="pct"/>
          </w:tcPr>
          <w:p w14:paraId="270508A1" w14:textId="77777777" w:rsidR="007C0651" w:rsidRPr="00E0191E" w:rsidRDefault="007C0651" w:rsidP="003E0DB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8"/>
                <w:szCs w:val="18"/>
              </w:rPr>
            </w:pPr>
            <w:r w:rsidRPr="00FD4D41">
              <w:rPr>
                <w:rFonts w:cs="Helvetica"/>
                <w:color w:val="595959"/>
                <w:sz w:val="18"/>
                <w:szCs w:val="18"/>
              </w:rPr>
              <w:t>Argentina</w:t>
            </w:r>
            <w:r>
              <w:rPr>
                <w:rFonts w:cs="Helvetica"/>
                <w:color w:val="595959"/>
                <w:sz w:val="18"/>
                <w:szCs w:val="18"/>
              </w:rPr>
              <w:t xml:space="preserve">, </w:t>
            </w:r>
            <w:r w:rsidRPr="00FD4D41">
              <w:rPr>
                <w:rFonts w:cs="Helvetica"/>
                <w:color w:val="595959"/>
                <w:sz w:val="18"/>
                <w:szCs w:val="18"/>
              </w:rPr>
              <w:t>Brazil</w:t>
            </w:r>
            <w:r>
              <w:rPr>
                <w:rFonts w:cs="Helvetica"/>
                <w:color w:val="595959"/>
                <w:sz w:val="18"/>
                <w:szCs w:val="18"/>
              </w:rPr>
              <w:t>,</w:t>
            </w:r>
            <w:r>
              <w:t xml:space="preserve"> </w:t>
            </w:r>
            <w:r w:rsidRPr="00E0191E">
              <w:rPr>
                <w:rFonts w:cs="Helvetica"/>
                <w:color w:val="595959"/>
                <w:sz w:val="18"/>
                <w:szCs w:val="18"/>
              </w:rPr>
              <w:t>Jamaica</w:t>
            </w:r>
            <w:r>
              <w:rPr>
                <w:rFonts w:cs="Helvetica"/>
                <w:color w:val="595959"/>
                <w:sz w:val="18"/>
                <w:szCs w:val="18"/>
              </w:rPr>
              <w:t xml:space="preserve">, </w:t>
            </w:r>
          </w:p>
          <w:p w14:paraId="0728C449" w14:textId="77777777" w:rsidR="007C0651" w:rsidRPr="003715F9" w:rsidRDefault="007C0651" w:rsidP="003E0DB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8"/>
                <w:szCs w:val="18"/>
              </w:rPr>
            </w:pPr>
            <w:r w:rsidRPr="00E0191E">
              <w:rPr>
                <w:rFonts w:cs="Helvetica"/>
                <w:color w:val="595959"/>
                <w:sz w:val="18"/>
                <w:szCs w:val="18"/>
              </w:rPr>
              <w:t>Guyana</w:t>
            </w:r>
            <w:r>
              <w:rPr>
                <w:rFonts w:cs="Helvetica"/>
                <w:color w:val="595959"/>
                <w:sz w:val="18"/>
                <w:szCs w:val="18"/>
              </w:rPr>
              <w:t xml:space="preserve">, </w:t>
            </w:r>
            <w:r w:rsidRPr="00FD4D41">
              <w:rPr>
                <w:rFonts w:cs="Helvetica"/>
                <w:color w:val="595959"/>
                <w:sz w:val="18"/>
                <w:szCs w:val="18"/>
              </w:rPr>
              <w:t>Venezuela</w:t>
            </w:r>
          </w:p>
        </w:tc>
      </w:tr>
    </w:tbl>
    <w:p w14:paraId="686666AB" w14:textId="77777777" w:rsidR="007C0651" w:rsidRPr="00273817" w:rsidRDefault="007C0651" w:rsidP="007C0651">
      <w:pPr>
        <w:tabs>
          <w:tab w:val="left" w:pos="-1440"/>
          <w:tab w:val="left" w:pos="-720"/>
        </w:tabs>
        <w:spacing w:before="120" w:after="0" w:line="312" w:lineRule="auto"/>
        <w:jc w:val="right"/>
        <w:rPr>
          <w:rFonts w:cs="Helvetica"/>
          <w:b/>
          <w:color w:val="595959"/>
          <w:szCs w:val="20"/>
        </w:rPr>
      </w:pPr>
      <w:r w:rsidRPr="00E04AA6">
        <w:rPr>
          <w:rFonts w:cs="Helvetica"/>
          <w:b/>
          <w:color w:val="595959"/>
          <w:szCs w:val="20"/>
        </w:rPr>
        <w:t>Table 1:</w:t>
      </w:r>
      <w:r>
        <w:rPr>
          <w:rFonts w:cs="Helvetica"/>
          <w:b/>
          <w:color w:val="595959"/>
          <w:szCs w:val="20"/>
        </w:rPr>
        <w:tab/>
        <w:t>IAI LCI Regions 2019</w:t>
      </w:r>
    </w:p>
    <w:p w14:paraId="3B7DA5EF" w14:textId="77777777" w:rsidR="007C0651" w:rsidRDefault="007C0651" w:rsidP="007C0651">
      <w:pPr>
        <w:spacing w:after="0" w:line="312" w:lineRule="auto"/>
        <w:jc w:val="both"/>
        <w:rPr>
          <w:rFonts w:cs="Helvetica"/>
          <w:color w:val="595959"/>
          <w:szCs w:val="20"/>
        </w:rPr>
      </w:pPr>
    </w:p>
    <w:p w14:paraId="6D58D873" w14:textId="22498D45" w:rsidR="00750BDC" w:rsidRPr="009F4266" w:rsidRDefault="00B94B54">
      <w:pPr>
        <w:tabs>
          <w:tab w:val="left" w:pos="-1440"/>
          <w:tab w:val="left" w:pos="-720"/>
        </w:tabs>
        <w:spacing w:after="0" w:line="312" w:lineRule="auto"/>
        <w:jc w:val="both"/>
        <w:rPr>
          <w:rFonts w:cs="Helvetica"/>
          <w:color w:val="595959"/>
          <w:szCs w:val="20"/>
        </w:rPr>
      </w:pPr>
      <w:r w:rsidRPr="009F4266">
        <w:rPr>
          <w:rFonts w:cs="Helvetica"/>
          <w:color w:val="595959"/>
          <w:szCs w:val="20"/>
        </w:rPr>
        <w:t>B</w:t>
      </w:r>
      <w:r w:rsidR="00D3086F" w:rsidRPr="009F4266">
        <w:rPr>
          <w:rFonts w:cs="Helvetica"/>
          <w:color w:val="595959"/>
          <w:szCs w:val="20"/>
        </w:rPr>
        <w:t xml:space="preserve">ackground processes </w:t>
      </w:r>
      <w:r w:rsidR="0036397C" w:rsidRPr="009F4266">
        <w:rPr>
          <w:rFonts w:cs="Helvetica"/>
          <w:color w:val="595959"/>
          <w:szCs w:val="20"/>
        </w:rPr>
        <w:t xml:space="preserve">are </w:t>
      </w:r>
      <w:r w:rsidR="00693BAA" w:rsidRPr="009F4266">
        <w:rPr>
          <w:rFonts w:cs="Helvetica"/>
          <w:color w:val="595959"/>
          <w:szCs w:val="20"/>
        </w:rPr>
        <w:t xml:space="preserve">specified </w:t>
      </w:r>
      <w:r w:rsidR="00472887" w:rsidRPr="009F4266">
        <w:rPr>
          <w:rFonts w:cs="Helvetica"/>
          <w:color w:val="595959"/>
          <w:szCs w:val="20"/>
        </w:rPr>
        <w:t>in the flow diagram</w:t>
      </w:r>
      <w:r w:rsidR="00742266" w:rsidRPr="009F4266">
        <w:rPr>
          <w:rFonts w:cs="Helvetica"/>
          <w:color w:val="595959"/>
          <w:szCs w:val="20"/>
        </w:rPr>
        <w:t xml:space="preserve"> in </w:t>
      </w:r>
      <w:r w:rsidR="00742266" w:rsidRPr="00570742">
        <w:rPr>
          <w:rFonts w:cs="Helvetica"/>
          <w:color w:val="595959"/>
          <w:szCs w:val="20"/>
        </w:rPr>
        <w:t xml:space="preserve">Appendix </w:t>
      </w:r>
      <w:r w:rsidR="007F1656" w:rsidRPr="00570742">
        <w:rPr>
          <w:rFonts w:cs="Helvetica"/>
          <w:color w:val="595959"/>
          <w:szCs w:val="20"/>
        </w:rPr>
        <w:t>A</w:t>
      </w:r>
      <w:r w:rsidR="009831A3">
        <w:rPr>
          <w:rFonts w:cs="Helvetica"/>
          <w:color w:val="595959"/>
          <w:szCs w:val="20"/>
        </w:rPr>
        <w:t xml:space="preserve">.  </w:t>
      </w:r>
      <w:r w:rsidR="009D0E36" w:rsidRPr="009F4266">
        <w:rPr>
          <w:rFonts w:cs="Helvetica"/>
          <w:color w:val="595959"/>
          <w:szCs w:val="20"/>
        </w:rPr>
        <w:t xml:space="preserve">These processes </w:t>
      </w:r>
      <w:r w:rsidR="00F329E2">
        <w:rPr>
          <w:rFonts w:cs="Helvetica"/>
          <w:color w:val="595959"/>
          <w:szCs w:val="20"/>
        </w:rPr>
        <w:t>have the potential to contribute much greater environmental impact than the unit processes within it</w:t>
      </w:r>
      <w:r w:rsidR="00A90BDA">
        <w:rPr>
          <w:rFonts w:cs="Helvetica"/>
          <w:color w:val="595959"/>
          <w:szCs w:val="20"/>
        </w:rPr>
        <w:t>.</w:t>
      </w:r>
      <w:r w:rsidR="009831A3">
        <w:rPr>
          <w:rFonts w:cs="Helvetica"/>
          <w:color w:val="595959"/>
          <w:szCs w:val="20"/>
        </w:rPr>
        <w:t xml:space="preserve">  </w:t>
      </w:r>
      <w:r w:rsidR="002428A0" w:rsidRPr="009F4266">
        <w:rPr>
          <w:rFonts w:cs="Helvetica"/>
          <w:color w:val="595959"/>
          <w:szCs w:val="20"/>
        </w:rPr>
        <w:t>Such</w:t>
      </w:r>
      <w:r w:rsidR="00750BDC" w:rsidRPr="009F4266">
        <w:rPr>
          <w:rFonts w:cs="Helvetica"/>
          <w:color w:val="595959"/>
          <w:szCs w:val="20"/>
        </w:rPr>
        <w:t xml:space="preserve"> additional </w:t>
      </w:r>
      <w:r w:rsidR="00A90BDA">
        <w:rPr>
          <w:rFonts w:cs="Helvetica"/>
          <w:color w:val="595959"/>
          <w:szCs w:val="20"/>
        </w:rPr>
        <w:t>background</w:t>
      </w:r>
      <w:r w:rsidR="00750BDC" w:rsidRPr="009F4266">
        <w:rPr>
          <w:rFonts w:cs="Helvetica"/>
          <w:color w:val="595959"/>
          <w:szCs w:val="20"/>
        </w:rPr>
        <w:t xml:space="preserve"> processes</w:t>
      </w:r>
      <w:r w:rsidR="002428A0" w:rsidRPr="009F4266">
        <w:rPr>
          <w:rFonts w:cs="Helvetica"/>
          <w:color w:val="595959"/>
          <w:szCs w:val="20"/>
        </w:rPr>
        <w:t xml:space="preserve"> (</w:t>
      </w:r>
      <w:r w:rsidR="00750BDC" w:rsidRPr="009F4266">
        <w:rPr>
          <w:rFonts w:cs="Helvetica"/>
          <w:color w:val="595959"/>
          <w:szCs w:val="20"/>
        </w:rPr>
        <w:t xml:space="preserve">in particular </w:t>
      </w:r>
      <w:r w:rsidR="00E91489">
        <w:rPr>
          <w:rFonts w:cs="Helvetica"/>
          <w:color w:val="595959"/>
          <w:szCs w:val="20"/>
        </w:rPr>
        <w:t xml:space="preserve">supply of </w:t>
      </w:r>
      <w:r w:rsidR="0075372D">
        <w:rPr>
          <w:rFonts w:cs="Helvetica"/>
          <w:color w:val="595959"/>
          <w:szCs w:val="20"/>
        </w:rPr>
        <w:t>fuel and electricity,</w:t>
      </w:r>
      <w:r w:rsidR="002428A0" w:rsidRPr="009F4266">
        <w:rPr>
          <w:rFonts w:cs="Helvetica"/>
          <w:color w:val="595959"/>
          <w:szCs w:val="20"/>
        </w:rPr>
        <w:t xml:space="preserve"> and production of</w:t>
      </w:r>
      <w:r w:rsidR="00562316">
        <w:rPr>
          <w:rFonts w:cs="Helvetica"/>
          <w:color w:val="595959"/>
          <w:szCs w:val="20"/>
        </w:rPr>
        <w:t xml:space="preserve"> ancillary</w:t>
      </w:r>
      <w:r w:rsidR="002428A0" w:rsidRPr="009F4266">
        <w:rPr>
          <w:rFonts w:cs="Helvetica"/>
          <w:color w:val="595959"/>
          <w:szCs w:val="20"/>
        </w:rPr>
        <w:t xml:space="preserve"> raw materials such as </w:t>
      </w:r>
      <w:r w:rsidR="00750BDC" w:rsidRPr="009F4266">
        <w:rPr>
          <w:rFonts w:cs="Helvetica"/>
          <w:color w:val="595959"/>
          <w:szCs w:val="20"/>
        </w:rPr>
        <w:t>pitch</w:t>
      </w:r>
      <w:r w:rsidR="002428A0" w:rsidRPr="009F4266">
        <w:rPr>
          <w:rFonts w:cs="Helvetica"/>
          <w:color w:val="595959"/>
          <w:szCs w:val="20"/>
        </w:rPr>
        <w:t xml:space="preserve"> and</w:t>
      </w:r>
      <w:r w:rsidR="00750BDC" w:rsidRPr="009F4266">
        <w:rPr>
          <w:rFonts w:cs="Helvetica"/>
          <w:color w:val="595959"/>
          <w:szCs w:val="20"/>
        </w:rPr>
        <w:t xml:space="preserve"> caustic soda</w:t>
      </w:r>
      <w:r w:rsidR="002428A0" w:rsidRPr="009F4266">
        <w:rPr>
          <w:rFonts w:cs="Helvetica"/>
          <w:color w:val="595959"/>
          <w:szCs w:val="20"/>
        </w:rPr>
        <w:t>)</w:t>
      </w:r>
      <w:r w:rsidR="00750BDC" w:rsidRPr="009F4266">
        <w:rPr>
          <w:rFonts w:cs="Helvetica"/>
          <w:color w:val="595959"/>
          <w:szCs w:val="20"/>
        </w:rPr>
        <w:t xml:space="preserve"> </w:t>
      </w:r>
      <w:r w:rsidR="008D67F1" w:rsidRPr="009F4266">
        <w:rPr>
          <w:rFonts w:cs="Helvetica"/>
          <w:color w:val="595959"/>
          <w:szCs w:val="20"/>
        </w:rPr>
        <w:t>are included in the LCI</w:t>
      </w:r>
      <w:r w:rsidR="009831A3">
        <w:rPr>
          <w:rFonts w:cs="Helvetica"/>
          <w:color w:val="595959"/>
          <w:szCs w:val="20"/>
        </w:rPr>
        <w:t xml:space="preserve">.  </w:t>
      </w:r>
      <w:r w:rsidR="002428A0" w:rsidRPr="009F4266">
        <w:rPr>
          <w:rFonts w:cs="Helvetica"/>
          <w:color w:val="595959"/>
          <w:szCs w:val="20"/>
        </w:rPr>
        <w:t>Life cycle</w:t>
      </w:r>
      <w:r w:rsidR="00750BDC" w:rsidRPr="009F4266">
        <w:rPr>
          <w:rFonts w:cs="Helvetica"/>
          <w:color w:val="595959"/>
          <w:szCs w:val="20"/>
        </w:rPr>
        <w:t xml:space="preserve"> practitioners who use the </w:t>
      </w:r>
      <w:r w:rsidR="008D67F1" w:rsidRPr="009F4266">
        <w:rPr>
          <w:rFonts w:cs="Helvetica"/>
          <w:color w:val="595959"/>
          <w:szCs w:val="20"/>
        </w:rPr>
        <w:t xml:space="preserve">LCI data from this study </w:t>
      </w:r>
      <w:r w:rsidR="00750BDC" w:rsidRPr="009F4266">
        <w:rPr>
          <w:rFonts w:cs="Helvetica"/>
          <w:color w:val="595959"/>
          <w:szCs w:val="20"/>
        </w:rPr>
        <w:t xml:space="preserve">may </w:t>
      </w:r>
      <w:r w:rsidR="00750BDC" w:rsidRPr="009F4266">
        <w:rPr>
          <w:rFonts w:cs="Helvetica"/>
          <w:color w:val="595959"/>
          <w:szCs w:val="20"/>
        </w:rPr>
        <w:lastRenderedPageBreak/>
        <w:t xml:space="preserve">include </w:t>
      </w:r>
      <w:r w:rsidR="0075372D">
        <w:rPr>
          <w:rFonts w:cs="Helvetica"/>
          <w:color w:val="595959"/>
          <w:szCs w:val="20"/>
        </w:rPr>
        <w:t xml:space="preserve">elementary flow data for </w:t>
      </w:r>
      <w:r w:rsidR="00750BDC" w:rsidRPr="009F4266">
        <w:rPr>
          <w:rFonts w:cs="Helvetica"/>
          <w:color w:val="595959"/>
          <w:szCs w:val="20"/>
        </w:rPr>
        <w:t xml:space="preserve">such additional unit processes from </w:t>
      </w:r>
      <w:r w:rsidR="0075372D">
        <w:rPr>
          <w:rFonts w:cs="Helvetica"/>
          <w:color w:val="595959"/>
          <w:szCs w:val="20"/>
        </w:rPr>
        <w:t>life cycle</w:t>
      </w:r>
      <w:r w:rsidR="00750BDC" w:rsidRPr="009F4266">
        <w:rPr>
          <w:rFonts w:cs="Helvetica"/>
          <w:color w:val="595959"/>
          <w:szCs w:val="20"/>
        </w:rPr>
        <w:t xml:space="preserve"> databases</w:t>
      </w:r>
      <w:r w:rsidR="009831A3">
        <w:rPr>
          <w:rFonts w:cs="Helvetica"/>
          <w:color w:val="595959"/>
          <w:szCs w:val="20"/>
        </w:rPr>
        <w:t>.</w:t>
      </w:r>
      <w:r w:rsidR="000D2F43">
        <w:rPr>
          <w:rStyle w:val="FootnoteReference"/>
          <w:rFonts w:cs="Helvetica"/>
          <w:color w:val="595959"/>
          <w:szCs w:val="20"/>
        </w:rPr>
        <w:footnoteReference w:id="2"/>
      </w:r>
      <w:r w:rsidR="009831A3">
        <w:rPr>
          <w:rFonts w:cs="Helvetica"/>
          <w:color w:val="595959"/>
          <w:szCs w:val="20"/>
        </w:rPr>
        <w:t xml:space="preserve">  </w:t>
      </w:r>
      <w:r w:rsidRPr="009F4266">
        <w:rPr>
          <w:rFonts w:cs="Helvetica"/>
          <w:color w:val="595959"/>
          <w:szCs w:val="20"/>
        </w:rPr>
        <w:t xml:space="preserve">Chapter </w:t>
      </w:r>
      <w:r w:rsidR="00B63273">
        <w:rPr>
          <w:rFonts w:cs="Helvetica"/>
          <w:color w:val="595959"/>
          <w:szCs w:val="20"/>
        </w:rPr>
        <w:t>4</w:t>
      </w:r>
      <w:r w:rsidRPr="009F4266">
        <w:rPr>
          <w:rFonts w:cs="Helvetica"/>
          <w:color w:val="595959"/>
          <w:szCs w:val="20"/>
        </w:rPr>
        <w:t xml:space="preserve"> will demonstrate how such data can be used as part of a</w:t>
      </w:r>
      <w:r w:rsidR="00E91489">
        <w:rPr>
          <w:rFonts w:cs="Helvetica"/>
          <w:color w:val="595959"/>
          <w:szCs w:val="20"/>
        </w:rPr>
        <w:t>n</w:t>
      </w:r>
      <w:r w:rsidR="00562316">
        <w:rPr>
          <w:rFonts w:cs="Helvetica"/>
          <w:color w:val="595959"/>
          <w:szCs w:val="20"/>
        </w:rPr>
        <w:t xml:space="preserve"> </w:t>
      </w:r>
      <w:r w:rsidRPr="009F4266">
        <w:rPr>
          <w:rFonts w:cs="Helvetica"/>
          <w:color w:val="595959"/>
          <w:szCs w:val="20"/>
        </w:rPr>
        <w:t>impact assessment or information module.</w:t>
      </w:r>
    </w:p>
    <w:p w14:paraId="0474932A" w14:textId="77777777" w:rsidR="00C91798" w:rsidRDefault="00C91798">
      <w:pPr>
        <w:tabs>
          <w:tab w:val="left" w:pos="-1440"/>
          <w:tab w:val="left" w:pos="-720"/>
        </w:tabs>
        <w:spacing w:after="0" w:line="312" w:lineRule="auto"/>
        <w:jc w:val="both"/>
        <w:rPr>
          <w:rFonts w:cs="Helvetica"/>
          <w:color w:val="595959"/>
          <w:szCs w:val="20"/>
        </w:rPr>
      </w:pPr>
    </w:p>
    <w:p w14:paraId="073E6E94" w14:textId="2D6263C1" w:rsidR="009E11C8" w:rsidRPr="00AD3CAD" w:rsidRDefault="008D67F1" w:rsidP="00FE6088">
      <w:pPr>
        <w:tabs>
          <w:tab w:val="left" w:pos="-1440"/>
          <w:tab w:val="left" w:pos="-720"/>
        </w:tabs>
        <w:spacing w:after="0" w:line="312" w:lineRule="auto"/>
        <w:jc w:val="both"/>
        <w:rPr>
          <w:rFonts w:cs="Helvetica"/>
          <w:color w:val="0070C0"/>
          <w:szCs w:val="20"/>
        </w:rPr>
      </w:pPr>
      <w:r w:rsidRPr="009F4266">
        <w:rPr>
          <w:rFonts w:cs="Helvetica"/>
          <w:color w:val="595959"/>
          <w:szCs w:val="20"/>
        </w:rPr>
        <w:t>Electricity is a significant input to the aluminium production process and as such, s</w:t>
      </w:r>
      <w:r w:rsidR="004D7928" w:rsidRPr="009F4266">
        <w:rPr>
          <w:rFonts w:cs="Helvetica"/>
          <w:color w:val="595959"/>
          <w:szCs w:val="20"/>
        </w:rPr>
        <w:t>pecial care is needed to include th</w:t>
      </w:r>
      <w:r w:rsidR="005764BA" w:rsidRPr="009F4266">
        <w:rPr>
          <w:rFonts w:cs="Helvetica"/>
          <w:color w:val="595959"/>
          <w:szCs w:val="20"/>
        </w:rPr>
        <w:t>e appropriate electricity supply</w:t>
      </w:r>
      <w:r w:rsidR="00D568FA" w:rsidRPr="009F4266">
        <w:rPr>
          <w:rFonts w:cs="Helvetica"/>
          <w:color w:val="595959"/>
          <w:szCs w:val="20"/>
        </w:rPr>
        <w:t xml:space="preserve"> mix</w:t>
      </w:r>
      <w:r w:rsidR="009831A3">
        <w:rPr>
          <w:rFonts w:cs="Helvetica"/>
          <w:color w:val="595959"/>
          <w:szCs w:val="20"/>
        </w:rPr>
        <w:t xml:space="preserve">.  </w:t>
      </w:r>
      <w:r w:rsidR="009D0E36" w:rsidRPr="009F4266">
        <w:rPr>
          <w:rFonts w:cs="Helvetica"/>
          <w:color w:val="595959"/>
          <w:szCs w:val="20"/>
        </w:rPr>
        <w:t>Often, the industry electricity supply mix differs from the national</w:t>
      </w:r>
      <w:r w:rsidR="00F329E2">
        <w:rPr>
          <w:rFonts w:cs="Helvetica"/>
          <w:color w:val="595959"/>
          <w:szCs w:val="20"/>
        </w:rPr>
        <w:t xml:space="preserve"> or regional</w:t>
      </w:r>
      <w:r w:rsidR="009D0E36" w:rsidRPr="009F4266">
        <w:rPr>
          <w:rFonts w:cs="Helvetica"/>
          <w:color w:val="595959"/>
          <w:szCs w:val="20"/>
        </w:rPr>
        <w:t xml:space="preserve"> grid mix </w:t>
      </w:r>
      <w:r w:rsidR="00F329E2">
        <w:rPr>
          <w:rFonts w:cs="Helvetica"/>
          <w:color w:val="595959"/>
          <w:szCs w:val="20"/>
        </w:rPr>
        <w:t>(due to captive or directly delivered power supplies)</w:t>
      </w:r>
      <w:r w:rsidR="0039105E">
        <w:rPr>
          <w:rFonts w:cs="Helvetica"/>
          <w:color w:val="595959"/>
          <w:szCs w:val="20"/>
        </w:rPr>
        <w:t xml:space="preserve">. </w:t>
      </w:r>
      <w:r w:rsidR="00F329E2">
        <w:rPr>
          <w:rFonts w:cs="Helvetica"/>
          <w:color w:val="595959"/>
          <w:szCs w:val="20"/>
        </w:rPr>
        <w:t xml:space="preserve"> </w:t>
      </w:r>
      <w:r w:rsidR="0039105E">
        <w:rPr>
          <w:rFonts w:cs="Helvetica"/>
          <w:color w:val="595959"/>
          <w:szCs w:val="20"/>
        </w:rPr>
        <w:t>T</w:t>
      </w:r>
      <w:r w:rsidR="009D0E36" w:rsidRPr="009F4266">
        <w:rPr>
          <w:rFonts w:cs="Helvetica"/>
          <w:color w:val="595959"/>
          <w:szCs w:val="20"/>
        </w:rPr>
        <w:t xml:space="preserve">o ensure that such differences are taken into consideration, </w:t>
      </w:r>
      <w:r w:rsidR="00D568FA" w:rsidRPr="009F4266">
        <w:rPr>
          <w:rFonts w:cs="Helvetica"/>
          <w:color w:val="595959"/>
          <w:szCs w:val="20"/>
        </w:rPr>
        <w:t>data</w:t>
      </w:r>
      <w:r w:rsidR="004D7928" w:rsidRPr="009F4266">
        <w:rPr>
          <w:rFonts w:cs="Helvetica"/>
          <w:color w:val="595959"/>
          <w:szCs w:val="20"/>
        </w:rPr>
        <w:t xml:space="preserve"> </w:t>
      </w:r>
      <w:r w:rsidR="00C148D3" w:rsidRPr="009F4266">
        <w:rPr>
          <w:rFonts w:cs="Helvetica"/>
          <w:color w:val="595959"/>
          <w:szCs w:val="20"/>
        </w:rPr>
        <w:t xml:space="preserve">on power sources </w:t>
      </w:r>
      <w:r w:rsidR="004D7928" w:rsidRPr="009F4266">
        <w:rPr>
          <w:rFonts w:cs="Helvetica"/>
          <w:color w:val="595959"/>
          <w:szCs w:val="20"/>
        </w:rPr>
        <w:t>collected</w:t>
      </w:r>
      <w:r w:rsidR="009D0E36" w:rsidRPr="009F4266">
        <w:rPr>
          <w:rFonts w:cs="Helvetica"/>
          <w:color w:val="595959"/>
          <w:szCs w:val="20"/>
        </w:rPr>
        <w:t xml:space="preserve"> direct</w:t>
      </w:r>
      <w:r w:rsidR="00C148D3">
        <w:rPr>
          <w:rFonts w:cs="Helvetica"/>
          <w:color w:val="595959"/>
          <w:szCs w:val="20"/>
        </w:rPr>
        <w:t>ly</w:t>
      </w:r>
      <w:r w:rsidR="009D0E36" w:rsidRPr="009F4266">
        <w:rPr>
          <w:rFonts w:cs="Helvetica"/>
          <w:color w:val="595959"/>
          <w:szCs w:val="20"/>
        </w:rPr>
        <w:t xml:space="preserve"> from aluminium smelters </w:t>
      </w:r>
      <w:r w:rsidR="00D568FA" w:rsidRPr="009F4266">
        <w:rPr>
          <w:rFonts w:cs="Helvetica"/>
          <w:color w:val="595959"/>
          <w:szCs w:val="20"/>
        </w:rPr>
        <w:t>ha</w:t>
      </w:r>
      <w:r w:rsidR="0039105E">
        <w:rPr>
          <w:rFonts w:cs="Helvetica"/>
          <w:color w:val="595959"/>
          <w:szCs w:val="20"/>
        </w:rPr>
        <w:t>ve</w:t>
      </w:r>
      <w:r w:rsidR="00D568FA" w:rsidRPr="009F4266">
        <w:rPr>
          <w:rFonts w:cs="Helvetica"/>
          <w:color w:val="595959"/>
          <w:szCs w:val="20"/>
        </w:rPr>
        <w:t xml:space="preserve"> been</w:t>
      </w:r>
      <w:r w:rsidR="009D0E36" w:rsidRPr="009F4266">
        <w:rPr>
          <w:rFonts w:cs="Helvetica"/>
          <w:color w:val="595959"/>
          <w:szCs w:val="20"/>
        </w:rPr>
        <w:t xml:space="preserve"> considered</w:t>
      </w:r>
      <w:r w:rsidR="00D568FA" w:rsidRPr="009F4266">
        <w:rPr>
          <w:rFonts w:cs="Helvetica"/>
          <w:color w:val="595959"/>
          <w:szCs w:val="20"/>
        </w:rPr>
        <w:t xml:space="preserve"> for this study</w:t>
      </w:r>
      <w:r w:rsidR="00E91489">
        <w:rPr>
          <w:rFonts w:cs="Helvetica"/>
          <w:color w:val="595959"/>
          <w:szCs w:val="20"/>
        </w:rPr>
        <w:t xml:space="preserve">. </w:t>
      </w:r>
      <w:r w:rsidR="00186F7F">
        <w:rPr>
          <w:rFonts w:cs="Helvetica"/>
          <w:color w:val="595959"/>
          <w:szCs w:val="20"/>
        </w:rPr>
        <w:t xml:space="preserve"> </w:t>
      </w:r>
      <w:r w:rsidR="00504929">
        <w:rPr>
          <w:rFonts w:cs="Helvetica"/>
          <w:color w:val="595959"/>
          <w:szCs w:val="20"/>
        </w:rPr>
        <w:t>These</w:t>
      </w:r>
      <w:r w:rsidR="00C148D3">
        <w:rPr>
          <w:rFonts w:cs="Helvetica"/>
          <w:color w:val="595959"/>
          <w:szCs w:val="20"/>
        </w:rPr>
        <w:t xml:space="preserve"> data </w:t>
      </w:r>
      <w:r w:rsidR="00504929">
        <w:rPr>
          <w:rFonts w:cs="Helvetica"/>
          <w:color w:val="595959"/>
          <w:szCs w:val="20"/>
        </w:rPr>
        <w:t>are</w:t>
      </w:r>
      <w:r w:rsidR="00C148D3">
        <w:rPr>
          <w:rFonts w:cs="Helvetica"/>
          <w:color w:val="595959"/>
          <w:szCs w:val="20"/>
        </w:rPr>
        <w:t xml:space="preserve"> published annually by the IAI at </w:t>
      </w:r>
      <w:r w:rsidR="001B37A1" w:rsidRPr="00AD3CAD">
        <w:rPr>
          <w:rFonts w:cs="Helvetica"/>
          <w:color w:val="0070C0"/>
          <w:szCs w:val="20"/>
        </w:rPr>
        <w:t>https://international-aluminium.org/statistics/primary-aluminium-smelting-power-consumption/</w:t>
      </w:r>
      <w:r w:rsidR="009831A3" w:rsidRPr="00AD3CAD">
        <w:rPr>
          <w:rFonts w:cs="Helvetica"/>
          <w:color w:val="0070C0"/>
          <w:szCs w:val="20"/>
        </w:rPr>
        <w:t xml:space="preserve">.  </w:t>
      </w:r>
    </w:p>
    <w:p w14:paraId="0124DFB6" w14:textId="77777777" w:rsidR="00E91489" w:rsidRDefault="00E91489">
      <w:pPr>
        <w:tabs>
          <w:tab w:val="left" w:pos="-1440"/>
          <w:tab w:val="left" w:pos="-720"/>
        </w:tabs>
        <w:spacing w:after="0" w:line="312" w:lineRule="auto"/>
        <w:jc w:val="both"/>
        <w:rPr>
          <w:rFonts w:cs="Helvetica"/>
          <w:color w:val="595959"/>
          <w:szCs w:val="20"/>
        </w:rPr>
      </w:pPr>
    </w:p>
    <w:p w14:paraId="7EA70894" w14:textId="1A952742" w:rsidR="00CE4EDB" w:rsidRPr="009F4266" w:rsidRDefault="001754E9">
      <w:pPr>
        <w:tabs>
          <w:tab w:val="left" w:pos="-1440"/>
          <w:tab w:val="left" w:pos="-720"/>
        </w:tabs>
        <w:spacing w:after="0" w:line="312" w:lineRule="auto"/>
        <w:jc w:val="both"/>
        <w:rPr>
          <w:rFonts w:cs="Helvetica"/>
          <w:color w:val="595959"/>
          <w:szCs w:val="20"/>
        </w:rPr>
      </w:pPr>
      <w:r>
        <w:rPr>
          <w:rFonts w:cs="Helvetica"/>
          <w:color w:val="595959"/>
          <w:szCs w:val="20"/>
        </w:rPr>
        <w:t>Y</w:t>
      </w:r>
      <w:r w:rsidR="00CE4EDB" w:rsidRPr="009F4266">
        <w:rPr>
          <w:rFonts w:cs="Helvetica"/>
          <w:color w:val="595959"/>
          <w:szCs w:val="20"/>
        </w:rPr>
        <w:t xml:space="preserve">ear </w:t>
      </w:r>
      <w:r w:rsidR="001B37A1" w:rsidRPr="009F4266">
        <w:rPr>
          <w:rFonts w:cs="Helvetica"/>
          <w:color w:val="595959"/>
          <w:szCs w:val="20"/>
        </w:rPr>
        <w:t>201</w:t>
      </w:r>
      <w:r w:rsidR="001B37A1">
        <w:rPr>
          <w:rFonts w:cs="Helvetica"/>
          <w:color w:val="595959"/>
          <w:szCs w:val="20"/>
        </w:rPr>
        <w:t>9</w:t>
      </w:r>
      <w:r w:rsidR="001B37A1" w:rsidRPr="009F4266">
        <w:rPr>
          <w:rFonts w:cs="Helvetica"/>
          <w:color w:val="595959"/>
          <w:szCs w:val="20"/>
        </w:rPr>
        <w:t xml:space="preserve"> </w:t>
      </w:r>
      <w:r w:rsidR="00CE4EDB" w:rsidRPr="009F4266">
        <w:rPr>
          <w:rFonts w:cs="Helvetica"/>
          <w:color w:val="595959"/>
          <w:szCs w:val="20"/>
        </w:rPr>
        <w:t>data</w:t>
      </w:r>
      <w:r w:rsidR="00AD3CAD">
        <w:rPr>
          <w:rFonts w:cs="Helvetica"/>
          <w:color w:val="595959"/>
          <w:szCs w:val="20"/>
        </w:rPr>
        <w:t xml:space="preserve">, </w:t>
      </w:r>
      <w:r>
        <w:rPr>
          <w:rFonts w:cs="Helvetica"/>
          <w:color w:val="595959"/>
          <w:szCs w:val="20"/>
        </w:rPr>
        <w:t xml:space="preserve">regionalised according to this report, </w:t>
      </w:r>
      <w:r w:rsidR="00504929">
        <w:rPr>
          <w:rFonts w:cs="Helvetica"/>
          <w:color w:val="595959"/>
          <w:szCs w:val="20"/>
        </w:rPr>
        <w:t>are</w:t>
      </w:r>
      <w:r w:rsidR="00CE4EDB" w:rsidRPr="009F4266">
        <w:rPr>
          <w:rFonts w:cs="Helvetica"/>
          <w:color w:val="595959"/>
          <w:szCs w:val="20"/>
        </w:rPr>
        <w:t xml:space="preserve"> </w:t>
      </w:r>
      <w:r>
        <w:rPr>
          <w:rFonts w:cs="Helvetica"/>
          <w:color w:val="595959"/>
          <w:szCs w:val="20"/>
        </w:rPr>
        <w:t>replicated</w:t>
      </w:r>
      <w:r w:rsidRPr="009F4266">
        <w:rPr>
          <w:rFonts w:cs="Helvetica"/>
          <w:color w:val="595959"/>
          <w:szCs w:val="20"/>
        </w:rPr>
        <w:t xml:space="preserve"> </w:t>
      </w:r>
      <w:r w:rsidR="00CE4EDB" w:rsidRPr="009F4266">
        <w:rPr>
          <w:rFonts w:cs="Helvetica"/>
          <w:color w:val="595959"/>
          <w:szCs w:val="20"/>
        </w:rPr>
        <w:t xml:space="preserve">in Table </w:t>
      </w:r>
      <w:r w:rsidR="00360851">
        <w:rPr>
          <w:rFonts w:cs="Helvetica"/>
          <w:color w:val="595959"/>
          <w:szCs w:val="20"/>
        </w:rPr>
        <w:t>2</w:t>
      </w:r>
      <w:r w:rsidR="00CE4EDB" w:rsidRPr="009F4266">
        <w:rPr>
          <w:rFonts w:cs="Helvetica"/>
          <w:color w:val="595959"/>
          <w:szCs w:val="20"/>
        </w:rPr>
        <w:t>, with a historical perspective (</w:t>
      </w:r>
      <w:r w:rsidR="009D0E36" w:rsidRPr="009F4266">
        <w:rPr>
          <w:rFonts w:cs="Helvetica"/>
          <w:color w:val="595959"/>
          <w:szCs w:val="20"/>
        </w:rPr>
        <w:t>1980-</w:t>
      </w:r>
      <w:r w:rsidR="001B37A1" w:rsidRPr="009F4266">
        <w:rPr>
          <w:rFonts w:cs="Helvetica"/>
          <w:color w:val="595959"/>
          <w:szCs w:val="20"/>
        </w:rPr>
        <w:t>201</w:t>
      </w:r>
      <w:r w:rsidR="001B37A1">
        <w:rPr>
          <w:rFonts w:cs="Helvetica"/>
          <w:color w:val="595959"/>
          <w:szCs w:val="20"/>
        </w:rPr>
        <w:t>9</w:t>
      </w:r>
      <w:r w:rsidR="004913F4" w:rsidRPr="009F4266">
        <w:rPr>
          <w:rFonts w:cs="Helvetica"/>
          <w:color w:val="595959"/>
          <w:szCs w:val="20"/>
        </w:rPr>
        <w:t xml:space="preserve">) </w:t>
      </w:r>
      <w:r w:rsidR="00CE4EDB" w:rsidRPr="009F4266">
        <w:rPr>
          <w:rFonts w:cs="Helvetica"/>
          <w:color w:val="595959"/>
          <w:szCs w:val="20"/>
        </w:rPr>
        <w:t xml:space="preserve">on global power mix illustrated in Figure </w:t>
      </w:r>
      <w:r w:rsidR="00B63273">
        <w:rPr>
          <w:rFonts w:cs="Helvetica"/>
          <w:color w:val="595959"/>
          <w:szCs w:val="20"/>
        </w:rPr>
        <w:t>2</w:t>
      </w:r>
      <w:r w:rsidR="00CE4EDB" w:rsidRPr="009F4266">
        <w:rPr>
          <w:rFonts w:cs="Helvetica"/>
          <w:color w:val="595959"/>
          <w:szCs w:val="20"/>
        </w:rPr>
        <w:t>.</w:t>
      </w:r>
    </w:p>
    <w:p w14:paraId="69011033" w14:textId="77777777" w:rsidR="00CE4EDB" w:rsidRPr="009F4266" w:rsidRDefault="00CE4EDB">
      <w:pPr>
        <w:tabs>
          <w:tab w:val="left" w:pos="-1440"/>
          <w:tab w:val="left" w:pos="-720"/>
        </w:tabs>
        <w:spacing w:after="0" w:line="312" w:lineRule="auto"/>
        <w:jc w:val="both"/>
        <w:rPr>
          <w:rFonts w:cs="Helvetica"/>
          <w:color w:val="595959"/>
          <w:szCs w:val="20"/>
        </w:rPr>
      </w:pPr>
    </w:p>
    <w:tbl>
      <w:tblPr>
        <w:tblStyle w:val="PlainTable1"/>
        <w:tblW w:w="5001" w:type="pct"/>
        <w:tblLayout w:type="fixed"/>
        <w:tblLook w:val="04A0" w:firstRow="1" w:lastRow="0" w:firstColumn="1" w:lastColumn="0" w:noHBand="0" w:noVBand="1"/>
      </w:tblPr>
      <w:tblGrid>
        <w:gridCol w:w="1132"/>
        <w:gridCol w:w="773"/>
        <w:gridCol w:w="773"/>
        <w:gridCol w:w="773"/>
        <w:gridCol w:w="773"/>
        <w:gridCol w:w="773"/>
        <w:gridCol w:w="773"/>
        <w:gridCol w:w="773"/>
        <w:gridCol w:w="772"/>
        <w:gridCol w:w="772"/>
        <w:gridCol w:w="772"/>
        <w:gridCol w:w="772"/>
      </w:tblGrid>
      <w:tr w:rsidR="00065D51" w:rsidRPr="00717136" w14:paraId="6498A3C2" w14:textId="77777777" w:rsidTr="00AD3CAD">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587" w:type="pct"/>
            <w:noWrap/>
            <w:vAlign w:val="center"/>
            <w:hideMark/>
          </w:tcPr>
          <w:p w14:paraId="68D75243" w14:textId="77777777" w:rsidR="00065D51" w:rsidRPr="007061DC" w:rsidRDefault="00065D51" w:rsidP="00065D51">
            <w:pPr>
              <w:spacing w:after="0" w:line="312" w:lineRule="auto"/>
              <w:jc w:val="center"/>
              <w:rPr>
                <w:rFonts w:cs="Helvetica"/>
                <w:bCs w:val="0"/>
                <w:color w:val="595959"/>
                <w:sz w:val="14"/>
                <w:szCs w:val="16"/>
              </w:rPr>
            </w:pPr>
            <w:r w:rsidRPr="007061DC">
              <w:rPr>
                <w:rFonts w:cs="Helvetica"/>
                <w:color w:val="595959"/>
                <w:sz w:val="14"/>
                <w:szCs w:val="16"/>
              </w:rPr>
              <w:t>% power mix</w:t>
            </w:r>
          </w:p>
        </w:tc>
        <w:tc>
          <w:tcPr>
            <w:tcW w:w="401" w:type="pct"/>
            <w:noWrap/>
            <w:vAlign w:val="center"/>
            <w:hideMark/>
          </w:tcPr>
          <w:p w14:paraId="502BFCFE" w14:textId="53CAF142" w:rsidR="00065D51" w:rsidRPr="007061DC" w:rsidRDefault="00AD3CAD" w:rsidP="00065D51">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Cs w:val="0"/>
                <w:color w:val="595959"/>
                <w:sz w:val="14"/>
                <w:szCs w:val="16"/>
              </w:rPr>
            </w:pPr>
            <w:r>
              <w:rPr>
                <w:rFonts w:cs="Helvetica"/>
                <w:color w:val="595959"/>
                <w:sz w:val="14"/>
                <w:szCs w:val="16"/>
              </w:rPr>
              <w:t>AFR</w:t>
            </w:r>
          </w:p>
        </w:tc>
        <w:tc>
          <w:tcPr>
            <w:tcW w:w="401" w:type="pct"/>
            <w:vAlign w:val="center"/>
          </w:tcPr>
          <w:p w14:paraId="7C0EDAA0" w14:textId="6EB14A95" w:rsidR="00065D51" w:rsidRDefault="00AD3CAD" w:rsidP="00065D51">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 w:val="14"/>
                <w:szCs w:val="16"/>
              </w:rPr>
            </w:pPr>
            <w:r>
              <w:rPr>
                <w:rFonts w:cs="Helvetica"/>
                <w:color w:val="595959"/>
                <w:sz w:val="14"/>
                <w:szCs w:val="16"/>
              </w:rPr>
              <w:t>OAS</w:t>
            </w:r>
          </w:p>
        </w:tc>
        <w:tc>
          <w:tcPr>
            <w:tcW w:w="401" w:type="pct"/>
            <w:vAlign w:val="center"/>
          </w:tcPr>
          <w:p w14:paraId="7793179B" w14:textId="6F8614F2" w:rsidR="00065D51" w:rsidRDefault="00AD3CAD" w:rsidP="00065D51">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 w:val="14"/>
                <w:szCs w:val="16"/>
              </w:rPr>
            </w:pPr>
            <w:r>
              <w:rPr>
                <w:rFonts w:cs="Helvetica"/>
                <w:color w:val="595959"/>
                <w:sz w:val="14"/>
                <w:szCs w:val="16"/>
              </w:rPr>
              <w:t>CAN</w:t>
            </w:r>
          </w:p>
        </w:tc>
        <w:tc>
          <w:tcPr>
            <w:tcW w:w="401" w:type="pct"/>
            <w:vAlign w:val="center"/>
          </w:tcPr>
          <w:p w14:paraId="77ABDEF5" w14:textId="0A8F7D65" w:rsidR="00065D51" w:rsidRDefault="00AD3CAD" w:rsidP="00065D51">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 w:val="14"/>
                <w:szCs w:val="16"/>
              </w:rPr>
            </w:pPr>
            <w:r>
              <w:rPr>
                <w:rFonts w:cs="Helvetica"/>
                <w:color w:val="595959"/>
                <w:sz w:val="14"/>
                <w:szCs w:val="16"/>
              </w:rPr>
              <w:t>CNA</w:t>
            </w:r>
          </w:p>
        </w:tc>
        <w:tc>
          <w:tcPr>
            <w:tcW w:w="401" w:type="pct"/>
            <w:vAlign w:val="center"/>
          </w:tcPr>
          <w:p w14:paraId="56624061" w14:textId="51FA0BA7" w:rsidR="00065D51" w:rsidRDefault="00AD3CAD" w:rsidP="00065D51">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 w:val="14"/>
                <w:szCs w:val="16"/>
              </w:rPr>
            </w:pPr>
            <w:r>
              <w:rPr>
                <w:rFonts w:cs="Helvetica"/>
                <w:color w:val="595959"/>
                <w:sz w:val="14"/>
                <w:szCs w:val="16"/>
              </w:rPr>
              <w:t>EUR</w:t>
            </w:r>
          </w:p>
        </w:tc>
        <w:tc>
          <w:tcPr>
            <w:tcW w:w="401" w:type="pct"/>
            <w:vAlign w:val="center"/>
          </w:tcPr>
          <w:p w14:paraId="22581996" w14:textId="39FC3215" w:rsidR="00065D51" w:rsidRPr="00AD3CAD" w:rsidRDefault="00065D51" w:rsidP="00AD3CAD">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Cs w:val="0"/>
                <w:color w:val="595959"/>
                <w:sz w:val="14"/>
                <w:szCs w:val="16"/>
              </w:rPr>
            </w:pPr>
            <w:r w:rsidRPr="007061DC">
              <w:rPr>
                <w:rFonts w:cs="Helvetica"/>
                <w:color w:val="595959"/>
                <w:sz w:val="14"/>
                <w:szCs w:val="16"/>
              </w:rPr>
              <w:t>GCC</w:t>
            </w:r>
          </w:p>
        </w:tc>
        <w:tc>
          <w:tcPr>
            <w:tcW w:w="401" w:type="pct"/>
            <w:noWrap/>
            <w:vAlign w:val="center"/>
            <w:hideMark/>
          </w:tcPr>
          <w:p w14:paraId="58A6D17F" w14:textId="2AB3C74A" w:rsidR="00065D51" w:rsidRPr="007061DC" w:rsidRDefault="00AD3CAD" w:rsidP="00065D51">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Cs w:val="0"/>
                <w:color w:val="595959"/>
                <w:sz w:val="14"/>
                <w:szCs w:val="16"/>
              </w:rPr>
            </w:pPr>
            <w:r>
              <w:rPr>
                <w:rFonts w:cs="Helvetica"/>
                <w:color w:val="595959"/>
                <w:sz w:val="14"/>
                <w:szCs w:val="16"/>
              </w:rPr>
              <w:t>NAM</w:t>
            </w:r>
          </w:p>
        </w:tc>
        <w:tc>
          <w:tcPr>
            <w:tcW w:w="401" w:type="pct"/>
            <w:vAlign w:val="center"/>
          </w:tcPr>
          <w:p w14:paraId="6600A122" w14:textId="48980B83" w:rsidR="00065D51" w:rsidRPr="007061DC" w:rsidRDefault="00AD3CAD" w:rsidP="00065D51">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 w:val="14"/>
                <w:szCs w:val="16"/>
              </w:rPr>
            </w:pPr>
            <w:r>
              <w:rPr>
                <w:rFonts w:cs="Helvetica"/>
                <w:color w:val="595959"/>
                <w:sz w:val="14"/>
                <w:szCs w:val="16"/>
              </w:rPr>
              <w:t>OCA</w:t>
            </w:r>
          </w:p>
        </w:tc>
        <w:tc>
          <w:tcPr>
            <w:tcW w:w="401" w:type="pct"/>
            <w:vAlign w:val="center"/>
          </w:tcPr>
          <w:p w14:paraId="4A58B483" w14:textId="2C6FDA0A" w:rsidR="00065D51" w:rsidRPr="007061DC" w:rsidRDefault="00AD3CAD" w:rsidP="00065D51">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 w:val="14"/>
                <w:szCs w:val="16"/>
              </w:rPr>
            </w:pPr>
            <w:r>
              <w:rPr>
                <w:rFonts w:cs="Helvetica"/>
                <w:color w:val="595959"/>
                <w:sz w:val="14"/>
                <w:szCs w:val="16"/>
              </w:rPr>
              <w:t>ROE</w:t>
            </w:r>
          </w:p>
        </w:tc>
        <w:tc>
          <w:tcPr>
            <w:tcW w:w="401" w:type="pct"/>
            <w:noWrap/>
            <w:vAlign w:val="center"/>
            <w:hideMark/>
          </w:tcPr>
          <w:p w14:paraId="6F877E36" w14:textId="61D6146C" w:rsidR="00065D51" w:rsidRPr="007061DC" w:rsidRDefault="00AD3CAD" w:rsidP="00065D51">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Cs w:val="0"/>
                <w:color w:val="595959"/>
                <w:sz w:val="14"/>
                <w:szCs w:val="16"/>
              </w:rPr>
            </w:pPr>
            <w:r>
              <w:rPr>
                <w:rFonts w:cs="Helvetica"/>
                <w:color w:val="595959"/>
                <w:sz w:val="14"/>
                <w:szCs w:val="16"/>
              </w:rPr>
              <w:t>SAM</w:t>
            </w:r>
          </w:p>
        </w:tc>
        <w:tc>
          <w:tcPr>
            <w:tcW w:w="401" w:type="pct"/>
            <w:noWrap/>
            <w:vAlign w:val="center"/>
            <w:hideMark/>
          </w:tcPr>
          <w:p w14:paraId="2A71A376" w14:textId="6DC0F6D7" w:rsidR="00065D51" w:rsidRPr="007061DC" w:rsidRDefault="00AD3CAD" w:rsidP="00065D51">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Cs w:val="0"/>
                <w:color w:val="595959"/>
                <w:sz w:val="14"/>
                <w:szCs w:val="16"/>
              </w:rPr>
            </w:pPr>
            <w:r>
              <w:rPr>
                <w:rFonts w:cs="Helvetica"/>
                <w:color w:val="595959"/>
                <w:sz w:val="14"/>
                <w:szCs w:val="16"/>
              </w:rPr>
              <w:t>GLO</w:t>
            </w:r>
          </w:p>
        </w:tc>
      </w:tr>
      <w:tr w:rsidR="00C31A71" w:rsidRPr="009F4266" w14:paraId="3FA29A4C" w14:textId="77777777" w:rsidTr="00C31A7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87" w:type="pct"/>
            <w:noWrap/>
            <w:vAlign w:val="center"/>
            <w:hideMark/>
          </w:tcPr>
          <w:p w14:paraId="4ECF24AA" w14:textId="77777777" w:rsidR="00065D51" w:rsidRPr="00583F96" w:rsidRDefault="00065D51" w:rsidP="00065D51">
            <w:pPr>
              <w:widowControl w:val="0"/>
              <w:tabs>
                <w:tab w:val="left" w:pos="-1440"/>
                <w:tab w:val="left" w:pos="-720"/>
              </w:tabs>
              <w:spacing w:after="0" w:line="312" w:lineRule="auto"/>
              <w:jc w:val="center"/>
              <w:rPr>
                <w:rFonts w:cs="Helvetica"/>
                <w:color w:val="595959"/>
                <w:sz w:val="16"/>
                <w:szCs w:val="16"/>
              </w:rPr>
            </w:pPr>
            <w:r w:rsidRPr="00583F96">
              <w:rPr>
                <w:rFonts w:cs="Helvetica"/>
                <w:color w:val="595959"/>
                <w:sz w:val="16"/>
                <w:szCs w:val="16"/>
              </w:rPr>
              <w:t>Hydro</w:t>
            </w:r>
          </w:p>
        </w:tc>
        <w:tc>
          <w:tcPr>
            <w:tcW w:w="401" w:type="pct"/>
            <w:noWrap/>
            <w:vAlign w:val="center"/>
            <w:hideMark/>
          </w:tcPr>
          <w:p w14:paraId="7BBE69C4" w14:textId="73914D58" w:rsidR="00065D51" w:rsidRPr="00583F96" w:rsidRDefault="00C31A7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sidRPr="00583F96">
              <w:rPr>
                <w:rFonts w:cs="Helvetica"/>
                <w:color w:val="595959"/>
                <w:sz w:val="16"/>
                <w:szCs w:val="16"/>
              </w:rPr>
              <w:t>5</w:t>
            </w:r>
            <w:r>
              <w:rPr>
                <w:rFonts w:cs="Helvetica"/>
                <w:color w:val="595959"/>
                <w:sz w:val="16"/>
                <w:szCs w:val="16"/>
              </w:rPr>
              <w:t>1</w:t>
            </w:r>
          </w:p>
        </w:tc>
        <w:tc>
          <w:tcPr>
            <w:tcW w:w="401" w:type="pct"/>
            <w:vAlign w:val="center"/>
          </w:tcPr>
          <w:p w14:paraId="52EC8681" w14:textId="28512D98" w:rsidR="00065D51" w:rsidRPr="00D15523" w:rsidRDefault="00C31A7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3</w:t>
            </w:r>
          </w:p>
        </w:tc>
        <w:tc>
          <w:tcPr>
            <w:tcW w:w="401" w:type="pct"/>
            <w:vAlign w:val="center"/>
          </w:tcPr>
          <w:p w14:paraId="56F0D7E8" w14:textId="77777777" w:rsidR="00065D51" w:rsidRPr="00D15523"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sidRPr="00FE6088">
              <w:rPr>
                <w:rFonts w:cs="Helvetica"/>
                <w:color w:val="595959"/>
                <w:sz w:val="16"/>
                <w:szCs w:val="16"/>
              </w:rPr>
              <w:t>100</w:t>
            </w:r>
          </w:p>
        </w:tc>
        <w:tc>
          <w:tcPr>
            <w:tcW w:w="401" w:type="pct"/>
            <w:vAlign w:val="center"/>
          </w:tcPr>
          <w:p w14:paraId="7097BF56" w14:textId="77777777" w:rsidR="00065D51" w:rsidRPr="00D15523"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10</w:t>
            </w:r>
          </w:p>
        </w:tc>
        <w:tc>
          <w:tcPr>
            <w:tcW w:w="401" w:type="pct"/>
            <w:vAlign w:val="center"/>
          </w:tcPr>
          <w:p w14:paraId="08944134" w14:textId="4D4EE72D" w:rsidR="00065D51" w:rsidRPr="00D15523" w:rsidRDefault="00195274"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61</w:t>
            </w:r>
          </w:p>
        </w:tc>
        <w:tc>
          <w:tcPr>
            <w:tcW w:w="401" w:type="pct"/>
            <w:vAlign w:val="center"/>
          </w:tcPr>
          <w:p w14:paraId="3A961E37" w14:textId="77777777" w:rsidR="00065D51" w:rsidRPr="00D15523"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sidRPr="00583F96">
              <w:rPr>
                <w:rFonts w:cs="Helvetica"/>
                <w:color w:val="595959"/>
                <w:sz w:val="16"/>
                <w:szCs w:val="16"/>
              </w:rPr>
              <w:t>0</w:t>
            </w:r>
          </w:p>
        </w:tc>
        <w:tc>
          <w:tcPr>
            <w:tcW w:w="401" w:type="pct"/>
            <w:noWrap/>
            <w:vAlign w:val="center"/>
          </w:tcPr>
          <w:p w14:paraId="2C11F1E8" w14:textId="2654B935" w:rsidR="00065D51" w:rsidRPr="00583F96" w:rsidRDefault="00195274"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82</w:t>
            </w:r>
          </w:p>
        </w:tc>
        <w:tc>
          <w:tcPr>
            <w:tcW w:w="401" w:type="pct"/>
            <w:vAlign w:val="center"/>
          </w:tcPr>
          <w:p w14:paraId="477A2786" w14:textId="1B51E2CC" w:rsidR="00065D51" w:rsidRPr="00583F96" w:rsidRDefault="00195274"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30</w:t>
            </w:r>
          </w:p>
        </w:tc>
        <w:tc>
          <w:tcPr>
            <w:tcW w:w="401" w:type="pct"/>
            <w:vAlign w:val="center"/>
          </w:tcPr>
          <w:p w14:paraId="344B1C24" w14:textId="2F767CF5" w:rsidR="00065D51" w:rsidRPr="00583F96"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9</w:t>
            </w:r>
            <w:r w:rsidR="00195274">
              <w:rPr>
                <w:rFonts w:cs="Helvetica"/>
                <w:color w:val="595959"/>
                <w:sz w:val="16"/>
                <w:szCs w:val="16"/>
              </w:rPr>
              <w:t>4</w:t>
            </w:r>
          </w:p>
        </w:tc>
        <w:tc>
          <w:tcPr>
            <w:tcW w:w="401" w:type="pct"/>
            <w:noWrap/>
            <w:vAlign w:val="center"/>
            <w:hideMark/>
          </w:tcPr>
          <w:p w14:paraId="40837076" w14:textId="6FA49C77" w:rsidR="00065D51" w:rsidRPr="00583F96" w:rsidRDefault="00195274"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80</w:t>
            </w:r>
          </w:p>
        </w:tc>
        <w:tc>
          <w:tcPr>
            <w:tcW w:w="401" w:type="pct"/>
            <w:noWrap/>
            <w:vAlign w:val="center"/>
            <w:hideMark/>
          </w:tcPr>
          <w:p w14:paraId="0D7E417A" w14:textId="19137CCA" w:rsidR="00065D51" w:rsidRPr="00583F96" w:rsidRDefault="00195274"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26</w:t>
            </w:r>
          </w:p>
        </w:tc>
      </w:tr>
      <w:tr w:rsidR="00065D51" w:rsidRPr="009F4266" w14:paraId="45C7AB81" w14:textId="77777777" w:rsidTr="00FD4D41">
        <w:trPr>
          <w:trHeight w:val="405"/>
        </w:trPr>
        <w:tc>
          <w:tcPr>
            <w:cnfStyle w:val="001000000000" w:firstRow="0" w:lastRow="0" w:firstColumn="1" w:lastColumn="0" w:oddVBand="0" w:evenVBand="0" w:oddHBand="0" w:evenHBand="0" w:firstRowFirstColumn="0" w:firstRowLastColumn="0" w:lastRowFirstColumn="0" w:lastRowLastColumn="0"/>
            <w:tcW w:w="587" w:type="pct"/>
            <w:noWrap/>
            <w:vAlign w:val="center"/>
            <w:hideMark/>
          </w:tcPr>
          <w:p w14:paraId="5C061931" w14:textId="77777777" w:rsidR="00065D51" w:rsidRPr="00583F96" w:rsidRDefault="00065D51" w:rsidP="00065D51">
            <w:pPr>
              <w:widowControl w:val="0"/>
              <w:tabs>
                <w:tab w:val="left" w:pos="-1440"/>
                <w:tab w:val="left" w:pos="-720"/>
              </w:tabs>
              <w:spacing w:after="0" w:line="312" w:lineRule="auto"/>
              <w:jc w:val="center"/>
              <w:rPr>
                <w:rFonts w:cs="Helvetica"/>
                <w:color w:val="595959"/>
                <w:sz w:val="16"/>
                <w:szCs w:val="16"/>
              </w:rPr>
            </w:pPr>
            <w:r w:rsidRPr="00583F96">
              <w:rPr>
                <w:rFonts w:cs="Helvetica"/>
                <w:color w:val="595959"/>
                <w:sz w:val="16"/>
                <w:szCs w:val="16"/>
              </w:rPr>
              <w:t>Coal</w:t>
            </w:r>
          </w:p>
        </w:tc>
        <w:tc>
          <w:tcPr>
            <w:tcW w:w="401" w:type="pct"/>
            <w:noWrap/>
            <w:vAlign w:val="center"/>
            <w:hideMark/>
          </w:tcPr>
          <w:p w14:paraId="710166DB" w14:textId="1BA71917" w:rsidR="00065D51" w:rsidRPr="00583F96" w:rsidRDefault="00C31A7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sidRPr="00583F96">
              <w:rPr>
                <w:rFonts w:cs="Helvetica"/>
                <w:color w:val="595959"/>
                <w:sz w:val="16"/>
                <w:szCs w:val="16"/>
              </w:rPr>
              <w:t>4</w:t>
            </w:r>
            <w:r>
              <w:rPr>
                <w:rFonts w:cs="Helvetica"/>
                <w:color w:val="595959"/>
                <w:sz w:val="16"/>
                <w:szCs w:val="16"/>
              </w:rPr>
              <w:t>9</w:t>
            </w:r>
          </w:p>
        </w:tc>
        <w:tc>
          <w:tcPr>
            <w:tcW w:w="401" w:type="pct"/>
            <w:vAlign w:val="center"/>
          </w:tcPr>
          <w:p w14:paraId="5DD3DBA3" w14:textId="747A5AAC" w:rsidR="00065D51" w:rsidRPr="00D15523" w:rsidRDefault="00C31A7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97</w:t>
            </w:r>
          </w:p>
        </w:tc>
        <w:tc>
          <w:tcPr>
            <w:tcW w:w="401" w:type="pct"/>
            <w:vAlign w:val="center"/>
          </w:tcPr>
          <w:p w14:paraId="239DF4A0" w14:textId="77777777" w:rsidR="00065D51" w:rsidRPr="00D15523"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sidRPr="00FE6088">
              <w:rPr>
                <w:rFonts w:cs="Helvetica"/>
                <w:color w:val="595959"/>
                <w:sz w:val="16"/>
                <w:szCs w:val="16"/>
              </w:rPr>
              <w:t>0</w:t>
            </w:r>
          </w:p>
        </w:tc>
        <w:tc>
          <w:tcPr>
            <w:tcW w:w="401" w:type="pct"/>
            <w:vAlign w:val="center"/>
          </w:tcPr>
          <w:p w14:paraId="7DBE73FD" w14:textId="14F57817" w:rsidR="00065D51" w:rsidRPr="00D15523" w:rsidRDefault="00C31A7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80</w:t>
            </w:r>
          </w:p>
        </w:tc>
        <w:tc>
          <w:tcPr>
            <w:tcW w:w="401" w:type="pct"/>
            <w:vAlign w:val="center"/>
          </w:tcPr>
          <w:p w14:paraId="0E74B743" w14:textId="77777777" w:rsidR="00065D51" w:rsidRPr="00D15523"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10</w:t>
            </w:r>
          </w:p>
        </w:tc>
        <w:tc>
          <w:tcPr>
            <w:tcW w:w="401" w:type="pct"/>
            <w:vAlign w:val="center"/>
          </w:tcPr>
          <w:p w14:paraId="2EA72CAE" w14:textId="77777777" w:rsidR="00065D51" w:rsidRPr="00D15523"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sidRPr="00583F96">
              <w:rPr>
                <w:rFonts w:cs="Helvetica"/>
                <w:color w:val="595959"/>
                <w:sz w:val="16"/>
                <w:szCs w:val="16"/>
              </w:rPr>
              <w:t>0</w:t>
            </w:r>
          </w:p>
        </w:tc>
        <w:tc>
          <w:tcPr>
            <w:tcW w:w="401" w:type="pct"/>
            <w:noWrap/>
            <w:vAlign w:val="center"/>
          </w:tcPr>
          <w:p w14:paraId="5E69D08C" w14:textId="280CCAB8" w:rsidR="00065D51" w:rsidRPr="00583F96" w:rsidRDefault="00195274"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14</w:t>
            </w:r>
          </w:p>
        </w:tc>
        <w:tc>
          <w:tcPr>
            <w:tcW w:w="401" w:type="pct"/>
            <w:vAlign w:val="center"/>
          </w:tcPr>
          <w:p w14:paraId="1C7273B0" w14:textId="0DC9CFCF" w:rsidR="00065D51" w:rsidRDefault="00195274"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67</w:t>
            </w:r>
          </w:p>
        </w:tc>
        <w:tc>
          <w:tcPr>
            <w:tcW w:w="401" w:type="pct"/>
            <w:vAlign w:val="center"/>
          </w:tcPr>
          <w:p w14:paraId="6DCCDED5" w14:textId="77777777" w:rsidR="00065D51"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2</w:t>
            </w:r>
          </w:p>
        </w:tc>
        <w:tc>
          <w:tcPr>
            <w:tcW w:w="401" w:type="pct"/>
            <w:noWrap/>
            <w:vAlign w:val="center"/>
            <w:hideMark/>
          </w:tcPr>
          <w:p w14:paraId="678D7E8C" w14:textId="77777777" w:rsidR="00065D51" w:rsidRPr="00583F96"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0</w:t>
            </w:r>
          </w:p>
        </w:tc>
        <w:tc>
          <w:tcPr>
            <w:tcW w:w="401" w:type="pct"/>
            <w:noWrap/>
            <w:vAlign w:val="center"/>
            <w:hideMark/>
          </w:tcPr>
          <w:p w14:paraId="3A3CB3BA" w14:textId="1235FF4F" w:rsidR="00065D51" w:rsidRPr="00583F96" w:rsidRDefault="00195274"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sidRPr="00583F96">
              <w:rPr>
                <w:rFonts w:cs="Helvetica"/>
                <w:color w:val="595959"/>
                <w:sz w:val="16"/>
                <w:szCs w:val="16"/>
              </w:rPr>
              <w:t>5</w:t>
            </w:r>
            <w:r>
              <w:rPr>
                <w:rFonts w:cs="Helvetica"/>
                <w:color w:val="595959"/>
                <w:sz w:val="16"/>
                <w:szCs w:val="16"/>
              </w:rPr>
              <w:t>5</w:t>
            </w:r>
          </w:p>
        </w:tc>
      </w:tr>
      <w:tr w:rsidR="00C31A71" w:rsidRPr="009F4266" w14:paraId="3B939B49" w14:textId="77777777" w:rsidTr="00C31A7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87" w:type="pct"/>
            <w:noWrap/>
            <w:vAlign w:val="center"/>
            <w:hideMark/>
          </w:tcPr>
          <w:p w14:paraId="180B51E7" w14:textId="77777777" w:rsidR="00065D51" w:rsidRPr="00583F96" w:rsidRDefault="00065D51" w:rsidP="00065D51">
            <w:pPr>
              <w:widowControl w:val="0"/>
              <w:tabs>
                <w:tab w:val="left" w:pos="-1440"/>
                <w:tab w:val="left" w:pos="-720"/>
              </w:tabs>
              <w:spacing w:after="0" w:line="312" w:lineRule="auto"/>
              <w:jc w:val="center"/>
              <w:rPr>
                <w:rFonts w:cs="Helvetica"/>
                <w:color w:val="595959"/>
                <w:sz w:val="16"/>
                <w:szCs w:val="16"/>
              </w:rPr>
            </w:pPr>
            <w:r w:rsidRPr="00583F96">
              <w:rPr>
                <w:rFonts w:cs="Helvetica"/>
                <w:color w:val="595959"/>
                <w:sz w:val="16"/>
                <w:szCs w:val="16"/>
              </w:rPr>
              <w:t>Oil</w:t>
            </w:r>
          </w:p>
        </w:tc>
        <w:tc>
          <w:tcPr>
            <w:tcW w:w="401" w:type="pct"/>
            <w:noWrap/>
            <w:vAlign w:val="center"/>
            <w:hideMark/>
          </w:tcPr>
          <w:p w14:paraId="0551BCD3" w14:textId="77777777" w:rsidR="00065D51" w:rsidRPr="00583F96"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0</w:t>
            </w:r>
          </w:p>
        </w:tc>
        <w:tc>
          <w:tcPr>
            <w:tcW w:w="401" w:type="pct"/>
            <w:vAlign w:val="center"/>
          </w:tcPr>
          <w:p w14:paraId="2BC59D15" w14:textId="77777777" w:rsidR="00065D51" w:rsidRPr="00D15523"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0</w:t>
            </w:r>
          </w:p>
        </w:tc>
        <w:tc>
          <w:tcPr>
            <w:tcW w:w="401" w:type="pct"/>
            <w:vAlign w:val="center"/>
          </w:tcPr>
          <w:p w14:paraId="5727EB78" w14:textId="77777777" w:rsidR="00065D51" w:rsidRPr="00D15523"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sidRPr="00FE6088">
              <w:rPr>
                <w:rFonts w:cs="Helvetica"/>
                <w:color w:val="595959"/>
                <w:sz w:val="16"/>
                <w:szCs w:val="16"/>
              </w:rPr>
              <w:t>0</w:t>
            </w:r>
          </w:p>
        </w:tc>
        <w:tc>
          <w:tcPr>
            <w:tcW w:w="401" w:type="pct"/>
            <w:vAlign w:val="center"/>
          </w:tcPr>
          <w:p w14:paraId="31814751" w14:textId="77777777" w:rsidR="00065D51" w:rsidRPr="00D15523"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0</w:t>
            </w:r>
          </w:p>
        </w:tc>
        <w:tc>
          <w:tcPr>
            <w:tcW w:w="401" w:type="pct"/>
            <w:vAlign w:val="center"/>
          </w:tcPr>
          <w:p w14:paraId="4799B768" w14:textId="77777777" w:rsidR="00065D51" w:rsidRPr="00D15523"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1</w:t>
            </w:r>
          </w:p>
        </w:tc>
        <w:tc>
          <w:tcPr>
            <w:tcW w:w="401" w:type="pct"/>
            <w:vAlign w:val="center"/>
          </w:tcPr>
          <w:p w14:paraId="6F1DE779" w14:textId="77777777" w:rsidR="00065D51" w:rsidRPr="00D15523"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0</w:t>
            </w:r>
          </w:p>
        </w:tc>
        <w:tc>
          <w:tcPr>
            <w:tcW w:w="401" w:type="pct"/>
            <w:noWrap/>
            <w:vAlign w:val="center"/>
          </w:tcPr>
          <w:p w14:paraId="6945ECDD" w14:textId="77777777" w:rsidR="00065D51" w:rsidRPr="00583F96"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sidRPr="00D15523">
              <w:rPr>
                <w:rFonts w:cs="Helvetica"/>
                <w:color w:val="595959"/>
                <w:sz w:val="16"/>
                <w:szCs w:val="16"/>
              </w:rPr>
              <w:t>0</w:t>
            </w:r>
          </w:p>
        </w:tc>
        <w:tc>
          <w:tcPr>
            <w:tcW w:w="401" w:type="pct"/>
            <w:vAlign w:val="center"/>
          </w:tcPr>
          <w:p w14:paraId="3A9CC74E" w14:textId="77777777" w:rsidR="00065D51"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0</w:t>
            </w:r>
          </w:p>
        </w:tc>
        <w:tc>
          <w:tcPr>
            <w:tcW w:w="401" w:type="pct"/>
            <w:vAlign w:val="center"/>
          </w:tcPr>
          <w:p w14:paraId="2B96E031" w14:textId="77777777" w:rsidR="00065D51"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0</w:t>
            </w:r>
          </w:p>
        </w:tc>
        <w:tc>
          <w:tcPr>
            <w:tcW w:w="401" w:type="pct"/>
            <w:noWrap/>
            <w:vAlign w:val="center"/>
            <w:hideMark/>
          </w:tcPr>
          <w:p w14:paraId="56237E02" w14:textId="77777777" w:rsidR="00065D51" w:rsidRPr="00583F96"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0</w:t>
            </w:r>
          </w:p>
        </w:tc>
        <w:tc>
          <w:tcPr>
            <w:tcW w:w="401" w:type="pct"/>
            <w:noWrap/>
            <w:vAlign w:val="center"/>
            <w:hideMark/>
          </w:tcPr>
          <w:p w14:paraId="2AA5F423" w14:textId="77777777" w:rsidR="00065D51" w:rsidRPr="00583F96"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0</w:t>
            </w:r>
          </w:p>
        </w:tc>
      </w:tr>
      <w:tr w:rsidR="00065D51" w:rsidRPr="009F4266" w14:paraId="26AEFB43" w14:textId="77777777" w:rsidTr="00FD4D41">
        <w:trPr>
          <w:trHeight w:val="405"/>
        </w:trPr>
        <w:tc>
          <w:tcPr>
            <w:cnfStyle w:val="001000000000" w:firstRow="0" w:lastRow="0" w:firstColumn="1" w:lastColumn="0" w:oddVBand="0" w:evenVBand="0" w:oddHBand="0" w:evenHBand="0" w:firstRowFirstColumn="0" w:firstRowLastColumn="0" w:lastRowFirstColumn="0" w:lastRowLastColumn="0"/>
            <w:tcW w:w="587" w:type="pct"/>
            <w:noWrap/>
            <w:vAlign w:val="center"/>
            <w:hideMark/>
          </w:tcPr>
          <w:p w14:paraId="28B91EAE" w14:textId="77777777" w:rsidR="00065D51" w:rsidRPr="00583F96" w:rsidRDefault="00065D51" w:rsidP="00065D51">
            <w:pPr>
              <w:widowControl w:val="0"/>
              <w:tabs>
                <w:tab w:val="left" w:pos="-1440"/>
                <w:tab w:val="left" w:pos="-720"/>
              </w:tabs>
              <w:spacing w:after="0" w:line="312" w:lineRule="auto"/>
              <w:jc w:val="center"/>
              <w:rPr>
                <w:rFonts w:cs="Helvetica"/>
                <w:color w:val="595959"/>
                <w:sz w:val="16"/>
                <w:szCs w:val="16"/>
              </w:rPr>
            </w:pPr>
            <w:r w:rsidRPr="00583F96">
              <w:rPr>
                <w:rFonts w:cs="Helvetica"/>
                <w:color w:val="595959"/>
                <w:sz w:val="16"/>
                <w:szCs w:val="16"/>
              </w:rPr>
              <w:t>Natural Gas</w:t>
            </w:r>
          </w:p>
        </w:tc>
        <w:tc>
          <w:tcPr>
            <w:tcW w:w="401" w:type="pct"/>
            <w:noWrap/>
            <w:vAlign w:val="center"/>
            <w:hideMark/>
          </w:tcPr>
          <w:p w14:paraId="60DAC6E9" w14:textId="77777777" w:rsidR="00065D51" w:rsidRPr="00583F96"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0</w:t>
            </w:r>
          </w:p>
        </w:tc>
        <w:tc>
          <w:tcPr>
            <w:tcW w:w="401" w:type="pct"/>
            <w:vAlign w:val="center"/>
          </w:tcPr>
          <w:p w14:paraId="440DC058" w14:textId="77777777" w:rsidR="00065D51" w:rsidRPr="00D15523"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0</w:t>
            </w:r>
          </w:p>
        </w:tc>
        <w:tc>
          <w:tcPr>
            <w:tcW w:w="401" w:type="pct"/>
            <w:vAlign w:val="center"/>
          </w:tcPr>
          <w:p w14:paraId="5E98D8CB" w14:textId="77777777" w:rsidR="00065D51" w:rsidRPr="00D15523"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sidRPr="00FE6088">
              <w:rPr>
                <w:rFonts w:cs="Helvetica"/>
                <w:color w:val="595959"/>
                <w:sz w:val="16"/>
                <w:szCs w:val="16"/>
              </w:rPr>
              <w:t>0</w:t>
            </w:r>
          </w:p>
        </w:tc>
        <w:tc>
          <w:tcPr>
            <w:tcW w:w="401" w:type="pct"/>
            <w:vAlign w:val="center"/>
          </w:tcPr>
          <w:p w14:paraId="28C1C202" w14:textId="77777777" w:rsidR="00065D51" w:rsidRPr="00D15523"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sidRPr="00583F96">
              <w:rPr>
                <w:rFonts w:cs="Helvetica"/>
                <w:color w:val="595959"/>
                <w:sz w:val="16"/>
                <w:szCs w:val="16"/>
              </w:rPr>
              <w:t>0</w:t>
            </w:r>
          </w:p>
        </w:tc>
        <w:tc>
          <w:tcPr>
            <w:tcW w:w="401" w:type="pct"/>
            <w:vAlign w:val="center"/>
          </w:tcPr>
          <w:p w14:paraId="2C3C8D89" w14:textId="3C903BA3" w:rsidR="00065D51" w:rsidRPr="00D15523" w:rsidRDefault="00195274"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4</w:t>
            </w:r>
          </w:p>
        </w:tc>
        <w:tc>
          <w:tcPr>
            <w:tcW w:w="401" w:type="pct"/>
            <w:vAlign w:val="center"/>
          </w:tcPr>
          <w:p w14:paraId="2A0E8D33" w14:textId="77777777" w:rsidR="00065D51" w:rsidRPr="00D15523"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100</w:t>
            </w:r>
          </w:p>
        </w:tc>
        <w:tc>
          <w:tcPr>
            <w:tcW w:w="401" w:type="pct"/>
            <w:noWrap/>
            <w:vAlign w:val="center"/>
          </w:tcPr>
          <w:p w14:paraId="0B4B9B7F" w14:textId="044CB010" w:rsidR="00065D51" w:rsidRPr="00583F96" w:rsidRDefault="00195274"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1</w:t>
            </w:r>
          </w:p>
        </w:tc>
        <w:tc>
          <w:tcPr>
            <w:tcW w:w="401" w:type="pct"/>
            <w:vAlign w:val="center"/>
          </w:tcPr>
          <w:p w14:paraId="6E9912ED" w14:textId="0D0B131B" w:rsidR="00065D51" w:rsidRPr="00583F96" w:rsidRDefault="00195274"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1</w:t>
            </w:r>
          </w:p>
        </w:tc>
        <w:tc>
          <w:tcPr>
            <w:tcW w:w="401" w:type="pct"/>
            <w:vAlign w:val="center"/>
          </w:tcPr>
          <w:p w14:paraId="01780C5B" w14:textId="77777777" w:rsidR="00065D51" w:rsidRPr="00583F96"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0</w:t>
            </w:r>
          </w:p>
        </w:tc>
        <w:tc>
          <w:tcPr>
            <w:tcW w:w="401" w:type="pct"/>
            <w:noWrap/>
            <w:vAlign w:val="center"/>
            <w:hideMark/>
          </w:tcPr>
          <w:p w14:paraId="757EB514" w14:textId="7CE8BC9C" w:rsidR="00065D51" w:rsidRPr="00583F96"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sidRPr="00583F96">
              <w:rPr>
                <w:rFonts w:cs="Helvetica"/>
                <w:color w:val="595959"/>
                <w:sz w:val="16"/>
                <w:szCs w:val="16"/>
              </w:rPr>
              <w:t>2</w:t>
            </w:r>
            <w:r w:rsidR="00195274">
              <w:rPr>
                <w:rFonts w:cs="Helvetica"/>
                <w:color w:val="595959"/>
                <w:sz w:val="16"/>
                <w:szCs w:val="16"/>
              </w:rPr>
              <w:t>0</w:t>
            </w:r>
          </w:p>
        </w:tc>
        <w:tc>
          <w:tcPr>
            <w:tcW w:w="401" w:type="pct"/>
            <w:noWrap/>
            <w:vAlign w:val="center"/>
            <w:hideMark/>
          </w:tcPr>
          <w:p w14:paraId="18F5BF0C" w14:textId="0798A9A8" w:rsidR="00065D51" w:rsidRPr="00583F96" w:rsidRDefault="00195274"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11</w:t>
            </w:r>
          </w:p>
        </w:tc>
      </w:tr>
      <w:tr w:rsidR="00C31A71" w:rsidRPr="009F4266" w14:paraId="04AC610B" w14:textId="77777777" w:rsidTr="00C31A7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87" w:type="pct"/>
            <w:noWrap/>
            <w:vAlign w:val="center"/>
            <w:hideMark/>
          </w:tcPr>
          <w:p w14:paraId="21EA1342" w14:textId="77777777" w:rsidR="00065D51" w:rsidRPr="00583F96" w:rsidRDefault="00065D51" w:rsidP="00065D51">
            <w:pPr>
              <w:widowControl w:val="0"/>
              <w:tabs>
                <w:tab w:val="left" w:pos="-1440"/>
                <w:tab w:val="left" w:pos="-720"/>
              </w:tabs>
              <w:spacing w:after="0" w:line="312" w:lineRule="auto"/>
              <w:jc w:val="center"/>
              <w:rPr>
                <w:rFonts w:cs="Helvetica"/>
                <w:color w:val="595959"/>
                <w:sz w:val="16"/>
                <w:szCs w:val="16"/>
              </w:rPr>
            </w:pPr>
            <w:r w:rsidRPr="00583F96">
              <w:rPr>
                <w:rFonts w:cs="Helvetica"/>
                <w:color w:val="595959"/>
                <w:sz w:val="16"/>
                <w:szCs w:val="16"/>
              </w:rPr>
              <w:t>Nuclear</w:t>
            </w:r>
          </w:p>
        </w:tc>
        <w:tc>
          <w:tcPr>
            <w:tcW w:w="401" w:type="pct"/>
            <w:noWrap/>
            <w:vAlign w:val="center"/>
            <w:hideMark/>
          </w:tcPr>
          <w:p w14:paraId="2BF17D41" w14:textId="77777777" w:rsidR="00065D51" w:rsidRPr="00583F96"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0</w:t>
            </w:r>
          </w:p>
        </w:tc>
        <w:tc>
          <w:tcPr>
            <w:tcW w:w="401" w:type="pct"/>
            <w:vAlign w:val="center"/>
          </w:tcPr>
          <w:p w14:paraId="6A5EFBE1" w14:textId="77777777" w:rsidR="00065D51" w:rsidRPr="00D15523"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0</w:t>
            </w:r>
          </w:p>
        </w:tc>
        <w:tc>
          <w:tcPr>
            <w:tcW w:w="401" w:type="pct"/>
            <w:vAlign w:val="center"/>
          </w:tcPr>
          <w:p w14:paraId="58F1DBB3" w14:textId="77777777" w:rsidR="00065D51" w:rsidRPr="00D15523"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sidRPr="00FE6088">
              <w:rPr>
                <w:rFonts w:cs="Helvetica"/>
                <w:color w:val="595959"/>
                <w:sz w:val="16"/>
                <w:szCs w:val="16"/>
              </w:rPr>
              <w:t>0</w:t>
            </w:r>
          </w:p>
        </w:tc>
        <w:tc>
          <w:tcPr>
            <w:tcW w:w="401" w:type="pct"/>
            <w:vAlign w:val="center"/>
          </w:tcPr>
          <w:p w14:paraId="5186509F" w14:textId="77777777" w:rsidR="00065D51" w:rsidRPr="00D15523"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0</w:t>
            </w:r>
          </w:p>
        </w:tc>
        <w:tc>
          <w:tcPr>
            <w:tcW w:w="401" w:type="pct"/>
            <w:vAlign w:val="center"/>
          </w:tcPr>
          <w:p w14:paraId="28CFC180" w14:textId="06B1449D" w:rsidR="00065D51" w:rsidRPr="00D15523" w:rsidRDefault="00195274"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9</w:t>
            </w:r>
          </w:p>
        </w:tc>
        <w:tc>
          <w:tcPr>
            <w:tcW w:w="401" w:type="pct"/>
            <w:vAlign w:val="center"/>
          </w:tcPr>
          <w:p w14:paraId="453F07E4" w14:textId="77777777" w:rsidR="00065D51" w:rsidRPr="00D15523"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0</w:t>
            </w:r>
          </w:p>
        </w:tc>
        <w:tc>
          <w:tcPr>
            <w:tcW w:w="401" w:type="pct"/>
            <w:noWrap/>
            <w:vAlign w:val="center"/>
          </w:tcPr>
          <w:p w14:paraId="1E1E9F1B" w14:textId="77777777" w:rsidR="00065D51" w:rsidRPr="00583F96"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sidRPr="00D15523">
              <w:rPr>
                <w:rFonts w:cs="Helvetica"/>
                <w:color w:val="595959"/>
                <w:sz w:val="16"/>
                <w:szCs w:val="16"/>
              </w:rPr>
              <w:t>1</w:t>
            </w:r>
          </w:p>
        </w:tc>
        <w:tc>
          <w:tcPr>
            <w:tcW w:w="401" w:type="pct"/>
            <w:vAlign w:val="center"/>
          </w:tcPr>
          <w:p w14:paraId="17CA8A28" w14:textId="77777777" w:rsidR="00065D51"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0</w:t>
            </w:r>
          </w:p>
        </w:tc>
        <w:tc>
          <w:tcPr>
            <w:tcW w:w="401" w:type="pct"/>
            <w:vAlign w:val="center"/>
          </w:tcPr>
          <w:p w14:paraId="5022CE9D" w14:textId="59A1DF73" w:rsidR="00065D51" w:rsidRDefault="00195274"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4</w:t>
            </w:r>
          </w:p>
        </w:tc>
        <w:tc>
          <w:tcPr>
            <w:tcW w:w="401" w:type="pct"/>
            <w:noWrap/>
            <w:vAlign w:val="center"/>
            <w:hideMark/>
          </w:tcPr>
          <w:p w14:paraId="625D2BB5" w14:textId="77777777" w:rsidR="00065D51" w:rsidRPr="00583F96" w:rsidRDefault="00065D5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0</w:t>
            </w:r>
          </w:p>
        </w:tc>
        <w:tc>
          <w:tcPr>
            <w:tcW w:w="401" w:type="pct"/>
            <w:noWrap/>
            <w:vAlign w:val="center"/>
            <w:hideMark/>
          </w:tcPr>
          <w:p w14:paraId="2B62B451" w14:textId="32062342" w:rsidR="00065D51" w:rsidRPr="00583F96" w:rsidRDefault="00195274"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1</w:t>
            </w:r>
          </w:p>
        </w:tc>
      </w:tr>
      <w:tr w:rsidR="00C31A71" w:rsidRPr="009F4266" w14:paraId="411156D0" w14:textId="77777777" w:rsidTr="00C31A71">
        <w:trPr>
          <w:trHeight w:val="405"/>
        </w:trPr>
        <w:tc>
          <w:tcPr>
            <w:cnfStyle w:val="001000000000" w:firstRow="0" w:lastRow="0" w:firstColumn="1" w:lastColumn="0" w:oddVBand="0" w:evenVBand="0" w:oddHBand="0" w:evenHBand="0" w:firstRowFirstColumn="0" w:firstRowLastColumn="0" w:lastRowFirstColumn="0" w:lastRowLastColumn="0"/>
            <w:tcW w:w="587" w:type="pct"/>
            <w:noWrap/>
            <w:vAlign w:val="center"/>
          </w:tcPr>
          <w:p w14:paraId="5E44E256" w14:textId="7D68D15B" w:rsidR="00C31A71" w:rsidRPr="00583F96" w:rsidRDefault="00C31A71" w:rsidP="00065D51">
            <w:pPr>
              <w:widowControl w:val="0"/>
              <w:tabs>
                <w:tab w:val="left" w:pos="-1440"/>
                <w:tab w:val="left" w:pos="-720"/>
              </w:tabs>
              <w:spacing w:after="0" w:line="312" w:lineRule="auto"/>
              <w:jc w:val="center"/>
              <w:rPr>
                <w:rFonts w:cs="Helvetica"/>
                <w:color w:val="595959"/>
                <w:sz w:val="16"/>
                <w:szCs w:val="16"/>
              </w:rPr>
            </w:pPr>
            <w:r>
              <w:rPr>
                <w:rFonts w:cs="Helvetica"/>
                <w:color w:val="595959"/>
                <w:sz w:val="16"/>
                <w:szCs w:val="16"/>
              </w:rPr>
              <w:t>Other Renewable</w:t>
            </w:r>
          </w:p>
        </w:tc>
        <w:tc>
          <w:tcPr>
            <w:tcW w:w="401" w:type="pct"/>
            <w:noWrap/>
            <w:vAlign w:val="center"/>
          </w:tcPr>
          <w:p w14:paraId="13ABF355" w14:textId="77777777" w:rsidR="00C31A71" w:rsidRDefault="00C31A7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p>
        </w:tc>
        <w:tc>
          <w:tcPr>
            <w:tcW w:w="401" w:type="pct"/>
            <w:vAlign w:val="center"/>
          </w:tcPr>
          <w:p w14:paraId="46A2C18B" w14:textId="77777777" w:rsidR="00C31A71" w:rsidRDefault="00C31A7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p>
        </w:tc>
        <w:tc>
          <w:tcPr>
            <w:tcW w:w="401" w:type="pct"/>
            <w:vAlign w:val="center"/>
          </w:tcPr>
          <w:p w14:paraId="6CE7DE24" w14:textId="77777777" w:rsidR="00C31A71" w:rsidRPr="00FE6088" w:rsidRDefault="00C31A7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p>
        </w:tc>
        <w:tc>
          <w:tcPr>
            <w:tcW w:w="401" w:type="pct"/>
            <w:vAlign w:val="center"/>
          </w:tcPr>
          <w:p w14:paraId="1641F375" w14:textId="4F9F3B0C" w:rsidR="00C31A71" w:rsidRDefault="00C31A7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10</w:t>
            </w:r>
          </w:p>
        </w:tc>
        <w:tc>
          <w:tcPr>
            <w:tcW w:w="401" w:type="pct"/>
            <w:vAlign w:val="center"/>
          </w:tcPr>
          <w:p w14:paraId="7B258406" w14:textId="2E48201C" w:rsidR="00C31A71" w:rsidRDefault="00195274"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13</w:t>
            </w:r>
          </w:p>
        </w:tc>
        <w:tc>
          <w:tcPr>
            <w:tcW w:w="401" w:type="pct"/>
            <w:vAlign w:val="center"/>
          </w:tcPr>
          <w:p w14:paraId="6946E70B" w14:textId="77777777" w:rsidR="00C31A71" w:rsidRDefault="00C31A7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p>
        </w:tc>
        <w:tc>
          <w:tcPr>
            <w:tcW w:w="401" w:type="pct"/>
            <w:noWrap/>
            <w:vAlign w:val="center"/>
          </w:tcPr>
          <w:p w14:paraId="601A7D6A" w14:textId="38D13BBA" w:rsidR="00C31A71" w:rsidRPr="00D15523" w:rsidRDefault="00195274"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2</w:t>
            </w:r>
          </w:p>
        </w:tc>
        <w:tc>
          <w:tcPr>
            <w:tcW w:w="401" w:type="pct"/>
            <w:vAlign w:val="center"/>
          </w:tcPr>
          <w:p w14:paraId="734A4557" w14:textId="6958D3B3" w:rsidR="00C31A71" w:rsidRDefault="00195274"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3</w:t>
            </w:r>
          </w:p>
        </w:tc>
        <w:tc>
          <w:tcPr>
            <w:tcW w:w="401" w:type="pct"/>
            <w:vAlign w:val="center"/>
          </w:tcPr>
          <w:p w14:paraId="035301C9" w14:textId="77777777" w:rsidR="00C31A71" w:rsidRDefault="00C31A7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p>
        </w:tc>
        <w:tc>
          <w:tcPr>
            <w:tcW w:w="401" w:type="pct"/>
            <w:noWrap/>
            <w:vAlign w:val="center"/>
          </w:tcPr>
          <w:p w14:paraId="22783425" w14:textId="77777777" w:rsidR="00C31A71" w:rsidRDefault="00C31A7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p>
        </w:tc>
        <w:tc>
          <w:tcPr>
            <w:tcW w:w="401" w:type="pct"/>
            <w:noWrap/>
            <w:vAlign w:val="center"/>
          </w:tcPr>
          <w:p w14:paraId="787524CA" w14:textId="5AB5D3D5" w:rsidR="00C31A71" w:rsidRDefault="00195274"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7</w:t>
            </w:r>
          </w:p>
        </w:tc>
      </w:tr>
      <w:tr w:rsidR="00C31A71" w:rsidRPr="009F4266" w14:paraId="069400BE" w14:textId="77777777" w:rsidTr="00C31A7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87" w:type="pct"/>
            <w:noWrap/>
            <w:vAlign w:val="center"/>
          </w:tcPr>
          <w:p w14:paraId="2BD18412" w14:textId="18381413" w:rsidR="00C31A71" w:rsidRPr="00583F96" w:rsidRDefault="00C31A71" w:rsidP="00065D51">
            <w:pPr>
              <w:widowControl w:val="0"/>
              <w:tabs>
                <w:tab w:val="left" w:pos="-1440"/>
                <w:tab w:val="left" w:pos="-720"/>
              </w:tabs>
              <w:spacing w:after="0" w:line="312" w:lineRule="auto"/>
              <w:jc w:val="center"/>
              <w:rPr>
                <w:rFonts w:cs="Helvetica"/>
                <w:color w:val="595959"/>
                <w:sz w:val="16"/>
                <w:szCs w:val="16"/>
              </w:rPr>
            </w:pPr>
            <w:r>
              <w:rPr>
                <w:rFonts w:cs="Helvetica"/>
                <w:color w:val="595959"/>
                <w:sz w:val="16"/>
                <w:szCs w:val="16"/>
              </w:rPr>
              <w:t>Other non-renewable</w:t>
            </w:r>
          </w:p>
        </w:tc>
        <w:tc>
          <w:tcPr>
            <w:tcW w:w="401" w:type="pct"/>
            <w:noWrap/>
            <w:vAlign w:val="center"/>
          </w:tcPr>
          <w:p w14:paraId="1FC465C8" w14:textId="77777777" w:rsidR="00C31A71" w:rsidRDefault="00C31A7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p>
        </w:tc>
        <w:tc>
          <w:tcPr>
            <w:tcW w:w="401" w:type="pct"/>
            <w:vAlign w:val="center"/>
          </w:tcPr>
          <w:p w14:paraId="4C8168D2" w14:textId="77777777" w:rsidR="00C31A71" w:rsidRDefault="00C31A7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p>
        </w:tc>
        <w:tc>
          <w:tcPr>
            <w:tcW w:w="401" w:type="pct"/>
            <w:vAlign w:val="center"/>
          </w:tcPr>
          <w:p w14:paraId="1B9F1EDA" w14:textId="77777777" w:rsidR="00C31A71" w:rsidRPr="00FE6088" w:rsidRDefault="00C31A7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p>
        </w:tc>
        <w:tc>
          <w:tcPr>
            <w:tcW w:w="401" w:type="pct"/>
            <w:vAlign w:val="center"/>
          </w:tcPr>
          <w:p w14:paraId="426F4D83" w14:textId="77777777" w:rsidR="00C31A71" w:rsidRDefault="00C31A7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p>
        </w:tc>
        <w:tc>
          <w:tcPr>
            <w:tcW w:w="401" w:type="pct"/>
            <w:vAlign w:val="center"/>
          </w:tcPr>
          <w:p w14:paraId="42FD7CE5" w14:textId="5B091BE1" w:rsidR="00C31A71" w:rsidRDefault="00195274"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r>
              <w:rPr>
                <w:rFonts w:cs="Helvetica"/>
                <w:color w:val="595959"/>
                <w:sz w:val="16"/>
                <w:szCs w:val="16"/>
              </w:rPr>
              <w:t>2</w:t>
            </w:r>
          </w:p>
        </w:tc>
        <w:tc>
          <w:tcPr>
            <w:tcW w:w="401" w:type="pct"/>
            <w:vAlign w:val="center"/>
          </w:tcPr>
          <w:p w14:paraId="11AD4306" w14:textId="77777777" w:rsidR="00C31A71" w:rsidRDefault="00C31A7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p>
        </w:tc>
        <w:tc>
          <w:tcPr>
            <w:tcW w:w="401" w:type="pct"/>
            <w:noWrap/>
            <w:vAlign w:val="center"/>
          </w:tcPr>
          <w:p w14:paraId="3EF0EAE3" w14:textId="77777777" w:rsidR="00C31A71" w:rsidRPr="00D15523" w:rsidRDefault="00C31A7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p>
        </w:tc>
        <w:tc>
          <w:tcPr>
            <w:tcW w:w="401" w:type="pct"/>
            <w:vAlign w:val="center"/>
          </w:tcPr>
          <w:p w14:paraId="3B6FD8A9" w14:textId="77777777" w:rsidR="00C31A71" w:rsidRDefault="00C31A7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p>
        </w:tc>
        <w:tc>
          <w:tcPr>
            <w:tcW w:w="401" w:type="pct"/>
            <w:vAlign w:val="center"/>
          </w:tcPr>
          <w:p w14:paraId="4CD7AF33" w14:textId="77777777" w:rsidR="00C31A71" w:rsidRDefault="00C31A7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p>
        </w:tc>
        <w:tc>
          <w:tcPr>
            <w:tcW w:w="401" w:type="pct"/>
            <w:noWrap/>
            <w:vAlign w:val="center"/>
          </w:tcPr>
          <w:p w14:paraId="09690F46" w14:textId="77777777" w:rsidR="00C31A71" w:rsidRDefault="00C31A7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p>
        </w:tc>
        <w:tc>
          <w:tcPr>
            <w:tcW w:w="401" w:type="pct"/>
            <w:noWrap/>
            <w:vAlign w:val="center"/>
          </w:tcPr>
          <w:p w14:paraId="1E7B9872" w14:textId="77777777" w:rsidR="00C31A71" w:rsidRDefault="00C31A71" w:rsidP="00065D51">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6"/>
                <w:szCs w:val="16"/>
              </w:rPr>
            </w:pPr>
          </w:p>
        </w:tc>
      </w:tr>
      <w:tr w:rsidR="00C31A71" w:rsidRPr="009F4266" w14:paraId="670E43D9" w14:textId="77777777" w:rsidTr="00C31A71">
        <w:trPr>
          <w:trHeight w:val="405"/>
        </w:trPr>
        <w:tc>
          <w:tcPr>
            <w:cnfStyle w:val="001000000000" w:firstRow="0" w:lastRow="0" w:firstColumn="1" w:lastColumn="0" w:oddVBand="0" w:evenVBand="0" w:oddHBand="0" w:evenHBand="0" w:firstRowFirstColumn="0" w:firstRowLastColumn="0" w:lastRowFirstColumn="0" w:lastRowLastColumn="0"/>
            <w:tcW w:w="587" w:type="pct"/>
            <w:noWrap/>
            <w:vAlign w:val="center"/>
            <w:hideMark/>
          </w:tcPr>
          <w:p w14:paraId="64139FC3" w14:textId="77777777" w:rsidR="00065D51" w:rsidRPr="00583F96" w:rsidRDefault="00065D51" w:rsidP="00065D51">
            <w:pPr>
              <w:widowControl w:val="0"/>
              <w:tabs>
                <w:tab w:val="left" w:pos="-1440"/>
                <w:tab w:val="left" w:pos="-720"/>
              </w:tabs>
              <w:spacing w:after="0" w:line="312" w:lineRule="auto"/>
              <w:jc w:val="center"/>
              <w:rPr>
                <w:rFonts w:cs="Helvetica"/>
                <w:color w:val="595959"/>
                <w:sz w:val="16"/>
                <w:szCs w:val="16"/>
              </w:rPr>
            </w:pPr>
            <w:r w:rsidRPr="00583F96">
              <w:rPr>
                <w:rFonts w:cs="Helvetica"/>
                <w:color w:val="595959"/>
                <w:sz w:val="16"/>
                <w:szCs w:val="16"/>
              </w:rPr>
              <w:t>Total</w:t>
            </w:r>
          </w:p>
        </w:tc>
        <w:tc>
          <w:tcPr>
            <w:tcW w:w="401" w:type="pct"/>
            <w:noWrap/>
            <w:vAlign w:val="center"/>
            <w:hideMark/>
          </w:tcPr>
          <w:p w14:paraId="5FE4E197" w14:textId="77777777" w:rsidR="00065D51" w:rsidRPr="00583F96"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sidRPr="00583F96">
              <w:rPr>
                <w:rFonts w:cs="Helvetica"/>
                <w:color w:val="595959"/>
                <w:sz w:val="16"/>
                <w:szCs w:val="16"/>
              </w:rPr>
              <w:t>100</w:t>
            </w:r>
          </w:p>
        </w:tc>
        <w:tc>
          <w:tcPr>
            <w:tcW w:w="401" w:type="pct"/>
            <w:vAlign w:val="center"/>
          </w:tcPr>
          <w:p w14:paraId="6AAF5151" w14:textId="77777777" w:rsidR="00065D51"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100</w:t>
            </w:r>
          </w:p>
        </w:tc>
        <w:tc>
          <w:tcPr>
            <w:tcW w:w="401" w:type="pct"/>
            <w:vAlign w:val="center"/>
          </w:tcPr>
          <w:p w14:paraId="62CF8D1B" w14:textId="77777777" w:rsidR="00065D51"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sidRPr="00FE6088">
              <w:rPr>
                <w:rFonts w:cs="Helvetica"/>
                <w:color w:val="595959"/>
                <w:sz w:val="16"/>
                <w:szCs w:val="16"/>
              </w:rPr>
              <w:t>100</w:t>
            </w:r>
          </w:p>
        </w:tc>
        <w:tc>
          <w:tcPr>
            <w:tcW w:w="401" w:type="pct"/>
            <w:vAlign w:val="center"/>
          </w:tcPr>
          <w:p w14:paraId="4F65283D" w14:textId="77777777" w:rsidR="00065D51"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100</w:t>
            </w:r>
          </w:p>
        </w:tc>
        <w:tc>
          <w:tcPr>
            <w:tcW w:w="401" w:type="pct"/>
            <w:vAlign w:val="center"/>
          </w:tcPr>
          <w:p w14:paraId="76C5876B" w14:textId="77777777" w:rsidR="00065D51"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100</w:t>
            </w:r>
          </w:p>
        </w:tc>
        <w:tc>
          <w:tcPr>
            <w:tcW w:w="401" w:type="pct"/>
            <w:vAlign w:val="center"/>
          </w:tcPr>
          <w:p w14:paraId="12E91D38" w14:textId="77777777" w:rsidR="00065D51"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100</w:t>
            </w:r>
          </w:p>
        </w:tc>
        <w:tc>
          <w:tcPr>
            <w:tcW w:w="401" w:type="pct"/>
            <w:noWrap/>
            <w:vAlign w:val="center"/>
          </w:tcPr>
          <w:p w14:paraId="14129EE0" w14:textId="77777777" w:rsidR="00065D51" w:rsidRPr="00583F96"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100</w:t>
            </w:r>
          </w:p>
        </w:tc>
        <w:tc>
          <w:tcPr>
            <w:tcW w:w="401" w:type="pct"/>
            <w:vAlign w:val="center"/>
          </w:tcPr>
          <w:p w14:paraId="2965AD53" w14:textId="77777777" w:rsidR="00065D51"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100</w:t>
            </w:r>
          </w:p>
        </w:tc>
        <w:tc>
          <w:tcPr>
            <w:tcW w:w="401" w:type="pct"/>
            <w:vAlign w:val="center"/>
          </w:tcPr>
          <w:p w14:paraId="3CB71A9A" w14:textId="77777777" w:rsidR="00065D51"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100</w:t>
            </w:r>
          </w:p>
        </w:tc>
        <w:tc>
          <w:tcPr>
            <w:tcW w:w="401" w:type="pct"/>
            <w:noWrap/>
            <w:vAlign w:val="center"/>
            <w:hideMark/>
          </w:tcPr>
          <w:p w14:paraId="57844A6E" w14:textId="77777777" w:rsidR="00065D51" w:rsidRPr="00583F96"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100</w:t>
            </w:r>
          </w:p>
        </w:tc>
        <w:tc>
          <w:tcPr>
            <w:tcW w:w="401" w:type="pct"/>
            <w:noWrap/>
            <w:vAlign w:val="center"/>
            <w:hideMark/>
          </w:tcPr>
          <w:p w14:paraId="0928388E" w14:textId="77777777" w:rsidR="00065D51" w:rsidRPr="00583F96" w:rsidRDefault="00065D51" w:rsidP="00065D5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 w:val="16"/>
                <w:szCs w:val="16"/>
              </w:rPr>
            </w:pPr>
            <w:r>
              <w:rPr>
                <w:rFonts w:cs="Helvetica"/>
                <w:color w:val="595959"/>
                <w:sz w:val="16"/>
                <w:szCs w:val="16"/>
              </w:rPr>
              <w:t>100</w:t>
            </w:r>
          </w:p>
        </w:tc>
      </w:tr>
    </w:tbl>
    <w:p w14:paraId="2A809CA2" w14:textId="0E096A23" w:rsidR="00065D51" w:rsidRDefault="004913F4" w:rsidP="00065D51">
      <w:pPr>
        <w:tabs>
          <w:tab w:val="left" w:pos="-1440"/>
          <w:tab w:val="left" w:pos="-720"/>
        </w:tabs>
        <w:spacing w:before="120" w:after="0" w:line="312" w:lineRule="auto"/>
        <w:jc w:val="right"/>
        <w:rPr>
          <w:rFonts w:cs="Helvetica"/>
          <w:b/>
          <w:color w:val="595959"/>
          <w:szCs w:val="20"/>
        </w:rPr>
      </w:pPr>
      <w:r w:rsidRPr="00E04AA6">
        <w:rPr>
          <w:rFonts w:cs="Helvetica"/>
          <w:b/>
          <w:color w:val="595959"/>
          <w:szCs w:val="20"/>
        </w:rPr>
        <w:t xml:space="preserve">Table </w:t>
      </w:r>
      <w:r w:rsidR="00360851">
        <w:rPr>
          <w:rFonts w:cs="Helvetica"/>
          <w:b/>
          <w:color w:val="595959"/>
          <w:szCs w:val="20"/>
        </w:rPr>
        <w:t>2</w:t>
      </w:r>
      <w:r w:rsidR="001A20BE" w:rsidRPr="00E04AA6">
        <w:rPr>
          <w:rFonts w:cs="Helvetica"/>
          <w:b/>
          <w:color w:val="595959"/>
          <w:szCs w:val="20"/>
        </w:rPr>
        <w:t>:</w:t>
      </w:r>
      <w:r w:rsidR="00717136">
        <w:rPr>
          <w:rFonts w:cs="Helvetica"/>
          <w:b/>
          <w:color w:val="595959"/>
          <w:szCs w:val="20"/>
        </w:rPr>
        <w:tab/>
      </w:r>
      <w:r w:rsidR="00E42804" w:rsidRPr="00E04AA6">
        <w:rPr>
          <w:rFonts w:cs="Helvetica"/>
          <w:b/>
          <w:color w:val="595959"/>
          <w:szCs w:val="20"/>
        </w:rPr>
        <w:t xml:space="preserve">Year </w:t>
      </w:r>
      <w:r w:rsidR="001B37A1" w:rsidRPr="00E04AA6">
        <w:rPr>
          <w:rFonts w:cs="Helvetica"/>
          <w:b/>
          <w:color w:val="595959"/>
          <w:szCs w:val="20"/>
        </w:rPr>
        <w:t>201</w:t>
      </w:r>
      <w:r w:rsidR="001B37A1">
        <w:rPr>
          <w:rFonts w:cs="Helvetica"/>
          <w:b/>
          <w:color w:val="595959"/>
          <w:szCs w:val="20"/>
        </w:rPr>
        <w:t>9</w:t>
      </w:r>
      <w:r w:rsidR="001B37A1" w:rsidRPr="00E04AA6">
        <w:rPr>
          <w:rFonts w:cs="Helvetica"/>
          <w:b/>
          <w:color w:val="595959"/>
          <w:szCs w:val="20"/>
        </w:rPr>
        <w:t xml:space="preserve"> </w:t>
      </w:r>
      <w:r w:rsidR="00E6098F" w:rsidRPr="00E04AA6">
        <w:rPr>
          <w:rFonts w:cs="Helvetica"/>
          <w:b/>
          <w:color w:val="595959"/>
          <w:szCs w:val="20"/>
        </w:rPr>
        <w:t xml:space="preserve">aluminium industry </w:t>
      </w:r>
      <w:r w:rsidR="00E42804" w:rsidRPr="00E04AA6">
        <w:rPr>
          <w:rFonts w:cs="Helvetica"/>
          <w:b/>
          <w:color w:val="595959"/>
          <w:szCs w:val="20"/>
        </w:rPr>
        <w:t>power mix data</w:t>
      </w:r>
    </w:p>
    <w:p w14:paraId="1A3980C8" w14:textId="77777777" w:rsidR="00AD3CAD" w:rsidRDefault="00AD3CAD" w:rsidP="00065D51">
      <w:pPr>
        <w:tabs>
          <w:tab w:val="left" w:pos="-1440"/>
          <w:tab w:val="left" w:pos="-720"/>
        </w:tabs>
        <w:spacing w:before="120" w:after="0" w:line="312" w:lineRule="auto"/>
        <w:jc w:val="right"/>
        <w:rPr>
          <w:rFonts w:cs="Helvetica"/>
          <w:b/>
          <w:color w:val="595959"/>
          <w:szCs w:val="20"/>
        </w:rPr>
      </w:pPr>
    </w:p>
    <w:p w14:paraId="2D91C574" w14:textId="7E3E2123" w:rsidR="004913F4" w:rsidRDefault="004913F4" w:rsidP="00AD3CAD">
      <w:pPr>
        <w:spacing w:after="0"/>
        <w:rPr>
          <w:rFonts w:cs="Helvetica"/>
          <w:b/>
          <w:color w:val="595959"/>
          <w:szCs w:val="20"/>
          <w:highlight w:val="yellow"/>
        </w:rPr>
      </w:pPr>
    </w:p>
    <w:p w14:paraId="2EC7AAAB" w14:textId="1DAF3A1B" w:rsidR="00D03F70" w:rsidRPr="009F4266" w:rsidRDefault="00D03F70">
      <w:pPr>
        <w:tabs>
          <w:tab w:val="left" w:pos="-1440"/>
          <w:tab w:val="left" w:pos="-720"/>
        </w:tabs>
        <w:spacing w:after="0" w:line="312" w:lineRule="auto"/>
        <w:jc w:val="both"/>
        <w:rPr>
          <w:rFonts w:cs="Helvetica"/>
          <w:b/>
          <w:color w:val="595959"/>
          <w:szCs w:val="20"/>
          <w:highlight w:val="yellow"/>
        </w:rPr>
      </w:pPr>
      <w:r>
        <w:rPr>
          <w:noProof/>
        </w:rPr>
        <w:lastRenderedPageBreak/>
        <w:drawing>
          <wp:inline distT="0" distB="0" distL="0" distR="0" wp14:anchorId="6654CEE2" wp14:editId="3A423B8E">
            <wp:extent cx="6172200" cy="3524250"/>
            <wp:effectExtent l="0" t="0" r="0" b="0"/>
            <wp:docPr id="54" name="Chart 54">
              <a:extLst xmlns:a="http://schemas.openxmlformats.org/drawingml/2006/main">
                <a:ext uri="{FF2B5EF4-FFF2-40B4-BE49-F238E27FC236}">
                  <a16:creationId xmlns:a16="http://schemas.microsoft.com/office/drawing/2014/main" id="{7385EC9C-A954-4DBF-BAFD-A8366DFA92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3084887" w14:textId="41132807" w:rsidR="004913F4" w:rsidRPr="009F4266" w:rsidRDefault="004913F4" w:rsidP="001A5B9F">
      <w:pPr>
        <w:tabs>
          <w:tab w:val="left" w:pos="-1440"/>
          <w:tab w:val="left" w:pos="-720"/>
        </w:tabs>
        <w:spacing w:before="120" w:after="0" w:line="312" w:lineRule="auto"/>
        <w:jc w:val="right"/>
        <w:rPr>
          <w:rFonts w:cs="Helvetica"/>
          <w:b/>
          <w:color w:val="595959"/>
          <w:szCs w:val="20"/>
        </w:rPr>
      </w:pPr>
      <w:r w:rsidRPr="00472066">
        <w:rPr>
          <w:rFonts w:cs="Helvetica"/>
          <w:b/>
          <w:color w:val="595959"/>
          <w:szCs w:val="20"/>
        </w:rPr>
        <w:t xml:space="preserve">Figure </w:t>
      </w:r>
      <w:r w:rsidR="00C749A3">
        <w:rPr>
          <w:rFonts w:cs="Helvetica"/>
          <w:b/>
          <w:color w:val="595959"/>
          <w:szCs w:val="20"/>
        </w:rPr>
        <w:t>2</w:t>
      </w:r>
      <w:r w:rsidR="001A20BE" w:rsidRPr="00472066">
        <w:rPr>
          <w:rFonts w:cs="Helvetica"/>
          <w:b/>
          <w:color w:val="595959"/>
          <w:szCs w:val="20"/>
        </w:rPr>
        <w:t>:</w:t>
      </w:r>
      <w:r w:rsidR="00717136">
        <w:rPr>
          <w:rFonts w:cs="Helvetica"/>
          <w:b/>
          <w:color w:val="595959"/>
          <w:szCs w:val="20"/>
        </w:rPr>
        <w:tab/>
      </w:r>
      <w:r w:rsidR="00E42804" w:rsidRPr="00472066">
        <w:rPr>
          <w:rFonts w:cs="Helvetica"/>
          <w:b/>
          <w:color w:val="595959"/>
          <w:szCs w:val="20"/>
        </w:rPr>
        <w:t xml:space="preserve">Global </w:t>
      </w:r>
      <w:r w:rsidR="00E6098F" w:rsidRPr="00472066">
        <w:rPr>
          <w:rFonts w:cs="Helvetica"/>
          <w:b/>
          <w:color w:val="595959"/>
          <w:szCs w:val="20"/>
        </w:rPr>
        <w:t xml:space="preserve">aluminium industry </w:t>
      </w:r>
      <w:r w:rsidR="00E42804" w:rsidRPr="00472066">
        <w:rPr>
          <w:rFonts w:cs="Helvetica"/>
          <w:b/>
          <w:color w:val="595959"/>
          <w:szCs w:val="20"/>
        </w:rPr>
        <w:t>power mix</w:t>
      </w:r>
      <w:r w:rsidR="00E6098F" w:rsidRPr="00472066">
        <w:rPr>
          <w:rFonts w:cs="Helvetica"/>
          <w:b/>
          <w:color w:val="595959"/>
          <w:szCs w:val="20"/>
        </w:rPr>
        <w:t xml:space="preserve"> for years</w:t>
      </w:r>
      <w:r w:rsidR="00E42804" w:rsidRPr="00472066">
        <w:rPr>
          <w:rFonts w:cs="Helvetica"/>
          <w:b/>
          <w:color w:val="595959"/>
          <w:szCs w:val="20"/>
        </w:rPr>
        <w:t xml:space="preserve"> 1980 </w:t>
      </w:r>
      <w:r w:rsidR="00472066">
        <w:rPr>
          <w:rFonts w:cs="Helvetica"/>
          <w:b/>
          <w:color w:val="595959"/>
          <w:szCs w:val="20"/>
        </w:rPr>
        <w:t>–</w:t>
      </w:r>
      <w:r w:rsidR="00E42804" w:rsidRPr="00472066">
        <w:rPr>
          <w:rFonts w:cs="Helvetica"/>
          <w:b/>
          <w:color w:val="595959"/>
          <w:szCs w:val="20"/>
        </w:rPr>
        <w:t xml:space="preserve"> 201</w:t>
      </w:r>
      <w:r w:rsidR="00D03F70">
        <w:rPr>
          <w:rFonts w:cs="Helvetica"/>
          <w:b/>
          <w:color w:val="595959"/>
          <w:szCs w:val="20"/>
        </w:rPr>
        <w:t>9</w:t>
      </w:r>
    </w:p>
    <w:p w14:paraId="7FD33EFA" w14:textId="77777777" w:rsidR="008B4A9F" w:rsidRDefault="008B4A9F" w:rsidP="007061DC">
      <w:pPr>
        <w:spacing w:after="0" w:line="312" w:lineRule="auto"/>
        <w:rPr>
          <w:rFonts w:cs="Helvetica"/>
          <w:color w:val="595959"/>
          <w:szCs w:val="20"/>
        </w:rPr>
      </w:pPr>
    </w:p>
    <w:p w14:paraId="6623F826" w14:textId="65D9C8D3" w:rsidR="008368C6" w:rsidRDefault="001754E9" w:rsidP="009E11C8">
      <w:pPr>
        <w:spacing w:after="0" w:line="312" w:lineRule="auto"/>
        <w:jc w:val="both"/>
        <w:rPr>
          <w:rFonts w:cs="Helvetica"/>
          <w:color w:val="595959"/>
        </w:rPr>
      </w:pPr>
      <w:r>
        <w:rPr>
          <w:rFonts w:cs="Helvetica"/>
          <w:color w:val="595959"/>
        </w:rPr>
        <w:t>Fuel</w:t>
      </w:r>
      <w:r w:rsidR="008368C6" w:rsidRPr="00914E6A">
        <w:rPr>
          <w:rFonts w:cs="Helvetica"/>
          <w:color w:val="595959"/>
        </w:rPr>
        <w:t xml:space="preserve"> consumption </w:t>
      </w:r>
      <w:r>
        <w:rPr>
          <w:rFonts w:cs="Helvetica"/>
          <w:color w:val="595959"/>
        </w:rPr>
        <w:t>data</w:t>
      </w:r>
      <w:r w:rsidRPr="00914E6A">
        <w:rPr>
          <w:rFonts w:cs="Helvetica"/>
          <w:color w:val="595959"/>
        </w:rPr>
        <w:t xml:space="preserve"> </w:t>
      </w:r>
      <w:r w:rsidR="008368C6" w:rsidRPr="00914E6A">
        <w:rPr>
          <w:rFonts w:cs="Helvetica"/>
          <w:color w:val="595959"/>
        </w:rPr>
        <w:t>(</w:t>
      </w:r>
      <w:r w:rsidR="00E91489">
        <w:rPr>
          <w:rFonts w:cs="Helvetica"/>
          <w:color w:val="595959"/>
        </w:rPr>
        <w:t xml:space="preserve">hard </w:t>
      </w:r>
      <w:r w:rsidR="008368C6" w:rsidRPr="00914E6A">
        <w:rPr>
          <w:rFonts w:cs="Helvetica"/>
          <w:color w:val="595959"/>
        </w:rPr>
        <w:t xml:space="preserve">coal, diesel oil, heavy oil; natural gas) </w:t>
      </w:r>
      <w:r w:rsidR="004F1FEB">
        <w:rPr>
          <w:rFonts w:cs="Helvetica"/>
          <w:color w:val="595959"/>
        </w:rPr>
        <w:t xml:space="preserve">and </w:t>
      </w:r>
      <w:r>
        <w:rPr>
          <w:rFonts w:cs="Helvetica"/>
          <w:color w:val="595959"/>
        </w:rPr>
        <w:t xml:space="preserve">the </w:t>
      </w:r>
      <w:r w:rsidR="004F1FEB">
        <w:rPr>
          <w:rFonts w:cs="Helvetica"/>
          <w:color w:val="595959"/>
        </w:rPr>
        <w:t xml:space="preserve">direct carbon dioxide emissions </w:t>
      </w:r>
      <w:r w:rsidR="00C14496">
        <w:rPr>
          <w:rFonts w:cs="Helvetica"/>
          <w:color w:val="595959"/>
        </w:rPr>
        <w:t xml:space="preserve">not </w:t>
      </w:r>
      <w:r>
        <w:rPr>
          <w:rFonts w:cs="Helvetica"/>
          <w:color w:val="595959"/>
        </w:rPr>
        <w:t xml:space="preserve">associated with </w:t>
      </w:r>
      <w:r w:rsidR="00C14496">
        <w:rPr>
          <w:rFonts w:cs="Helvetica"/>
          <w:color w:val="595959"/>
        </w:rPr>
        <w:t xml:space="preserve">fuel </w:t>
      </w:r>
      <w:r>
        <w:rPr>
          <w:rFonts w:cs="Helvetica"/>
          <w:color w:val="595959"/>
        </w:rPr>
        <w:t>combustion</w:t>
      </w:r>
      <w:r w:rsidR="00C749A3">
        <w:rPr>
          <w:rFonts w:cs="Helvetica"/>
          <w:color w:val="595959"/>
        </w:rPr>
        <w:t xml:space="preserve"> (e.g. process emission from anode consumption)</w:t>
      </w:r>
      <w:r>
        <w:rPr>
          <w:rFonts w:cs="Helvetica"/>
          <w:color w:val="595959"/>
        </w:rPr>
        <w:t xml:space="preserve"> </w:t>
      </w:r>
      <w:r w:rsidR="008368C6">
        <w:rPr>
          <w:rFonts w:cs="Helvetica"/>
          <w:color w:val="595959"/>
        </w:rPr>
        <w:t>are</w:t>
      </w:r>
      <w:r w:rsidR="008368C6" w:rsidRPr="00914E6A">
        <w:rPr>
          <w:rFonts w:cs="Helvetica"/>
          <w:color w:val="595959"/>
        </w:rPr>
        <w:t xml:space="preserve"> documented </w:t>
      </w:r>
      <w:r w:rsidR="005764BA">
        <w:rPr>
          <w:rFonts w:cs="Helvetica"/>
          <w:color w:val="595959"/>
        </w:rPr>
        <w:t>in</w:t>
      </w:r>
      <w:r w:rsidR="008368C6" w:rsidRPr="00914E6A">
        <w:rPr>
          <w:rFonts w:cs="Helvetica"/>
          <w:color w:val="595959"/>
        </w:rPr>
        <w:t xml:space="preserve"> this inventory</w:t>
      </w:r>
      <w:r w:rsidR="005548FA">
        <w:rPr>
          <w:rFonts w:cs="Helvetica"/>
          <w:color w:val="595959"/>
        </w:rPr>
        <w:t xml:space="preserve">; </w:t>
      </w:r>
      <w:r w:rsidR="00FE50BA">
        <w:rPr>
          <w:rFonts w:cs="Helvetica"/>
          <w:color w:val="595959"/>
        </w:rPr>
        <w:t xml:space="preserve">indirect </w:t>
      </w:r>
      <w:r w:rsidR="004F1FEB">
        <w:rPr>
          <w:rFonts w:cs="Helvetica"/>
          <w:color w:val="595959"/>
        </w:rPr>
        <w:t>carbon dioxide</w:t>
      </w:r>
      <w:r w:rsidR="008368C6" w:rsidRPr="00914E6A">
        <w:rPr>
          <w:rFonts w:cs="Helvetica"/>
          <w:color w:val="595959"/>
        </w:rPr>
        <w:t xml:space="preserve"> emission</w:t>
      </w:r>
      <w:r w:rsidR="008368C6">
        <w:rPr>
          <w:rFonts w:cs="Helvetica"/>
          <w:color w:val="595959"/>
        </w:rPr>
        <w:t>s</w:t>
      </w:r>
      <w:r>
        <w:rPr>
          <w:rFonts w:cs="Helvetica"/>
          <w:color w:val="595959"/>
        </w:rPr>
        <w:t>,</w:t>
      </w:r>
      <w:r w:rsidR="009D0E36">
        <w:rPr>
          <w:rFonts w:cs="Helvetica"/>
          <w:color w:val="595959"/>
        </w:rPr>
        <w:t xml:space="preserve"> such as those associated with power generation</w:t>
      </w:r>
      <w:r>
        <w:rPr>
          <w:rFonts w:cs="Helvetica"/>
          <w:color w:val="595959"/>
        </w:rPr>
        <w:t>,</w:t>
      </w:r>
      <w:r w:rsidR="008368C6" w:rsidRPr="00914E6A">
        <w:rPr>
          <w:rFonts w:cs="Helvetica"/>
          <w:color w:val="595959"/>
        </w:rPr>
        <w:t xml:space="preserve"> </w:t>
      </w:r>
      <w:r w:rsidR="008368C6">
        <w:rPr>
          <w:rFonts w:cs="Helvetica"/>
          <w:color w:val="595959"/>
        </w:rPr>
        <w:t>are</w:t>
      </w:r>
      <w:r w:rsidR="008368C6" w:rsidRPr="00914E6A">
        <w:rPr>
          <w:rFonts w:cs="Helvetica"/>
          <w:color w:val="595959"/>
        </w:rPr>
        <w:t xml:space="preserve"> not included</w:t>
      </w:r>
      <w:r w:rsidR="009D0E36">
        <w:rPr>
          <w:rFonts w:cs="Helvetica"/>
          <w:color w:val="595959"/>
        </w:rPr>
        <w:t xml:space="preserve"> in the inventory</w:t>
      </w:r>
      <w:r w:rsidR="00A65E44">
        <w:rPr>
          <w:rFonts w:cs="Helvetica"/>
          <w:color w:val="595959"/>
        </w:rPr>
        <w:t xml:space="preserve"> but can be calculated using </w:t>
      </w:r>
      <w:r>
        <w:rPr>
          <w:rFonts w:cs="Helvetica"/>
          <w:color w:val="595959"/>
        </w:rPr>
        <w:t xml:space="preserve">the reported </w:t>
      </w:r>
      <w:r w:rsidR="00C14496">
        <w:rPr>
          <w:rFonts w:cs="Helvetica"/>
          <w:color w:val="595959"/>
        </w:rPr>
        <w:t xml:space="preserve">MJ </w:t>
      </w:r>
      <w:r>
        <w:rPr>
          <w:rFonts w:cs="Helvetica"/>
          <w:color w:val="595959"/>
        </w:rPr>
        <w:t xml:space="preserve">electricity, relevant power mix and </w:t>
      </w:r>
      <w:r w:rsidR="00A65E44">
        <w:rPr>
          <w:rFonts w:cs="Helvetica"/>
          <w:color w:val="595959"/>
        </w:rPr>
        <w:t>appropriate background data from alternative databases</w:t>
      </w:r>
      <w:r w:rsidR="00D568FA">
        <w:rPr>
          <w:rFonts w:cs="Helvetica"/>
          <w:color w:val="595959"/>
        </w:rPr>
        <w:t xml:space="preserve"> as demonstrated in Chapter </w:t>
      </w:r>
      <w:r w:rsidR="00B63273">
        <w:rPr>
          <w:rFonts w:cs="Helvetica"/>
          <w:color w:val="595959"/>
        </w:rPr>
        <w:t>4</w:t>
      </w:r>
      <w:r w:rsidR="009D0E36">
        <w:rPr>
          <w:rFonts w:cs="Helvetica"/>
          <w:color w:val="595959"/>
        </w:rPr>
        <w:t>.</w:t>
      </w:r>
    </w:p>
    <w:p w14:paraId="4701BFAE" w14:textId="77777777" w:rsidR="00AD3CAD" w:rsidRDefault="00AD3CAD" w:rsidP="009E11C8">
      <w:pPr>
        <w:autoSpaceDE w:val="0"/>
        <w:autoSpaceDN w:val="0"/>
        <w:adjustRightInd w:val="0"/>
        <w:spacing w:after="0" w:line="312" w:lineRule="auto"/>
        <w:jc w:val="both"/>
        <w:rPr>
          <w:rFonts w:ascii="Arial" w:hAnsi="Arial" w:cs="Arial"/>
          <w:color w:val="595959"/>
          <w:szCs w:val="20"/>
          <w:lang w:eastAsia="en-GB"/>
        </w:rPr>
      </w:pPr>
    </w:p>
    <w:p w14:paraId="4CAC5352" w14:textId="77777777" w:rsidR="004D7928" w:rsidRPr="007061DC" w:rsidRDefault="004D7928" w:rsidP="00DA5301">
      <w:pPr>
        <w:pStyle w:val="Heading2"/>
      </w:pPr>
      <w:bookmarkStart w:id="26" w:name="__RefHeading__11_1147413177"/>
      <w:bookmarkStart w:id="27" w:name="_Toc363829093"/>
      <w:bookmarkStart w:id="28" w:name="_Toc120111913"/>
      <w:bookmarkEnd w:id="26"/>
      <w:r w:rsidRPr="007061DC">
        <w:t xml:space="preserve">Data </w:t>
      </w:r>
      <w:r w:rsidR="00D02D5D">
        <w:t>S</w:t>
      </w:r>
      <w:r w:rsidR="005764BA" w:rsidRPr="007061DC">
        <w:t>election</w:t>
      </w:r>
      <w:bookmarkEnd w:id="27"/>
      <w:bookmarkEnd w:id="28"/>
    </w:p>
    <w:p w14:paraId="0A053C18" w14:textId="7ECEA82E" w:rsidR="00D568FA" w:rsidRDefault="004D7928" w:rsidP="009E11C8">
      <w:pPr>
        <w:tabs>
          <w:tab w:val="left" w:pos="-1440"/>
          <w:tab w:val="left" w:pos="-720"/>
        </w:tabs>
        <w:spacing w:after="0" w:line="312" w:lineRule="auto"/>
        <w:jc w:val="both"/>
        <w:rPr>
          <w:rFonts w:cs="Helvetica"/>
          <w:color w:val="595959"/>
        </w:rPr>
      </w:pPr>
      <w:r w:rsidRPr="009F1382">
        <w:rPr>
          <w:rFonts w:cs="Helvetica"/>
          <w:color w:val="595959"/>
        </w:rPr>
        <w:t>This report contains data</w:t>
      </w:r>
      <w:r w:rsidR="00AA757B">
        <w:rPr>
          <w:rFonts w:cs="Helvetica"/>
          <w:color w:val="595959"/>
        </w:rPr>
        <w:t xml:space="preserve"> for the calendar year </w:t>
      </w:r>
      <w:r w:rsidR="00C14496">
        <w:rPr>
          <w:rFonts w:cs="Helvetica"/>
          <w:color w:val="595959"/>
        </w:rPr>
        <w:t>2019</w:t>
      </w:r>
      <w:r w:rsidR="00AD3CAD">
        <w:rPr>
          <w:rFonts w:cs="Helvetica"/>
          <w:color w:val="595959"/>
        </w:rPr>
        <w:t xml:space="preserve"> for all unit process</w:t>
      </w:r>
      <w:r w:rsidR="009831A3">
        <w:rPr>
          <w:rFonts w:cs="Helvetica"/>
          <w:color w:val="595959"/>
        </w:rPr>
        <w:t xml:space="preserve">.  </w:t>
      </w:r>
      <w:r w:rsidR="00AD3CAD">
        <w:rPr>
          <w:rFonts w:cs="Helvetica"/>
          <w:color w:val="595959"/>
        </w:rPr>
        <w:t>Bauxite residue d</w:t>
      </w:r>
      <w:r w:rsidR="00D568FA" w:rsidRPr="00AD3CAD">
        <w:rPr>
          <w:rFonts w:cs="Helvetica"/>
          <w:color w:val="595959"/>
        </w:rPr>
        <w:t xml:space="preserve">ata for </w:t>
      </w:r>
      <w:r w:rsidR="00C14496" w:rsidRPr="00AD3CAD">
        <w:rPr>
          <w:rFonts w:cs="Helvetica"/>
          <w:color w:val="595959"/>
        </w:rPr>
        <w:t xml:space="preserve">2015 </w:t>
      </w:r>
      <w:r w:rsidR="0039105E" w:rsidRPr="00AD3CAD">
        <w:rPr>
          <w:rFonts w:cs="Helvetica"/>
          <w:color w:val="595959"/>
        </w:rPr>
        <w:t>are</w:t>
      </w:r>
      <w:r w:rsidR="001754E9" w:rsidRPr="00AD3CAD">
        <w:rPr>
          <w:rFonts w:cs="Helvetica"/>
          <w:color w:val="595959"/>
        </w:rPr>
        <w:t xml:space="preserve"> </w:t>
      </w:r>
      <w:r w:rsidR="00D568FA" w:rsidRPr="00AD3CAD">
        <w:rPr>
          <w:rFonts w:cs="Helvetica"/>
          <w:color w:val="595959"/>
        </w:rPr>
        <w:t>also included for select</w:t>
      </w:r>
      <w:r w:rsidR="002A1D40">
        <w:rPr>
          <w:rFonts w:cs="Helvetica"/>
          <w:color w:val="595959"/>
        </w:rPr>
        <w:t>ed</w:t>
      </w:r>
      <w:r w:rsidR="00D568FA" w:rsidRPr="00AD3CAD">
        <w:rPr>
          <w:rFonts w:cs="Helvetica"/>
          <w:color w:val="595959"/>
        </w:rPr>
        <w:t xml:space="preserve"> sites that did not report data for the year </w:t>
      </w:r>
      <w:r w:rsidR="00C14496" w:rsidRPr="00AD3CAD">
        <w:rPr>
          <w:rFonts w:cs="Helvetica"/>
          <w:color w:val="595959"/>
        </w:rPr>
        <w:t xml:space="preserve">2019 </w:t>
      </w:r>
      <w:r w:rsidR="007A3E6A" w:rsidRPr="00AD3CAD">
        <w:rPr>
          <w:rFonts w:cs="Helvetica"/>
          <w:color w:val="595959"/>
        </w:rPr>
        <w:t>but are still in operation</w:t>
      </w:r>
      <w:r w:rsidR="009831A3" w:rsidRPr="00AD3CAD">
        <w:rPr>
          <w:rFonts w:cs="Helvetica"/>
          <w:color w:val="595959"/>
        </w:rPr>
        <w:t>.</w:t>
      </w:r>
      <w:r w:rsidR="009831A3">
        <w:rPr>
          <w:rFonts w:cs="Helvetica"/>
          <w:color w:val="595959"/>
        </w:rPr>
        <w:t xml:space="preserve">  </w:t>
      </w:r>
      <w:r w:rsidR="007A3E6A">
        <w:rPr>
          <w:rFonts w:cs="Helvetica"/>
          <w:color w:val="595959"/>
        </w:rPr>
        <w:t>D</w:t>
      </w:r>
      <w:r w:rsidR="00D568FA">
        <w:rPr>
          <w:rFonts w:cs="Helvetica"/>
          <w:color w:val="595959"/>
        </w:rPr>
        <w:t xml:space="preserve">ata </w:t>
      </w:r>
      <w:r w:rsidR="007A3E6A">
        <w:rPr>
          <w:rFonts w:cs="Helvetica"/>
          <w:color w:val="595959"/>
        </w:rPr>
        <w:t xml:space="preserve">reported as part of the </w:t>
      </w:r>
      <w:r w:rsidR="00C14496">
        <w:rPr>
          <w:rFonts w:cs="Helvetica"/>
          <w:color w:val="595959"/>
        </w:rPr>
        <w:t xml:space="preserve">2015 </w:t>
      </w:r>
      <w:r w:rsidR="007A3E6A">
        <w:rPr>
          <w:rFonts w:cs="Helvetica"/>
          <w:color w:val="595959"/>
        </w:rPr>
        <w:t>LCI survey</w:t>
      </w:r>
      <w:r w:rsidR="00D568FA">
        <w:rPr>
          <w:rFonts w:cs="Helvetica"/>
          <w:color w:val="595959"/>
        </w:rPr>
        <w:t xml:space="preserve"> </w:t>
      </w:r>
      <w:r w:rsidR="0039105E">
        <w:rPr>
          <w:rFonts w:cs="Helvetica"/>
          <w:color w:val="595959"/>
        </w:rPr>
        <w:t>are</w:t>
      </w:r>
      <w:r w:rsidR="00D568FA">
        <w:rPr>
          <w:rFonts w:cs="Helvetica"/>
          <w:color w:val="595959"/>
        </w:rPr>
        <w:t xml:space="preserve"> us</w:t>
      </w:r>
      <w:r w:rsidR="007A3E6A">
        <w:rPr>
          <w:rFonts w:cs="Helvetica"/>
          <w:color w:val="595959"/>
        </w:rPr>
        <w:t>ed as a proxy for</w:t>
      </w:r>
      <w:r w:rsidR="00D568FA">
        <w:rPr>
          <w:rFonts w:cs="Helvetica"/>
          <w:color w:val="595959"/>
        </w:rPr>
        <w:t xml:space="preserve"> sites where the process is unlikely to have changed </w:t>
      </w:r>
      <w:r w:rsidR="00B755D4">
        <w:rPr>
          <w:rFonts w:cs="Helvetica"/>
          <w:color w:val="595959"/>
        </w:rPr>
        <w:t>significantly, but</w:t>
      </w:r>
      <w:r w:rsidR="001754E9">
        <w:rPr>
          <w:rFonts w:cs="Helvetica"/>
          <w:color w:val="595959"/>
        </w:rPr>
        <w:t xml:space="preserve"> applied to the</w:t>
      </w:r>
      <w:r w:rsidR="00C0669C">
        <w:rPr>
          <w:rFonts w:cs="Helvetica"/>
          <w:color w:val="595959"/>
        </w:rPr>
        <w:t xml:space="preserve"> </w:t>
      </w:r>
      <w:r w:rsidR="00C14496">
        <w:rPr>
          <w:rFonts w:cs="Helvetica"/>
          <w:color w:val="595959"/>
        </w:rPr>
        <w:t xml:space="preserve">2019 </w:t>
      </w:r>
      <w:r w:rsidR="001754E9">
        <w:rPr>
          <w:rFonts w:cs="Helvetica"/>
          <w:color w:val="595959"/>
        </w:rPr>
        <w:t>production levels to account for changes in production weighting across the industry</w:t>
      </w:r>
      <w:r w:rsidR="00D568FA">
        <w:rPr>
          <w:rFonts w:cs="Helvetica"/>
          <w:color w:val="595959"/>
        </w:rPr>
        <w:t>.</w:t>
      </w:r>
    </w:p>
    <w:p w14:paraId="05DF2D41" w14:textId="77777777" w:rsidR="00D568FA" w:rsidRDefault="00D568FA" w:rsidP="009E11C8">
      <w:pPr>
        <w:tabs>
          <w:tab w:val="left" w:pos="-1440"/>
          <w:tab w:val="left" w:pos="-720"/>
        </w:tabs>
        <w:spacing w:after="0" w:line="312" w:lineRule="auto"/>
        <w:jc w:val="both"/>
        <w:rPr>
          <w:rFonts w:cs="Helvetica"/>
          <w:color w:val="595959"/>
        </w:rPr>
      </w:pPr>
    </w:p>
    <w:p w14:paraId="529A051A" w14:textId="12CE9618" w:rsidR="00EF54EF" w:rsidRDefault="004D7928" w:rsidP="001A5B9F">
      <w:pPr>
        <w:tabs>
          <w:tab w:val="left" w:pos="-1440"/>
          <w:tab w:val="left" w:pos="-720"/>
        </w:tabs>
        <w:spacing w:after="0" w:line="312" w:lineRule="auto"/>
        <w:jc w:val="both"/>
        <w:rPr>
          <w:rFonts w:cs="Helvetica"/>
          <w:color w:val="595959"/>
        </w:rPr>
      </w:pPr>
      <w:r w:rsidRPr="009F1382">
        <w:rPr>
          <w:rFonts w:cs="Helvetica"/>
          <w:color w:val="595959"/>
        </w:rPr>
        <w:t xml:space="preserve">Selection of data categories for this inventory </w:t>
      </w:r>
      <w:r w:rsidR="001754E9">
        <w:rPr>
          <w:rFonts w:cs="Helvetica"/>
          <w:color w:val="595959"/>
        </w:rPr>
        <w:t>is</w:t>
      </w:r>
      <w:r w:rsidR="001754E9" w:rsidRPr="009F1382">
        <w:rPr>
          <w:rFonts w:cs="Helvetica"/>
          <w:color w:val="595959"/>
        </w:rPr>
        <w:t xml:space="preserve"> </w:t>
      </w:r>
      <w:r w:rsidRPr="009F1382">
        <w:rPr>
          <w:rFonts w:cs="Helvetica"/>
          <w:color w:val="595959"/>
        </w:rPr>
        <w:t xml:space="preserve">based on their environmental relevance, either specific </w:t>
      </w:r>
      <w:r w:rsidR="005764BA">
        <w:rPr>
          <w:rFonts w:cs="Helvetica"/>
          <w:color w:val="595959"/>
        </w:rPr>
        <w:t>to</w:t>
      </w:r>
      <w:r w:rsidRPr="009F1382">
        <w:rPr>
          <w:rFonts w:cs="Helvetica"/>
          <w:color w:val="595959"/>
        </w:rPr>
        <w:t xml:space="preserve"> primary aluminium production or as generally acknowledged environmental issues</w:t>
      </w:r>
      <w:r w:rsidR="009831A3">
        <w:rPr>
          <w:rFonts w:cs="Helvetica"/>
          <w:color w:val="595959"/>
        </w:rPr>
        <w:t xml:space="preserve">.  </w:t>
      </w:r>
      <w:r w:rsidRPr="009F1382">
        <w:rPr>
          <w:rFonts w:cs="Helvetica"/>
          <w:color w:val="595959"/>
        </w:rPr>
        <w:t xml:space="preserve">These data are listed </w:t>
      </w:r>
      <w:r w:rsidR="0038344E">
        <w:rPr>
          <w:rFonts w:cs="Helvetica"/>
          <w:color w:val="595959"/>
        </w:rPr>
        <w:t xml:space="preserve">along </w:t>
      </w:r>
      <w:r w:rsidRPr="009F1382">
        <w:rPr>
          <w:rFonts w:cs="Helvetica"/>
          <w:color w:val="595959"/>
        </w:rPr>
        <w:t xml:space="preserve">with explanatory notes in </w:t>
      </w:r>
      <w:r w:rsidRPr="006C7F49">
        <w:rPr>
          <w:rFonts w:cs="Helvetica"/>
          <w:color w:val="595959"/>
        </w:rPr>
        <w:t xml:space="preserve">Appendix </w:t>
      </w:r>
      <w:r w:rsidR="00DC0540" w:rsidRPr="006C7F49">
        <w:rPr>
          <w:rFonts w:cs="Helvetica"/>
          <w:color w:val="595959"/>
        </w:rPr>
        <w:t>B</w:t>
      </w:r>
      <w:r w:rsidR="009831A3">
        <w:rPr>
          <w:rFonts w:cs="Helvetica"/>
          <w:color w:val="595959"/>
        </w:rPr>
        <w:t xml:space="preserve">.  </w:t>
      </w:r>
      <w:r w:rsidR="00CD5152">
        <w:rPr>
          <w:rFonts w:cs="Helvetica"/>
          <w:color w:val="595959"/>
        </w:rPr>
        <w:t>M</w:t>
      </w:r>
      <w:r w:rsidR="00CD5152" w:rsidRPr="00CD5152">
        <w:rPr>
          <w:rFonts w:cs="Helvetica"/>
          <w:color w:val="595959"/>
        </w:rPr>
        <w:t>aterial flows going into</w:t>
      </w:r>
      <w:r w:rsidR="00CD5152">
        <w:rPr>
          <w:rFonts w:cs="Helvetica"/>
          <w:color w:val="595959"/>
        </w:rPr>
        <w:t xml:space="preserve"> and out of the </w:t>
      </w:r>
      <w:r w:rsidR="00CD5152" w:rsidRPr="00CD5152">
        <w:rPr>
          <w:rFonts w:cs="Helvetica"/>
          <w:color w:val="595959"/>
        </w:rPr>
        <w:t xml:space="preserve">aluminium processes higher than 1% of the total mass flow (t) or higher than 1% of the total primary energy input (MJ) are </w:t>
      </w:r>
      <w:r w:rsidR="00CD5152">
        <w:rPr>
          <w:rFonts w:cs="Helvetica"/>
          <w:color w:val="595959"/>
        </w:rPr>
        <w:t>included</w:t>
      </w:r>
      <w:r w:rsidR="009831A3">
        <w:rPr>
          <w:rFonts w:cs="Helvetica"/>
          <w:color w:val="595959"/>
        </w:rPr>
        <w:t>.</w:t>
      </w:r>
    </w:p>
    <w:p w14:paraId="1A60C03B" w14:textId="77777777" w:rsidR="0069734C" w:rsidRDefault="0069734C" w:rsidP="001A5B9F">
      <w:pPr>
        <w:tabs>
          <w:tab w:val="left" w:pos="-1440"/>
          <w:tab w:val="left" w:pos="-720"/>
        </w:tabs>
        <w:spacing w:after="0" w:line="312" w:lineRule="auto"/>
        <w:jc w:val="both"/>
        <w:rPr>
          <w:rFonts w:cs="Helvetica"/>
          <w:color w:val="595959"/>
        </w:rPr>
      </w:pPr>
    </w:p>
    <w:p w14:paraId="3973B169" w14:textId="3DA90F01" w:rsidR="004D7928" w:rsidRPr="000D0304" w:rsidRDefault="004D7928" w:rsidP="00DA5301">
      <w:pPr>
        <w:pStyle w:val="Heading2"/>
      </w:pPr>
      <w:bookmarkStart w:id="29" w:name="_Toc484678031"/>
      <w:bookmarkStart w:id="30" w:name="_Toc484678388"/>
      <w:bookmarkStart w:id="31" w:name="_Toc484679799"/>
      <w:bookmarkStart w:id="32" w:name="__RefHeading__13_1147413177"/>
      <w:bookmarkStart w:id="33" w:name="_Toc363829094"/>
      <w:bookmarkStart w:id="34" w:name="_Toc120111914"/>
      <w:bookmarkEnd w:id="29"/>
      <w:bookmarkEnd w:id="30"/>
      <w:bookmarkEnd w:id="31"/>
      <w:bookmarkEnd w:id="32"/>
      <w:r w:rsidRPr="000D0304">
        <w:lastRenderedPageBreak/>
        <w:t xml:space="preserve">Reference </w:t>
      </w:r>
      <w:r w:rsidR="00D02D5D">
        <w:t>F</w:t>
      </w:r>
      <w:r w:rsidRPr="000D0304">
        <w:t>low</w:t>
      </w:r>
      <w:r w:rsidR="006E4797" w:rsidRPr="000D0304">
        <w:t xml:space="preserve"> and </w:t>
      </w:r>
      <w:r w:rsidR="00D02D5D">
        <w:t>A</w:t>
      </w:r>
      <w:r w:rsidR="006E4797" w:rsidRPr="000D0304">
        <w:t>llocation</w:t>
      </w:r>
      <w:bookmarkEnd w:id="33"/>
      <w:bookmarkEnd w:id="34"/>
    </w:p>
    <w:p w14:paraId="2669CD8E" w14:textId="77777777" w:rsidR="004D7928" w:rsidRPr="007A3E6A" w:rsidRDefault="004D7928" w:rsidP="009E11C8">
      <w:pPr>
        <w:tabs>
          <w:tab w:val="left" w:pos="-1440"/>
          <w:tab w:val="left" w:pos="-720"/>
        </w:tabs>
        <w:spacing w:after="0" w:line="312" w:lineRule="auto"/>
        <w:jc w:val="both"/>
        <w:rPr>
          <w:rFonts w:cs="Helvetica"/>
          <w:color w:val="595959"/>
        </w:rPr>
      </w:pPr>
      <w:r w:rsidRPr="007A3E6A">
        <w:rPr>
          <w:rFonts w:cs="Helvetica"/>
          <w:color w:val="595959"/>
        </w:rPr>
        <w:t>For each unit process</w:t>
      </w:r>
      <w:r w:rsidR="007A3E6A">
        <w:rPr>
          <w:rFonts w:cs="Helvetica"/>
          <w:color w:val="595959"/>
        </w:rPr>
        <w:t>,</w:t>
      </w:r>
      <w:r w:rsidRPr="007A3E6A">
        <w:rPr>
          <w:rFonts w:cs="Helvetica"/>
          <w:color w:val="595959"/>
        </w:rPr>
        <w:t xml:space="preserve"> the reference flow is 1</w:t>
      </w:r>
      <w:r w:rsidR="005764BA" w:rsidRPr="007A3E6A">
        <w:rPr>
          <w:rFonts w:cs="Helvetica"/>
          <w:color w:val="595959"/>
        </w:rPr>
        <w:t xml:space="preserve">,000 kg </w:t>
      </w:r>
      <w:r w:rsidR="00AA757B" w:rsidRPr="007A3E6A">
        <w:rPr>
          <w:rFonts w:cs="Helvetica"/>
          <w:color w:val="595959"/>
        </w:rPr>
        <w:t>of product</w:t>
      </w:r>
      <w:r w:rsidR="009831A3">
        <w:rPr>
          <w:rFonts w:cs="Helvetica"/>
          <w:color w:val="595959"/>
        </w:rPr>
        <w:t xml:space="preserve">.  </w:t>
      </w:r>
      <w:r w:rsidRPr="007A3E6A">
        <w:rPr>
          <w:rFonts w:cs="Helvetica"/>
          <w:color w:val="595959"/>
        </w:rPr>
        <w:t xml:space="preserve">For the whole primary aluminium </w:t>
      </w:r>
      <w:r w:rsidR="008B4A9F">
        <w:rPr>
          <w:rFonts w:cs="Helvetica"/>
          <w:color w:val="595959"/>
        </w:rPr>
        <w:t xml:space="preserve">production </w:t>
      </w:r>
      <w:r w:rsidRPr="007A3E6A">
        <w:rPr>
          <w:rFonts w:cs="Helvetica"/>
          <w:color w:val="595959"/>
        </w:rPr>
        <w:t>process, the reference flow is 1</w:t>
      </w:r>
      <w:r w:rsidR="005764BA" w:rsidRPr="007A3E6A">
        <w:rPr>
          <w:rFonts w:cs="Helvetica"/>
          <w:color w:val="595959"/>
        </w:rPr>
        <w:t>,000 kg</w:t>
      </w:r>
      <w:r w:rsidRPr="007A3E6A">
        <w:rPr>
          <w:rFonts w:cs="Helvetica"/>
          <w:color w:val="595959"/>
        </w:rPr>
        <w:t xml:space="preserve"> </w:t>
      </w:r>
      <w:r w:rsidR="00AA757B" w:rsidRPr="007A3E6A">
        <w:rPr>
          <w:rFonts w:cs="Helvetica"/>
          <w:color w:val="595959"/>
        </w:rPr>
        <w:t xml:space="preserve">of </w:t>
      </w:r>
      <w:r w:rsidRPr="007A3E6A">
        <w:rPr>
          <w:rFonts w:cs="Helvetica"/>
          <w:color w:val="595959"/>
        </w:rPr>
        <w:t>primary aluminium ingot.</w:t>
      </w:r>
    </w:p>
    <w:p w14:paraId="43FF9435" w14:textId="77777777" w:rsidR="004D7928" w:rsidRPr="005564C3" w:rsidRDefault="004D7928" w:rsidP="009E11C8">
      <w:pPr>
        <w:tabs>
          <w:tab w:val="left" w:pos="-1440"/>
          <w:tab w:val="left" w:pos="-720"/>
        </w:tabs>
        <w:spacing w:after="0" w:line="312" w:lineRule="auto"/>
        <w:jc w:val="both"/>
        <w:rPr>
          <w:rFonts w:cs="Helvetica"/>
          <w:color w:val="595959"/>
          <w:highlight w:val="yellow"/>
        </w:rPr>
      </w:pPr>
    </w:p>
    <w:p w14:paraId="3EE58401" w14:textId="4A7D25D0" w:rsidR="00AA757B" w:rsidRPr="009C0A08" w:rsidRDefault="00AA757B" w:rsidP="009E11C8">
      <w:pPr>
        <w:tabs>
          <w:tab w:val="left" w:pos="-1440"/>
          <w:tab w:val="left" w:pos="-720"/>
        </w:tabs>
        <w:spacing w:after="0" w:line="312" w:lineRule="auto"/>
        <w:jc w:val="both"/>
        <w:rPr>
          <w:rFonts w:cs="Helvetica"/>
          <w:color w:val="595959"/>
        </w:rPr>
      </w:pPr>
      <w:r w:rsidRPr="005360FB">
        <w:rPr>
          <w:rFonts w:cs="Helvetica"/>
          <w:color w:val="595959"/>
        </w:rPr>
        <w:t>F</w:t>
      </w:r>
      <w:r w:rsidR="004D7928" w:rsidRPr="005360FB">
        <w:rPr>
          <w:rFonts w:cs="Helvetica"/>
          <w:color w:val="595959"/>
        </w:rPr>
        <w:t xml:space="preserve">or the </w:t>
      </w:r>
      <w:r w:rsidRPr="005360FB">
        <w:rPr>
          <w:rFonts w:cs="Helvetica"/>
          <w:color w:val="595959"/>
        </w:rPr>
        <w:t xml:space="preserve">ingot </w:t>
      </w:r>
      <w:r w:rsidRPr="002A519B">
        <w:rPr>
          <w:rFonts w:cs="Helvetica"/>
          <w:color w:val="595959"/>
        </w:rPr>
        <w:t xml:space="preserve">casting </w:t>
      </w:r>
      <w:r w:rsidR="004D7928" w:rsidRPr="002A519B">
        <w:rPr>
          <w:rFonts w:cs="Helvetica"/>
          <w:color w:val="595959"/>
        </w:rPr>
        <w:t xml:space="preserve">unit process, the reference flow has been specified </w:t>
      </w:r>
      <w:r w:rsidRPr="002A519B">
        <w:rPr>
          <w:rFonts w:cs="Helvetica"/>
          <w:color w:val="595959"/>
        </w:rPr>
        <w:t xml:space="preserve">to </w:t>
      </w:r>
      <w:r w:rsidR="004D7928" w:rsidRPr="002A519B">
        <w:rPr>
          <w:rFonts w:cs="Helvetica"/>
          <w:color w:val="595959"/>
        </w:rPr>
        <w:t>exclud</w:t>
      </w:r>
      <w:r w:rsidRPr="002A519B">
        <w:rPr>
          <w:rFonts w:cs="Helvetica"/>
          <w:color w:val="595959"/>
        </w:rPr>
        <w:t>e</w:t>
      </w:r>
      <w:r w:rsidR="004D7928" w:rsidRPr="002A519B">
        <w:rPr>
          <w:rFonts w:cs="Helvetica"/>
          <w:color w:val="595959"/>
        </w:rPr>
        <w:t xml:space="preserve"> the contribution of </w:t>
      </w:r>
      <w:r w:rsidR="0075372D" w:rsidRPr="002A519B">
        <w:rPr>
          <w:rFonts w:cs="Helvetica"/>
          <w:color w:val="595959"/>
        </w:rPr>
        <w:t xml:space="preserve">aluminium scrap </w:t>
      </w:r>
      <w:r w:rsidR="00B469C6" w:rsidRPr="002A519B">
        <w:rPr>
          <w:rFonts w:cs="Helvetica"/>
          <w:color w:val="595959"/>
        </w:rPr>
        <w:t>which is purchased in addition to run-around scrap</w:t>
      </w:r>
      <w:r w:rsidR="009831A3" w:rsidRPr="002A519B">
        <w:rPr>
          <w:rFonts w:cs="Helvetica"/>
          <w:color w:val="595959"/>
        </w:rPr>
        <w:t xml:space="preserve">.  </w:t>
      </w:r>
      <w:r w:rsidR="005360FB" w:rsidRPr="002A519B">
        <w:rPr>
          <w:rFonts w:cs="Helvetica"/>
          <w:color w:val="595959"/>
        </w:rPr>
        <w:t>T</w:t>
      </w:r>
      <w:r w:rsidR="00413EF2" w:rsidRPr="002A519B">
        <w:rPr>
          <w:rFonts w:cs="Helvetica"/>
          <w:color w:val="595959"/>
        </w:rPr>
        <w:t>he overall average from the s</w:t>
      </w:r>
      <w:r w:rsidR="004D7928" w:rsidRPr="002A519B">
        <w:rPr>
          <w:rFonts w:cs="Helvetica"/>
          <w:color w:val="595959"/>
        </w:rPr>
        <w:t xml:space="preserve">urvey results for the </w:t>
      </w:r>
      <w:r w:rsidRPr="002A519B">
        <w:rPr>
          <w:rFonts w:cs="Helvetica"/>
          <w:color w:val="595959"/>
        </w:rPr>
        <w:t xml:space="preserve">ingot casting </w:t>
      </w:r>
      <w:r w:rsidR="004D7928" w:rsidRPr="002A519B">
        <w:rPr>
          <w:rFonts w:cs="Helvetica"/>
          <w:color w:val="595959"/>
        </w:rPr>
        <w:t xml:space="preserve">process </w:t>
      </w:r>
      <w:r w:rsidR="005360FB" w:rsidRPr="002A519B">
        <w:rPr>
          <w:rFonts w:cs="Helvetica"/>
          <w:color w:val="595959"/>
        </w:rPr>
        <w:t xml:space="preserve">therefore </w:t>
      </w:r>
      <w:r w:rsidR="004D7928" w:rsidRPr="002A519B">
        <w:rPr>
          <w:rFonts w:cs="Helvetica"/>
          <w:color w:val="595959"/>
        </w:rPr>
        <w:t>yield</w:t>
      </w:r>
      <w:r w:rsidR="005764BA" w:rsidRPr="002A519B">
        <w:rPr>
          <w:rFonts w:cs="Helvetica"/>
          <w:color w:val="595959"/>
        </w:rPr>
        <w:t>s</w:t>
      </w:r>
      <w:r w:rsidR="004D7928" w:rsidRPr="002A519B">
        <w:rPr>
          <w:rFonts w:cs="Helvetica"/>
          <w:color w:val="595959"/>
        </w:rPr>
        <w:t xml:space="preserve"> a higher </w:t>
      </w:r>
      <w:r w:rsidR="005764BA" w:rsidRPr="002A519B">
        <w:rPr>
          <w:rFonts w:cs="Helvetica"/>
          <w:color w:val="595959"/>
        </w:rPr>
        <w:t xml:space="preserve">mass </w:t>
      </w:r>
      <w:r w:rsidR="004D7928" w:rsidRPr="002A519B">
        <w:rPr>
          <w:rFonts w:cs="Helvetica"/>
          <w:color w:val="595959"/>
        </w:rPr>
        <w:t>output (1</w:t>
      </w:r>
      <w:r w:rsidR="00413EF2" w:rsidRPr="002A519B">
        <w:rPr>
          <w:rFonts w:cs="Helvetica"/>
          <w:color w:val="595959"/>
        </w:rPr>
        <w:t>,</w:t>
      </w:r>
      <w:r w:rsidR="00CE632A" w:rsidRPr="002A519B">
        <w:rPr>
          <w:rFonts w:cs="Helvetica"/>
          <w:color w:val="595959"/>
        </w:rPr>
        <w:t>03</w:t>
      </w:r>
      <w:r w:rsidR="00C14496" w:rsidRPr="002A519B">
        <w:rPr>
          <w:rFonts w:cs="Helvetica"/>
          <w:color w:val="595959"/>
        </w:rPr>
        <w:t>0</w:t>
      </w:r>
      <w:r w:rsidR="002966E0" w:rsidRPr="002A519B">
        <w:rPr>
          <w:rFonts w:cs="Helvetica"/>
          <w:color w:val="595959"/>
        </w:rPr>
        <w:t xml:space="preserve"> </w:t>
      </w:r>
      <w:r w:rsidR="004D7928" w:rsidRPr="002A519B">
        <w:rPr>
          <w:rFonts w:cs="Helvetica"/>
          <w:color w:val="595959"/>
        </w:rPr>
        <w:t>kg) than the corresponding electrolysis metal input (9</w:t>
      </w:r>
      <w:r w:rsidR="00C14496" w:rsidRPr="002A519B">
        <w:rPr>
          <w:rFonts w:cs="Helvetica"/>
          <w:color w:val="595959"/>
        </w:rPr>
        <w:t>42</w:t>
      </w:r>
      <w:r w:rsidR="004D7928" w:rsidRPr="002A519B">
        <w:rPr>
          <w:rFonts w:cs="Helvetica"/>
          <w:color w:val="595959"/>
        </w:rPr>
        <w:t xml:space="preserve"> kg), due to a “cold metal” contribution from remelt (</w:t>
      </w:r>
      <w:r w:rsidR="00C14496" w:rsidRPr="002A519B">
        <w:rPr>
          <w:rFonts w:cs="Helvetica"/>
          <w:color w:val="595959"/>
        </w:rPr>
        <w:t>51</w:t>
      </w:r>
      <w:r w:rsidR="004D7928" w:rsidRPr="002A519B">
        <w:rPr>
          <w:rFonts w:cs="Helvetica"/>
          <w:color w:val="595959"/>
        </w:rPr>
        <w:t xml:space="preserve"> kg remelt ingot) and recycled (2</w:t>
      </w:r>
      <w:r w:rsidR="00644A55" w:rsidRPr="002A519B">
        <w:rPr>
          <w:rFonts w:cs="Helvetica"/>
          <w:color w:val="595959"/>
        </w:rPr>
        <w:t>2</w:t>
      </w:r>
      <w:r w:rsidR="004D7928" w:rsidRPr="002A519B">
        <w:rPr>
          <w:rFonts w:cs="Helvetica"/>
          <w:color w:val="595959"/>
        </w:rPr>
        <w:t xml:space="preserve"> kg external scrap)</w:t>
      </w:r>
      <w:r w:rsidR="005764BA" w:rsidRPr="002A519B">
        <w:rPr>
          <w:rFonts w:cs="Helvetica"/>
          <w:color w:val="595959"/>
        </w:rPr>
        <w:t xml:space="preserve"> aluminium</w:t>
      </w:r>
      <w:r w:rsidR="009831A3" w:rsidRPr="002A519B">
        <w:rPr>
          <w:rFonts w:cs="Helvetica"/>
          <w:color w:val="595959"/>
        </w:rPr>
        <w:t xml:space="preserve">.  </w:t>
      </w:r>
      <w:r w:rsidRPr="002A519B">
        <w:rPr>
          <w:rFonts w:cs="Helvetica"/>
          <w:color w:val="595959"/>
        </w:rPr>
        <w:t xml:space="preserve">This cold metal contribution </w:t>
      </w:r>
      <w:r w:rsidR="005764BA" w:rsidRPr="002A519B">
        <w:rPr>
          <w:rFonts w:cs="Helvetica"/>
          <w:color w:val="595959"/>
        </w:rPr>
        <w:t>i</w:t>
      </w:r>
      <w:r w:rsidRPr="002A519B">
        <w:rPr>
          <w:rFonts w:cs="Helvetica"/>
          <w:color w:val="595959"/>
        </w:rPr>
        <w:t>s excluded by adjusting</w:t>
      </w:r>
      <w:r w:rsidR="004D7928" w:rsidRPr="002A519B">
        <w:rPr>
          <w:rFonts w:cs="Helvetica"/>
          <w:color w:val="595959"/>
        </w:rPr>
        <w:t xml:space="preserve"> all inputs and outputs from the survey average by a factor of 0.</w:t>
      </w:r>
      <w:r w:rsidR="00B17BB5" w:rsidRPr="002A519B">
        <w:rPr>
          <w:rFonts w:cs="Helvetica"/>
          <w:color w:val="595959"/>
        </w:rPr>
        <w:t>9</w:t>
      </w:r>
      <w:r w:rsidR="002A519B" w:rsidRPr="002A519B">
        <w:rPr>
          <w:rFonts w:cs="Helvetica"/>
          <w:color w:val="595959"/>
        </w:rPr>
        <w:t>3</w:t>
      </w:r>
      <w:r w:rsidR="005764BA" w:rsidRPr="002A519B">
        <w:rPr>
          <w:rFonts w:cs="Helvetica"/>
          <w:color w:val="595959"/>
        </w:rPr>
        <w:t>, calculated as follows</w:t>
      </w:r>
      <w:r w:rsidRPr="002A519B">
        <w:rPr>
          <w:rFonts w:cs="Helvetica"/>
          <w:color w:val="595959"/>
        </w:rPr>
        <w:t>:</w:t>
      </w:r>
    </w:p>
    <w:p w14:paraId="0605F089" w14:textId="77777777" w:rsidR="00AA757B" w:rsidRPr="009C0A08" w:rsidRDefault="00AA757B" w:rsidP="00B86E2D">
      <w:pPr>
        <w:tabs>
          <w:tab w:val="left" w:pos="-1440"/>
          <w:tab w:val="left" w:pos="-720"/>
        </w:tabs>
        <w:spacing w:after="0" w:line="312" w:lineRule="auto"/>
        <w:jc w:val="both"/>
        <w:rPr>
          <w:rFonts w:cs="Helvetica"/>
          <w:color w:val="595959"/>
        </w:rPr>
      </w:pPr>
    </w:p>
    <w:p w14:paraId="2CE966E7" w14:textId="5AFCE7CB" w:rsidR="004D7928" w:rsidRDefault="00413EF2" w:rsidP="001A5B9F">
      <w:pPr>
        <w:pBdr>
          <w:top w:val="single" w:sz="4" w:space="4" w:color="auto"/>
          <w:left w:val="single" w:sz="4" w:space="4" w:color="auto"/>
          <w:bottom w:val="single" w:sz="4" w:space="4" w:color="auto"/>
          <w:right w:val="single" w:sz="4" w:space="4" w:color="auto"/>
        </w:pBdr>
        <w:tabs>
          <w:tab w:val="left" w:pos="-1440"/>
          <w:tab w:val="left" w:pos="-720"/>
        </w:tabs>
        <w:spacing w:after="0"/>
        <w:jc w:val="center"/>
        <w:rPr>
          <w:rFonts w:cs="Helvetica"/>
          <w:color w:val="595959"/>
        </w:rPr>
      </w:pPr>
      <w:r w:rsidRPr="009C0A08">
        <w:rPr>
          <w:rFonts w:cs="Helvetica"/>
          <w:color w:val="595959"/>
        </w:rPr>
        <w:t>(electrolysis meta</w:t>
      </w:r>
      <w:r w:rsidR="004D7928" w:rsidRPr="009C0A08">
        <w:rPr>
          <w:rFonts w:cs="Helvetica"/>
          <w:color w:val="595959"/>
        </w:rPr>
        <w:t>l</w:t>
      </w:r>
      <w:r w:rsidRPr="009C0A08">
        <w:rPr>
          <w:rFonts w:cs="Helvetica"/>
          <w:color w:val="595959"/>
        </w:rPr>
        <w:t xml:space="preserve"> </w:t>
      </w:r>
      <w:r w:rsidR="004D7928" w:rsidRPr="009C0A08">
        <w:rPr>
          <w:rFonts w:cs="Helvetica"/>
          <w:color w:val="595959"/>
        </w:rPr>
        <w:t>+ alloy additives)</w:t>
      </w:r>
      <w:r w:rsidR="00EF54EF">
        <w:rPr>
          <w:rFonts w:cs="Helvetica"/>
          <w:color w:val="595959"/>
        </w:rPr>
        <w:t xml:space="preserve"> </w:t>
      </w:r>
      <w:r w:rsidR="00117712" w:rsidRPr="009C0A08">
        <w:rPr>
          <w:rFonts w:cs="Helvetica"/>
          <w:color w:val="595959"/>
        </w:rPr>
        <w:t>/ (</w:t>
      </w:r>
      <w:r w:rsidR="004D7928" w:rsidRPr="009C0A08">
        <w:rPr>
          <w:rFonts w:cs="Helvetica"/>
          <w:color w:val="595959"/>
        </w:rPr>
        <w:t xml:space="preserve">total metal input </w:t>
      </w:r>
      <w:r w:rsidR="00AA757B" w:rsidRPr="009C0A08">
        <w:rPr>
          <w:rFonts w:cs="Helvetica"/>
          <w:color w:val="595959"/>
        </w:rPr>
        <w:t>– scrap output sold</w:t>
      </w:r>
      <w:r w:rsidR="004D7928" w:rsidRPr="009C0A08">
        <w:rPr>
          <w:rFonts w:cs="Helvetica"/>
          <w:color w:val="595959"/>
        </w:rPr>
        <w:t>)</w:t>
      </w:r>
    </w:p>
    <w:p w14:paraId="467B5F42" w14:textId="09E5FA9D" w:rsidR="00EF54EF" w:rsidRDefault="00EF54EF" w:rsidP="001A5B9F">
      <w:pPr>
        <w:pBdr>
          <w:top w:val="single" w:sz="4" w:space="4" w:color="auto"/>
          <w:left w:val="single" w:sz="4" w:space="4" w:color="auto"/>
          <w:bottom w:val="single" w:sz="4" w:space="4" w:color="auto"/>
          <w:right w:val="single" w:sz="4" w:space="4" w:color="auto"/>
        </w:pBdr>
        <w:tabs>
          <w:tab w:val="left" w:pos="-1440"/>
          <w:tab w:val="left" w:pos="-720"/>
        </w:tabs>
        <w:spacing w:after="0"/>
        <w:jc w:val="center"/>
        <w:rPr>
          <w:rFonts w:cs="Helvetica"/>
          <w:color w:val="595959"/>
        </w:rPr>
      </w:pPr>
    </w:p>
    <w:p w14:paraId="56CC0C5C" w14:textId="107DF990" w:rsidR="00EF54EF" w:rsidRPr="009C0A08" w:rsidRDefault="00EF54EF" w:rsidP="001A5B9F">
      <w:pPr>
        <w:pBdr>
          <w:top w:val="single" w:sz="4" w:space="4" w:color="auto"/>
          <w:left w:val="single" w:sz="4" w:space="4" w:color="auto"/>
          <w:bottom w:val="single" w:sz="4" w:space="4" w:color="auto"/>
          <w:right w:val="single" w:sz="4" w:space="4" w:color="auto"/>
        </w:pBdr>
        <w:tabs>
          <w:tab w:val="left" w:pos="-1440"/>
          <w:tab w:val="left" w:pos="-720"/>
        </w:tabs>
        <w:spacing w:after="0"/>
        <w:jc w:val="center"/>
        <w:rPr>
          <w:rFonts w:cs="Helvetica"/>
          <w:color w:val="595959"/>
        </w:rPr>
      </w:pPr>
      <w:r w:rsidRPr="009C0A08">
        <w:rPr>
          <w:rFonts w:cs="Helvetica"/>
          <w:color w:val="595959"/>
        </w:rPr>
        <w:t>(</w:t>
      </w:r>
      <w:r w:rsidR="00B17BB5">
        <w:rPr>
          <w:rFonts w:cs="Helvetica"/>
          <w:color w:val="595959"/>
        </w:rPr>
        <w:t>9</w:t>
      </w:r>
      <w:r w:rsidR="00C14496">
        <w:rPr>
          <w:rFonts w:cs="Helvetica"/>
          <w:color w:val="595959"/>
        </w:rPr>
        <w:t>42</w:t>
      </w:r>
      <w:r w:rsidRPr="009C0A08">
        <w:rPr>
          <w:rFonts w:cs="Helvetica"/>
          <w:color w:val="595959"/>
        </w:rPr>
        <w:t xml:space="preserve"> kg</w:t>
      </w:r>
      <w:r w:rsidR="00B17BB5">
        <w:rPr>
          <w:rFonts w:cs="Helvetica"/>
          <w:color w:val="595959"/>
        </w:rPr>
        <w:t xml:space="preserve"> +</w:t>
      </w:r>
      <w:r w:rsidR="00D3005F">
        <w:rPr>
          <w:rFonts w:cs="Helvetica"/>
          <w:color w:val="595959"/>
        </w:rPr>
        <w:t xml:space="preserve"> 14 kg</w:t>
      </w:r>
      <w:r w:rsidRPr="009C0A08">
        <w:rPr>
          <w:rFonts w:cs="Helvetica"/>
          <w:color w:val="595959"/>
        </w:rPr>
        <w:t>)</w:t>
      </w:r>
      <w:r>
        <w:rPr>
          <w:rFonts w:cs="Helvetica"/>
          <w:color w:val="595959"/>
        </w:rPr>
        <w:t xml:space="preserve"> </w:t>
      </w:r>
      <w:r w:rsidRPr="009C0A08">
        <w:rPr>
          <w:rFonts w:cs="Helvetica"/>
          <w:color w:val="595959"/>
        </w:rPr>
        <w:t>/ (1,</w:t>
      </w:r>
      <w:r w:rsidR="00F91049">
        <w:rPr>
          <w:rFonts w:cs="Helvetica"/>
          <w:color w:val="595959"/>
        </w:rPr>
        <w:t>03</w:t>
      </w:r>
      <w:r w:rsidR="00C14496">
        <w:rPr>
          <w:rFonts w:cs="Helvetica"/>
          <w:color w:val="595959"/>
        </w:rPr>
        <w:t>0</w:t>
      </w:r>
      <w:r w:rsidRPr="009C0A08">
        <w:rPr>
          <w:rFonts w:cs="Helvetica"/>
          <w:color w:val="595959"/>
        </w:rPr>
        <w:t xml:space="preserve"> kg – </w:t>
      </w:r>
      <w:r w:rsidR="001279E1">
        <w:rPr>
          <w:rFonts w:cs="Helvetica"/>
          <w:color w:val="595959"/>
        </w:rPr>
        <w:t>1</w:t>
      </w:r>
      <w:r w:rsidRPr="009C0A08">
        <w:rPr>
          <w:rFonts w:cs="Helvetica"/>
          <w:color w:val="595959"/>
        </w:rPr>
        <w:t xml:space="preserve"> kg) = 0.</w:t>
      </w:r>
      <w:r w:rsidR="00FE35B5">
        <w:rPr>
          <w:rFonts w:cs="Helvetica"/>
          <w:color w:val="595959"/>
        </w:rPr>
        <w:t>9</w:t>
      </w:r>
      <w:r w:rsidR="00C14496">
        <w:rPr>
          <w:rFonts w:cs="Helvetica"/>
          <w:color w:val="595959"/>
        </w:rPr>
        <w:t>3</w:t>
      </w:r>
    </w:p>
    <w:p w14:paraId="111D6910" w14:textId="77777777" w:rsidR="004D7928" w:rsidRPr="005564C3" w:rsidRDefault="004D7928" w:rsidP="00B86E2D">
      <w:pPr>
        <w:tabs>
          <w:tab w:val="left" w:pos="-1440"/>
          <w:tab w:val="left" w:pos="-720"/>
        </w:tabs>
        <w:spacing w:after="0" w:line="312" w:lineRule="auto"/>
        <w:jc w:val="both"/>
        <w:rPr>
          <w:rFonts w:cs="Helvetica"/>
          <w:color w:val="595959"/>
          <w:highlight w:val="yellow"/>
        </w:rPr>
      </w:pPr>
    </w:p>
    <w:p w14:paraId="305446AE" w14:textId="43EAEB0F" w:rsidR="00DF4B9D" w:rsidRDefault="00DF4B9D" w:rsidP="00935A71">
      <w:pPr>
        <w:tabs>
          <w:tab w:val="left" w:pos="-1440"/>
          <w:tab w:val="left" w:pos="-720"/>
        </w:tabs>
        <w:spacing w:after="0" w:line="312" w:lineRule="auto"/>
        <w:jc w:val="both"/>
        <w:rPr>
          <w:rFonts w:cs="Helvetica"/>
          <w:color w:val="595959"/>
        </w:rPr>
      </w:pPr>
      <w:r>
        <w:rPr>
          <w:rFonts w:cs="Helvetica"/>
          <w:color w:val="595959"/>
        </w:rPr>
        <w:t>In line with</w:t>
      </w:r>
      <w:r w:rsidR="004D7928" w:rsidRPr="006B3CF0">
        <w:rPr>
          <w:rFonts w:cs="Helvetica"/>
          <w:color w:val="595959"/>
        </w:rPr>
        <w:t xml:space="preserve"> the ISO </w:t>
      </w:r>
      <w:r w:rsidR="00053D90" w:rsidRPr="006B3CF0">
        <w:rPr>
          <w:rFonts w:cs="Helvetica"/>
          <w:color w:val="595959"/>
        </w:rPr>
        <w:t xml:space="preserve">standards </w:t>
      </w:r>
      <w:r w:rsidR="004D7928" w:rsidRPr="006B3CF0">
        <w:rPr>
          <w:rFonts w:cs="Helvetica"/>
          <w:color w:val="595959"/>
        </w:rPr>
        <w:t>on LCA</w:t>
      </w:r>
      <w:r w:rsidR="00935A71">
        <w:rPr>
          <w:rFonts w:cs="Helvetica"/>
          <w:color w:val="595959"/>
        </w:rPr>
        <w:t xml:space="preserve"> </w:t>
      </w:r>
      <w:r w:rsidR="00935A71" w:rsidRPr="006B3CF0">
        <w:rPr>
          <w:rFonts w:cs="Helvetica"/>
          <w:color w:val="595959"/>
        </w:rPr>
        <w:t>(14040 and 14044)</w:t>
      </w:r>
      <w:r w:rsidR="004D7928" w:rsidRPr="006B3CF0">
        <w:rPr>
          <w:rFonts w:cs="Helvetica"/>
          <w:color w:val="595959"/>
        </w:rPr>
        <w:t>, a mass allocation approach is applied</w:t>
      </w:r>
      <w:r>
        <w:rPr>
          <w:rFonts w:cs="Helvetica"/>
          <w:color w:val="595959"/>
        </w:rPr>
        <w:t xml:space="preserve"> to the</w:t>
      </w:r>
      <w:r w:rsidR="00FC05E2">
        <w:rPr>
          <w:rFonts w:cs="Helvetica"/>
          <w:color w:val="595959"/>
        </w:rPr>
        <w:t xml:space="preserve"> data reported for the</w:t>
      </w:r>
      <w:r>
        <w:rPr>
          <w:rFonts w:cs="Helvetica"/>
          <w:color w:val="595959"/>
        </w:rPr>
        <w:t xml:space="preserve"> ingot casting process whereby the inputs and outputs are multiplied by 0.</w:t>
      </w:r>
      <w:r w:rsidR="00FE35B5">
        <w:rPr>
          <w:rFonts w:cs="Helvetica"/>
          <w:color w:val="595959"/>
        </w:rPr>
        <w:t>9</w:t>
      </w:r>
      <w:r w:rsidR="00C14496">
        <w:rPr>
          <w:rFonts w:cs="Helvetica"/>
          <w:color w:val="595959"/>
        </w:rPr>
        <w:t>3</w:t>
      </w:r>
      <w:r w:rsidR="004D7928" w:rsidRPr="006B3CF0">
        <w:rPr>
          <w:rFonts w:cs="Helvetica"/>
          <w:color w:val="595959"/>
        </w:rPr>
        <w:t>.</w:t>
      </w:r>
      <w:r>
        <w:rPr>
          <w:rFonts w:cs="Helvetica"/>
          <w:color w:val="595959"/>
        </w:rPr>
        <w:t xml:space="preserve"> </w:t>
      </w:r>
    </w:p>
    <w:p w14:paraId="2C286012" w14:textId="77777777" w:rsidR="00DF4B9D" w:rsidRDefault="00DF4B9D" w:rsidP="00935A71">
      <w:pPr>
        <w:tabs>
          <w:tab w:val="left" w:pos="-1440"/>
          <w:tab w:val="left" w:pos="-720"/>
        </w:tabs>
        <w:spacing w:after="0" w:line="312" w:lineRule="auto"/>
        <w:jc w:val="both"/>
        <w:rPr>
          <w:rFonts w:cs="Helvetica"/>
          <w:color w:val="595959"/>
        </w:rPr>
      </w:pPr>
    </w:p>
    <w:p w14:paraId="23FA6ABB" w14:textId="4E231911" w:rsidR="006E4797" w:rsidRPr="002A519B" w:rsidRDefault="001C3EA1" w:rsidP="00935A71">
      <w:pPr>
        <w:tabs>
          <w:tab w:val="left" w:pos="-1440"/>
          <w:tab w:val="left" w:pos="-720"/>
        </w:tabs>
        <w:spacing w:after="0" w:line="312" w:lineRule="auto"/>
        <w:jc w:val="both"/>
        <w:rPr>
          <w:rFonts w:cs="Helvetica"/>
          <w:color w:val="595959"/>
        </w:rPr>
      </w:pPr>
      <w:r>
        <w:rPr>
          <w:rFonts w:cs="Helvetica"/>
          <w:color w:val="595959"/>
        </w:rPr>
        <w:t>There are no significant co</w:t>
      </w:r>
      <w:r w:rsidR="00FC05E2">
        <w:rPr>
          <w:rFonts w:cs="Helvetica"/>
          <w:color w:val="595959"/>
        </w:rPr>
        <w:t>-</w:t>
      </w:r>
      <w:r>
        <w:rPr>
          <w:rFonts w:cs="Helvetica"/>
          <w:color w:val="595959"/>
        </w:rPr>
        <w:t xml:space="preserve">products associated with the unit processes outlined for aluminium production. </w:t>
      </w:r>
      <w:r w:rsidR="00EF54EF">
        <w:rPr>
          <w:rFonts w:cs="Helvetica"/>
          <w:color w:val="595959"/>
        </w:rPr>
        <w:t xml:space="preserve"> </w:t>
      </w:r>
      <w:r>
        <w:rPr>
          <w:rFonts w:cs="Helvetica"/>
          <w:color w:val="595959"/>
        </w:rPr>
        <w:t>However, a</w:t>
      </w:r>
      <w:r w:rsidR="00DF4B9D">
        <w:rPr>
          <w:rFonts w:cs="Helvetica"/>
          <w:color w:val="595959"/>
        </w:rPr>
        <w:t xml:space="preserve"> number of alumina refineries </w:t>
      </w:r>
      <w:r>
        <w:rPr>
          <w:rFonts w:cs="Helvetica"/>
          <w:color w:val="595959"/>
        </w:rPr>
        <w:t xml:space="preserve">do </w:t>
      </w:r>
      <w:r w:rsidR="00DF4B9D">
        <w:rPr>
          <w:rFonts w:cs="Helvetica"/>
          <w:color w:val="595959"/>
        </w:rPr>
        <w:t>produce a small amount of non-metallurgical grade alumina</w:t>
      </w:r>
      <w:r w:rsidR="00FC05E2">
        <w:rPr>
          <w:rFonts w:cs="Helvetica"/>
          <w:color w:val="595959"/>
        </w:rPr>
        <w:t xml:space="preserve"> (typically &lt;10% production)</w:t>
      </w:r>
      <w:r w:rsidR="00DF4B9D">
        <w:rPr>
          <w:rFonts w:cs="Helvetica"/>
          <w:color w:val="595959"/>
        </w:rPr>
        <w:t xml:space="preserve"> in addition to metallurgical grade alumina. </w:t>
      </w:r>
      <w:r w:rsidR="00EF54EF">
        <w:rPr>
          <w:rFonts w:cs="Helvetica"/>
          <w:color w:val="595959"/>
        </w:rPr>
        <w:t xml:space="preserve"> </w:t>
      </w:r>
      <w:r w:rsidR="00DF4B9D" w:rsidRPr="002A519B">
        <w:rPr>
          <w:rFonts w:cs="Helvetica"/>
          <w:color w:val="595959"/>
        </w:rPr>
        <w:t xml:space="preserve">The input and output data for these processes </w:t>
      </w:r>
      <w:r w:rsidR="0039105E" w:rsidRPr="002A519B">
        <w:rPr>
          <w:rFonts w:cs="Helvetica"/>
          <w:color w:val="595959"/>
        </w:rPr>
        <w:t>are</w:t>
      </w:r>
      <w:r w:rsidR="00DF4B9D" w:rsidRPr="002A519B">
        <w:rPr>
          <w:rFonts w:cs="Helvetica"/>
          <w:color w:val="595959"/>
        </w:rPr>
        <w:t xml:space="preserve"> not separated into two distinct sub processes </w:t>
      </w:r>
      <w:r w:rsidRPr="002A519B">
        <w:rPr>
          <w:rFonts w:cs="Helvetica"/>
          <w:color w:val="595959"/>
        </w:rPr>
        <w:t xml:space="preserve">and as such data reported by these plants </w:t>
      </w:r>
      <w:r w:rsidR="0039105E" w:rsidRPr="002A519B">
        <w:rPr>
          <w:rFonts w:cs="Helvetica"/>
          <w:color w:val="595959"/>
        </w:rPr>
        <w:t xml:space="preserve">are </w:t>
      </w:r>
      <w:r w:rsidRPr="002A519B">
        <w:rPr>
          <w:rFonts w:cs="Helvetica"/>
          <w:color w:val="595959"/>
        </w:rPr>
        <w:t>allocated by mass.</w:t>
      </w:r>
      <w:r>
        <w:rPr>
          <w:rFonts w:cs="Helvetica"/>
          <w:color w:val="595959"/>
        </w:rPr>
        <w:t xml:space="preserve"> </w:t>
      </w:r>
    </w:p>
    <w:p w14:paraId="58DD59C1" w14:textId="77777777" w:rsidR="008B4A9F" w:rsidRDefault="008B4A9F" w:rsidP="00343530">
      <w:pPr>
        <w:tabs>
          <w:tab w:val="left" w:pos="-1440"/>
          <w:tab w:val="left" w:pos="-720"/>
        </w:tabs>
        <w:spacing w:after="0" w:line="312" w:lineRule="auto"/>
        <w:jc w:val="both"/>
        <w:rPr>
          <w:rFonts w:cs="Helvetica"/>
          <w:color w:val="595959"/>
        </w:rPr>
      </w:pPr>
    </w:p>
    <w:p w14:paraId="3EC92871" w14:textId="632FBD46" w:rsidR="008B4A9F" w:rsidRDefault="008B4A9F" w:rsidP="00343530">
      <w:pPr>
        <w:tabs>
          <w:tab w:val="left" w:pos="-1440"/>
          <w:tab w:val="left" w:pos="-720"/>
        </w:tabs>
        <w:spacing w:after="0" w:line="312" w:lineRule="auto"/>
        <w:jc w:val="both"/>
        <w:rPr>
          <w:rFonts w:cs="Helvetica"/>
          <w:color w:val="595959"/>
        </w:rPr>
      </w:pPr>
      <w:r>
        <w:rPr>
          <w:rFonts w:cs="Helvetica"/>
          <w:color w:val="595959"/>
        </w:rPr>
        <w:t>For data on recycling processes and their environmental impacts, please refer to datasets</w:t>
      </w:r>
      <w:r w:rsidR="00A13421">
        <w:rPr>
          <w:rFonts w:cs="Helvetica"/>
          <w:color w:val="595959"/>
        </w:rPr>
        <w:t xml:space="preserve"> published by regional associations (The </w:t>
      </w:r>
      <w:proofErr w:type="spellStart"/>
      <w:r w:rsidR="00A13421">
        <w:rPr>
          <w:rFonts w:cs="Helvetica"/>
          <w:color w:val="595959"/>
        </w:rPr>
        <w:t>Aluminum</w:t>
      </w:r>
      <w:proofErr w:type="spellEnd"/>
      <w:r w:rsidR="00A13421">
        <w:rPr>
          <w:rFonts w:cs="Helvetica"/>
          <w:color w:val="595959"/>
        </w:rPr>
        <w:t xml:space="preserve"> Association, </w:t>
      </w:r>
      <w:r w:rsidR="00C14496">
        <w:rPr>
          <w:rFonts w:cs="Helvetica"/>
          <w:color w:val="595959"/>
        </w:rPr>
        <w:t>2022</w:t>
      </w:r>
      <w:r w:rsidR="00A13421">
        <w:rPr>
          <w:rFonts w:cs="Helvetica"/>
          <w:color w:val="595959"/>
        </w:rPr>
        <w:t xml:space="preserve">; European Aluminium, </w:t>
      </w:r>
      <w:r w:rsidR="00C14496">
        <w:rPr>
          <w:rFonts w:cs="Helvetica"/>
          <w:color w:val="595959"/>
        </w:rPr>
        <w:t>2018</w:t>
      </w:r>
      <w:r w:rsidR="00A13421">
        <w:rPr>
          <w:rFonts w:cs="Helvetica"/>
          <w:color w:val="595959"/>
        </w:rPr>
        <w:t>)</w:t>
      </w:r>
      <w:bookmarkStart w:id="35" w:name="__RefHeading__15_1147413177"/>
      <w:bookmarkStart w:id="36" w:name="__RefHeading__17_1147413177"/>
      <w:bookmarkStart w:id="37" w:name="__RefHeading__19_1147413177"/>
      <w:bookmarkStart w:id="38" w:name="_Toc363829095"/>
      <w:bookmarkStart w:id="39" w:name="_Toc355003530"/>
      <w:bookmarkEnd w:id="35"/>
      <w:bookmarkEnd w:id="36"/>
      <w:bookmarkEnd w:id="37"/>
      <w:r w:rsidR="009831A3">
        <w:rPr>
          <w:rFonts w:cs="Helvetica"/>
          <w:color w:val="595959"/>
        </w:rPr>
        <w:t xml:space="preserve">.  </w:t>
      </w:r>
    </w:p>
    <w:p w14:paraId="397D1241" w14:textId="77777777" w:rsidR="00634F72" w:rsidRDefault="00634F72" w:rsidP="00343530">
      <w:pPr>
        <w:tabs>
          <w:tab w:val="left" w:pos="-1440"/>
          <w:tab w:val="left" w:pos="-720"/>
        </w:tabs>
        <w:spacing w:after="0" w:line="312" w:lineRule="auto"/>
        <w:jc w:val="both"/>
        <w:rPr>
          <w:rFonts w:eastAsia="Times New Roman" w:cs="Helvetica"/>
          <w:b/>
          <w:bCs/>
          <w:iCs/>
          <w:color w:val="595959"/>
          <w:kern w:val="32"/>
          <w:sz w:val="22"/>
          <w:szCs w:val="22"/>
        </w:rPr>
      </w:pPr>
    </w:p>
    <w:p w14:paraId="46213D09" w14:textId="77777777" w:rsidR="00EC735A" w:rsidRPr="000D0304" w:rsidRDefault="00315D1B" w:rsidP="00DA5301">
      <w:pPr>
        <w:pStyle w:val="Heading2"/>
      </w:pPr>
      <w:bookmarkStart w:id="40" w:name="_Toc120111915"/>
      <w:r w:rsidRPr="000D0304">
        <w:t xml:space="preserve">Primary </w:t>
      </w:r>
      <w:r w:rsidR="00D02D5D">
        <w:t>A</w:t>
      </w:r>
      <w:r w:rsidRPr="000D0304">
        <w:t xml:space="preserve">luminium </w:t>
      </w:r>
      <w:r w:rsidR="00D02D5D">
        <w:t>P</w:t>
      </w:r>
      <w:r w:rsidRPr="000D0304">
        <w:t xml:space="preserve">roduction </w:t>
      </w:r>
      <w:r w:rsidR="00D02D5D">
        <w:t>M</w:t>
      </w:r>
      <w:r w:rsidRPr="000D0304">
        <w:t xml:space="preserve">ass </w:t>
      </w:r>
      <w:r w:rsidR="00D02D5D">
        <w:t>B</w:t>
      </w:r>
      <w:r w:rsidR="00EC735A" w:rsidRPr="000D0304">
        <w:t>alance</w:t>
      </w:r>
      <w:bookmarkEnd w:id="38"/>
      <w:bookmarkEnd w:id="40"/>
    </w:p>
    <w:p w14:paraId="042F4EC6" w14:textId="77777777" w:rsidR="00EC735A" w:rsidRPr="00AB0792" w:rsidRDefault="00EC735A" w:rsidP="009E11C8">
      <w:pPr>
        <w:pStyle w:val="BodyText"/>
        <w:autoSpaceDE w:val="0"/>
        <w:spacing w:line="312" w:lineRule="auto"/>
        <w:rPr>
          <w:rFonts w:ascii="Helvetica" w:hAnsi="Helvetica" w:cs="Helvetica"/>
          <w:color w:val="595959"/>
          <w:sz w:val="20"/>
          <w:szCs w:val="24"/>
        </w:rPr>
      </w:pPr>
      <w:r w:rsidRPr="00AB0792">
        <w:rPr>
          <w:rFonts w:ascii="Helvetica" w:hAnsi="Helvetica" w:cs="Helvetica"/>
          <w:color w:val="595959"/>
          <w:sz w:val="20"/>
          <w:szCs w:val="24"/>
        </w:rPr>
        <w:t xml:space="preserve">This section describes the main component distribution of the </w:t>
      </w:r>
      <w:r w:rsidR="008B4A9F">
        <w:rPr>
          <w:rFonts w:ascii="Helvetica" w:hAnsi="Helvetica" w:cs="Helvetica"/>
          <w:color w:val="595959"/>
          <w:sz w:val="20"/>
          <w:szCs w:val="24"/>
        </w:rPr>
        <w:t xml:space="preserve">global </w:t>
      </w:r>
      <w:r w:rsidRPr="00AB0792">
        <w:rPr>
          <w:rFonts w:ascii="Helvetica" w:hAnsi="Helvetica" w:cs="Helvetica"/>
          <w:color w:val="595959"/>
          <w:sz w:val="20"/>
          <w:szCs w:val="24"/>
        </w:rPr>
        <w:t xml:space="preserve">mass flow to 1,000 kg primary aluminium output from </w:t>
      </w:r>
      <w:r w:rsidR="008B4A9F">
        <w:rPr>
          <w:rFonts w:ascii="Helvetica" w:hAnsi="Helvetica" w:cs="Helvetica"/>
          <w:color w:val="595959"/>
          <w:sz w:val="20"/>
          <w:szCs w:val="24"/>
        </w:rPr>
        <w:t>extraction</w:t>
      </w:r>
      <w:r w:rsidR="008B4A9F" w:rsidRPr="008B4A9F">
        <w:rPr>
          <w:rFonts w:ascii="Helvetica" w:hAnsi="Helvetica" w:cs="Helvetica"/>
          <w:color w:val="595959"/>
          <w:sz w:val="20"/>
          <w:szCs w:val="24"/>
        </w:rPr>
        <w:t xml:space="preserve"> </w:t>
      </w:r>
      <w:r w:rsidR="008B4A9F">
        <w:rPr>
          <w:rFonts w:ascii="Helvetica" w:hAnsi="Helvetica" w:cs="Helvetica"/>
          <w:color w:val="595959"/>
          <w:sz w:val="20"/>
          <w:szCs w:val="24"/>
        </w:rPr>
        <w:t xml:space="preserve">of </w:t>
      </w:r>
      <w:r w:rsidR="00117712">
        <w:rPr>
          <w:rFonts w:ascii="Helvetica" w:hAnsi="Helvetica" w:cs="Helvetica"/>
          <w:color w:val="595959"/>
          <w:sz w:val="20"/>
          <w:szCs w:val="24"/>
        </w:rPr>
        <w:t>bauxite.</w:t>
      </w:r>
    </w:p>
    <w:p w14:paraId="25EDC6DE" w14:textId="77777777" w:rsidR="00EC735A" w:rsidRPr="005564C3" w:rsidRDefault="00EC735A" w:rsidP="009E11C8">
      <w:pPr>
        <w:autoSpaceDE w:val="0"/>
        <w:spacing w:after="0" w:line="312" w:lineRule="auto"/>
        <w:jc w:val="both"/>
        <w:rPr>
          <w:rFonts w:cs="Helvetica"/>
          <w:color w:val="595959"/>
          <w:highlight w:val="yellow"/>
        </w:rPr>
      </w:pPr>
    </w:p>
    <w:p w14:paraId="2DF2EA52" w14:textId="72F1538C" w:rsidR="00EC735A" w:rsidRPr="004704C8" w:rsidRDefault="004B5F28" w:rsidP="009E11C8">
      <w:pPr>
        <w:pStyle w:val="BodyText"/>
        <w:autoSpaceDE w:val="0"/>
        <w:spacing w:line="312" w:lineRule="auto"/>
        <w:rPr>
          <w:rFonts w:ascii="Helvetica" w:hAnsi="Helvetica" w:cs="Helvetica"/>
          <w:color w:val="595959"/>
          <w:sz w:val="20"/>
          <w:szCs w:val="24"/>
        </w:rPr>
      </w:pPr>
      <w:r>
        <w:rPr>
          <w:rFonts w:ascii="Helvetica" w:hAnsi="Helvetica" w:cs="Helvetica"/>
          <w:color w:val="595959"/>
          <w:sz w:val="20"/>
          <w:szCs w:val="24"/>
        </w:rPr>
        <w:t xml:space="preserve">Global </w:t>
      </w:r>
      <w:r w:rsidRPr="00E04AA6">
        <w:rPr>
          <w:rFonts w:ascii="Helvetica" w:hAnsi="Helvetica" w:cs="Helvetica"/>
          <w:color w:val="595959"/>
          <w:sz w:val="20"/>
          <w:szCs w:val="24"/>
        </w:rPr>
        <w:t xml:space="preserve">average input mass </w:t>
      </w:r>
      <w:r>
        <w:rPr>
          <w:rFonts w:ascii="Helvetica" w:hAnsi="Helvetica" w:cs="Helvetica"/>
          <w:color w:val="595959"/>
          <w:sz w:val="20"/>
          <w:szCs w:val="24"/>
        </w:rPr>
        <w:t xml:space="preserve">of bauxite </w:t>
      </w:r>
      <w:r w:rsidRPr="00E04AA6">
        <w:rPr>
          <w:rFonts w:ascii="Helvetica" w:hAnsi="Helvetica" w:cs="Helvetica"/>
          <w:color w:val="595959"/>
          <w:sz w:val="20"/>
          <w:szCs w:val="24"/>
        </w:rPr>
        <w:t>for production of alumina (aluminium oxide)</w:t>
      </w:r>
      <w:r>
        <w:rPr>
          <w:rFonts w:ascii="Helvetica" w:hAnsi="Helvetica" w:cs="Helvetica"/>
          <w:color w:val="595959"/>
          <w:sz w:val="20"/>
          <w:szCs w:val="24"/>
        </w:rPr>
        <w:t xml:space="preserve"> is </w:t>
      </w:r>
      <w:r w:rsidR="00B60946">
        <w:rPr>
          <w:rFonts w:ascii="Helvetica" w:hAnsi="Helvetica" w:cs="Helvetica"/>
          <w:color w:val="595959"/>
          <w:sz w:val="20"/>
          <w:szCs w:val="24"/>
        </w:rPr>
        <w:t>2,685</w:t>
      </w:r>
      <w:r w:rsidR="00C14496" w:rsidRPr="00E04AA6">
        <w:rPr>
          <w:rFonts w:ascii="Helvetica" w:hAnsi="Helvetica" w:cs="Helvetica"/>
          <w:color w:val="595959"/>
          <w:sz w:val="20"/>
          <w:szCs w:val="24"/>
        </w:rPr>
        <w:t xml:space="preserve"> </w:t>
      </w:r>
      <w:r w:rsidR="00EC735A" w:rsidRPr="00E04AA6">
        <w:rPr>
          <w:rFonts w:ascii="Helvetica" w:hAnsi="Helvetica" w:cs="Helvetica"/>
          <w:color w:val="595959"/>
          <w:sz w:val="20"/>
          <w:szCs w:val="24"/>
        </w:rPr>
        <w:t>kg</w:t>
      </w:r>
      <w:r w:rsidR="009831A3">
        <w:rPr>
          <w:rFonts w:ascii="Helvetica" w:hAnsi="Helvetica" w:cs="Helvetica"/>
          <w:color w:val="595959"/>
          <w:sz w:val="20"/>
          <w:szCs w:val="24"/>
        </w:rPr>
        <w:t xml:space="preserve">.  </w:t>
      </w:r>
      <w:r w:rsidR="00147435">
        <w:rPr>
          <w:rFonts w:ascii="Helvetica" w:hAnsi="Helvetica" w:cs="Helvetica"/>
          <w:color w:val="595959"/>
          <w:sz w:val="20"/>
          <w:szCs w:val="24"/>
        </w:rPr>
        <w:t>This typically includes a signif</w:t>
      </w:r>
      <w:r w:rsidR="00DD32D8">
        <w:rPr>
          <w:rFonts w:ascii="Helvetica" w:hAnsi="Helvetica" w:cs="Helvetica"/>
          <w:color w:val="595959"/>
          <w:sz w:val="20"/>
          <w:szCs w:val="24"/>
        </w:rPr>
        <w:t>icant water component of around 10-20% (c.</w:t>
      </w:r>
      <w:r w:rsidR="00BA07C1">
        <w:rPr>
          <w:rFonts w:ascii="Helvetica" w:hAnsi="Helvetica" w:cs="Helvetica"/>
          <w:color w:val="595959"/>
          <w:sz w:val="20"/>
          <w:szCs w:val="24"/>
        </w:rPr>
        <w:t>2</w:t>
      </w:r>
      <w:r w:rsidR="00DD32D8">
        <w:rPr>
          <w:rFonts w:ascii="Helvetica" w:hAnsi="Helvetica" w:cs="Helvetica"/>
          <w:color w:val="595959"/>
          <w:sz w:val="20"/>
          <w:szCs w:val="24"/>
        </w:rPr>
        <w:t>00-</w:t>
      </w:r>
      <w:r w:rsidR="00BA07C1">
        <w:rPr>
          <w:rFonts w:ascii="Helvetica" w:hAnsi="Helvetica" w:cs="Helvetica"/>
          <w:color w:val="595959"/>
          <w:sz w:val="20"/>
          <w:szCs w:val="24"/>
        </w:rPr>
        <w:t>5</w:t>
      </w:r>
      <w:r w:rsidR="00DD32D8">
        <w:rPr>
          <w:rFonts w:ascii="Helvetica" w:hAnsi="Helvetica" w:cs="Helvetica"/>
          <w:color w:val="595959"/>
          <w:sz w:val="20"/>
          <w:szCs w:val="24"/>
        </w:rPr>
        <w:t>00</w:t>
      </w:r>
      <w:r w:rsidR="008B4A9F">
        <w:rPr>
          <w:rFonts w:ascii="Helvetica" w:hAnsi="Helvetica" w:cs="Helvetica"/>
          <w:color w:val="595959"/>
          <w:sz w:val="20"/>
          <w:szCs w:val="24"/>
        </w:rPr>
        <w:t xml:space="preserve"> </w:t>
      </w:r>
      <w:r w:rsidR="00DD32D8">
        <w:rPr>
          <w:rFonts w:ascii="Helvetica" w:hAnsi="Helvetica" w:cs="Helvetica"/>
          <w:color w:val="595959"/>
          <w:sz w:val="20"/>
          <w:szCs w:val="24"/>
        </w:rPr>
        <w:t>kg)</w:t>
      </w:r>
      <w:r w:rsidR="009831A3">
        <w:rPr>
          <w:rFonts w:ascii="Helvetica" w:hAnsi="Helvetica" w:cs="Helvetica"/>
          <w:color w:val="595959"/>
          <w:sz w:val="20"/>
          <w:szCs w:val="24"/>
        </w:rPr>
        <w:t xml:space="preserve">.  </w:t>
      </w:r>
      <w:r w:rsidR="00BC62DC">
        <w:rPr>
          <w:rFonts w:ascii="Helvetica" w:hAnsi="Helvetica" w:cs="Helvetica"/>
          <w:color w:val="595959"/>
          <w:sz w:val="20"/>
          <w:szCs w:val="24"/>
        </w:rPr>
        <w:t>Pa</w:t>
      </w:r>
      <w:r w:rsidR="00C0669C">
        <w:rPr>
          <w:rFonts w:ascii="Helvetica" w:hAnsi="Helvetica" w:cs="Helvetica"/>
          <w:color w:val="595959"/>
          <w:sz w:val="20"/>
          <w:szCs w:val="24"/>
        </w:rPr>
        <w:t xml:space="preserve">rt </w:t>
      </w:r>
      <w:r w:rsidR="00EC735A" w:rsidRPr="00E04AA6">
        <w:rPr>
          <w:rFonts w:ascii="Helvetica" w:hAnsi="Helvetica" w:cs="Helvetica"/>
          <w:color w:val="595959"/>
          <w:sz w:val="20"/>
          <w:szCs w:val="24"/>
        </w:rPr>
        <w:t xml:space="preserve">of the bauxite </w:t>
      </w:r>
      <w:r w:rsidR="00BC62DC">
        <w:rPr>
          <w:rFonts w:ascii="Helvetica" w:hAnsi="Helvetica" w:cs="Helvetica"/>
          <w:color w:val="595959"/>
          <w:sz w:val="20"/>
          <w:szCs w:val="24"/>
        </w:rPr>
        <w:t xml:space="preserve">ore </w:t>
      </w:r>
      <w:r w:rsidR="00EC735A" w:rsidRPr="00E04AA6">
        <w:rPr>
          <w:rFonts w:ascii="Helvetica" w:hAnsi="Helvetica" w:cs="Helvetica"/>
          <w:color w:val="595959"/>
          <w:sz w:val="20"/>
          <w:szCs w:val="24"/>
        </w:rPr>
        <w:t>is</w:t>
      </w:r>
      <w:r w:rsidR="00E04AA6">
        <w:rPr>
          <w:rFonts w:ascii="Helvetica" w:hAnsi="Helvetica" w:cs="Helvetica"/>
          <w:color w:val="595959"/>
          <w:sz w:val="20"/>
          <w:szCs w:val="24"/>
        </w:rPr>
        <w:t xml:space="preserve"> de</w:t>
      </w:r>
      <w:r w:rsidR="00EC735A" w:rsidRPr="00E04AA6">
        <w:rPr>
          <w:rFonts w:ascii="Helvetica" w:hAnsi="Helvetica" w:cs="Helvetica"/>
          <w:color w:val="595959"/>
          <w:sz w:val="20"/>
          <w:szCs w:val="24"/>
        </w:rPr>
        <w:t>pos</w:t>
      </w:r>
      <w:r w:rsidR="00E04AA6">
        <w:rPr>
          <w:rFonts w:ascii="Helvetica" w:hAnsi="Helvetica" w:cs="Helvetica"/>
          <w:color w:val="595959"/>
          <w:sz w:val="20"/>
          <w:szCs w:val="24"/>
        </w:rPr>
        <w:t xml:space="preserve">ited </w:t>
      </w:r>
      <w:r w:rsidR="00EC735A" w:rsidRPr="00E04AA6">
        <w:rPr>
          <w:rFonts w:ascii="Helvetica" w:hAnsi="Helvetica" w:cs="Helvetica"/>
          <w:color w:val="595959"/>
          <w:sz w:val="20"/>
          <w:szCs w:val="24"/>
        </w:rPr>
        <w:t>as bauxite residue (</w:t>
      </w:r>
      <w:r w:rsidR="00BA07C1">
        <w:rPr>
          <w:rFonts w:ascii="Helvetica" w:hAnsi="Helvetica" w:cs="Helvetica"/>
          <w:color w:val="595959"/>
          <w:sz w:val="20"/>
          <w:szCs w:val="24"/>
        </w:rPr>
        <w:t>1</w:t>
      </w:r>
      <w:r w:rsidR="00EC735A" w:rsidRPr="00E04AA6">
        <w:rPr>
          <w:rFonts w:ascii="Helvetica" w:hAnsi="Helvetica" w:cs="Helvetica"/>
          <w:color w:val="595959"/>
          <w:sz w:val="20"/>
          <w:szCs w:val="24"/>
        </w:rPr>
        <w:t>,</w:t>
      </w:r>
      <w:r w:rsidR="00BA07C1">
        <w:rPr>
          <w:rFonts w:ascii="Helvetica" w:hAnsi="Helvetica" w:cs="Helvetica"/>
          <w:color w:val="595959"/>
          <w:sz w:val="20"/>
          <w:szCs w:val="24"/>
        </w:rPr>
        <w:t>22</w:t>
      </w:r>
      <w:r w:rsidR="00C14496">
        <w:rPr>
          <w:rFonts w:ascii="Helvetica" w:hAnsi="Helvetica" w:cs="Helvetica"/>
          <w:color w:val="595959"/>
          <w:sz w:val="20"/>
          <w:szCs w:val="24"/>
        </w:rPr>
        <w:t>0</w:t>
      </w:r>
      <w:r w:rsidR="00C14496" w:rsidRPr="00E04AA6">
        <w:rPr>
          <w:rFonts w:ascii="Helvetica" w:hAnsi="Helvetica" w:cs="Helvetica"/>
          <w:color w:val="595959"/>
          <w:sz w:val="20"/>
          <w:szCs w:val="24"/>
        </w:rPr>
        <w:t xml:space="preserve"> </w:t>
      </w:r>
      <w:r w:rsidR="00EC735A" w:rsidRPr="00E04AA6">
        <w:rPr>
          <w:rFonts w:ascii="Helvetica" w:hAnsi="Helvetica" w:cs="Helvetica"/>
          <w:color w:val="595959"/>
          <w:sz w:val="20"/>
          <w:szCs w:val="24"/>
        </w:rPr>
        <w:t>kg) or recycled (</w:t>
      </w:r>
      <w:r w:rsidR="00BA07C1">
        <w:rPr>
          <w:rFonts w:ascii="Helvetica" w:hAnsi="Helvetica" w:cs="Helvetica"/>
          <w:color w:val="595959"/>
          <w:sz w:val="20"/>
          <w:szCs w:val="24"/>
        </w:rPr>
        <w:t>12</w:t>
      </w:r>
      <w:r w:rsidR="00C14496" w:rsidRPr="00E04AA6">
        <w:rPr>
          <w:rFonts w:ascii="Helvetica" w:hAnsi="Helvetica" w:cs="Helvetica"/>
          <w:color w:val="595959"/>
          <w:sz w:val="20"/>
          <w:szCs w:val="24"/>
        </w:rPr>
        <w:t xml:space="preserve"> </w:t>
      </w:r>
      <w:r w:rsidR="00EC735A" w:rsidRPr="00E04AA6">
        <w:rPr>
          <w:rFonts w:ascii="Helvetica" w:hAnsi="Helvetica" w:cs="Helvetica"/>
          <w:color w:val="595959"/>
          <w:sz w:val="20"/>
          <w:szCs w:val="24"/>
        </w:rPr>
        <w:t>kg)</w:t>
      </w:r>
      <w:r w:rsidR="009831A3">
        <w:rPr>
          <w:rFonts w:ascii="Helvetica" w:hAnsi="Helvetica" w:cs="Helvetica"/>
          <w:color w:val="595959"/>
          <w:sz w:val="20"/>
          <w:szCs w:val="24"/>
        </w:rPr>
        <w:t xml:space="preserve">.  </w:t>
      </w:r>
      <w:r w:rsidR="00EC735A" w:rsidRPr="00E04AA6">
        <w:rPr>
          <w:rFonts w:ascii="Helvetica" w:hAnsi="Helvetica" w:cs="Helvetica"/>
          <w:color w:val="595959"/>
          <w:sz w:val="20"/>
          <w:szCs w:val="24"/>
        </w:rPr>
        <w:t xml:space="preserve">The mass of material output from the alumina production process is thus around </w:t>
      </w:r>
      <w:r w:rsidR="00C14496">
        <w:rPr>
          <w:rFonts w:ascii="Helvetica" w:hAnsi="Helvetica" w:cs="Helvetica"/>
          <w:color w:val="595959"/>
          <w:sz w:val="20"/>
          <w:szCs w:val="24"/>
        </w:rPr>
        <w:t>1</w:t>
      </w:r>
      <w:r w:rsidR="008A6526">
        <w:rPr>
          <w:rFonts w:ascii="Helvetica" w:hAnsi="Helvetica" w:cs="Helvetica"/>
          <w:color w:val="595959"/>
          <w:sz w:val="20"/>
          <w:szCs w:val="24"/>
        </w:rPr>
        <w:t>,</w:t>
      </w:r>
      <w:r w:rsidR="00723B8E">
        <w:rPr>
          <w:rFonts w:ascii="Helvetica" w:hAnsi="Helvetica" w:cs="Helvetica"/>
          <w:color w:val="595959"/>
          <w:sz w:val="20"/>
          <w:szCs w:val="24"/>
        </w:rPr>
        <w:t>0</w:t>
      </w:r>
      <w:r w:rsidR="006D202C">
        <w:rPr>
          <w:rFonts w:ascii="Helvetica" w:hAnsi="Helvetica" w:cs="Helvetica"/>
          <w:color w:val="595959"/>
          <w:sz w:val="20"/>
          <w:szCs w:val="24"/>
        </w:rPr>
        <w:t>00</w:t>
      </w:r>
      <w:r w:rsidR="00DD32D8">
        <w:rPr>
          <w:rFonts w:ascii="Helvetica" w:hAnsi="Helvetica" w:cs="Helvetica"/>
          <w:color w:val="595959"/>
          <w:sz w:val="20"/>
          <w:szCs w:val="24"/>
        </w:rPr>
        <w:t>-</w:t>
      </w:r>
      <w:r w:rsidR="00CB5E74">
        <w:rPr>
          <w:rFonts w:ascii="Helvetica" w:hAnsi="Helvetica" w:cs="Helvetica"/>
          <w:color w:val="595959"/>
          <w:sz w:val="20"/>
          <w:szCs w:val="24"/>
        </w:rPr>
        <w:t>1,3</w:t>
      </w:r>
      <w:r w:rsidR="00EC735A" w:rsidRPr="00E04AA6">
        <w:rPr>
          <w:rFonts w:ascii="Helvetica" w:hAnsi="Helvetica" w:cs="Helvetica"/>
          <w:color w:val="595959"/>
          <w:sz w:val="20"/>
          <w:szCs w:val="24"/>
        </w:rPr>
        <w:t>00 kg</w:t>
      </w:r>
      <w:r w:rsidR="008A6526">
        <w:rPr>
          <w:rFonts w:ascii="Helvetica" w:hAnsi="Helvetica" w:cs="Helvetica"/>
          <w:color w:val="595959"/>
          <w:sz w:val="20"/>
          <w:szCs w:val="24"/>
        </w:rPr>
        <w:t>,</w:t>
      </w:r>
      <w:r w:rsidR="00DD32D8">
        <w:rPr>
          <w:rFonts w:ascii="Helvetica" w:hAnsi="Helvetica" w:cs="Helvetica"/>
          <w:color w:val="595959"/>
          <w:sz w:val="20"/>
          <w:szCs w:val="24"/>
        </w:rPr>
        <w:t xml:space="preserve"> depending on moisture content</w:t>
      </w:r>
      <w:r w:rsidR="00504929">
        <w:rPr>
          <w:rFonts w:ascii="Helvetica" w:hAnsi="Helvetica" w:cs="Helvetica"/>
          <w:color w:val="595959"/>
          <w:sz w:val="20"/>
          <w:szCs w:val="24"/>
        </w:rPr>
        <w:t xml:space="preserve"> of the alumina</w:t>
      </w:r>
      <w:r w:rsidR="004704C8" w:rsidRPr="00E04AA6">
        <w:rPr>
          <w:rFonts w:ascii="Helvetica" w:hAnsi="Helvetica" w:cs="Helvetica"/>
          <w:color w:val="595959"/>
          <w:sz w:val="20"/>
          <w:szCs w:val="24"/>
        </w:rPr>
        <w:t>.</w:t>
      </w:r>
    </w:p>
    <w:p w14:paraId="5B14240E" w14:textId="77777777" w:rsidR="00EC735A" w:rsidRPr="005564C3" w:rsidRDefault="00EC735A" w:rsidP="00B86E2D">
      <w:pPr>
        <w:autoSpaceDE w:val="0"/>
        <w:spacing w:after="0" w:line="312" w:lineRule="auto"/>
        <w:jc w:val="both"/>
        <w:rPr>
          <w:rFonts w:cs="Helvetica"/>
          <w:color w:val="595959"/>
          <w:highlight w:val="yellow"/>
        </w:rPr>
      </w:pPr>
    </w:p>
    <w:p w14:paraId="2EB805E1" w14:textId="62D5E616" w:rsidR="00EC735A" w:rsidRPr="004704C8" w:rsidRDefault="00EC735A" w:rsidP="00B86E2D">
      <w:pPr>
        <w:autoSpaceDE w:val="0"/>
        <w:spacing w:after="0" w:line="312" w:lineRule="auto"/>
        <w:jc w:val="both"/>
        <w:rPr>
          <w:rFonts w:cs="Helvetica"/>
          <w:color w:val="595959"/>
        </w:rPr>
      </w:pPr>
      <w:r w:rsidRPr="004704C8">
        <w:rPr>
          <w:rFonts w:cs="Helvetica"/>
          <w:color w:val="595959"/>
        </w:rPr>
        <w:t>Aluminium oxide (alumina) is chemically reduced in the electrolysis process as follows, with a stoichiometric minimum requirement of 1,</w:t>
      </w:r>
      <w:r w:rsidR="002A536D" w:rsidRPr="004704C8">
        <w:rPr>
          <w:rFonts w:cs="Helvetica"/>
          <w:color w:val="595959"/>
        </w:rPr>
        <w:t>8</w:t>
      </w:r>
      <w:r w:rsidR="00C13CC0" w:rsidRPr="004704C8">
        <w:rPr>
          <w:rFonts w:cs="Helvetica"/>
          <w:color w:val="595959"/>
        </w:rPr>
        <w:t>89</w:t>
      </w:r>
      <w:r w:rsidRPr="004704C8">
        <w:rPr>
          <w:rFonts w:cs="Helvetica"/>
          <w:color w:val="595959"/>
        </w:rPr>
        <w:t xml:space="preserve"> kg Al</w:t>
      </w:r>
      <w:r w:rsidRPr="004704C8">
        <w:rPr>
          <w:rFonts w:cs="Helvetica"/>
          <w:color w:val="595959"/>
          <w:vertAlign w:val="subscript"/>
        </w:rPr>
        <w:t>2</w:t>
      </w:r>
      <w:r w:rsidRPr="004704C8">
        <w:rPr>
          <w:rFonts w:cs="Helvetica"/>
          <w:color w:val="595959"/>
        </w:rPr>
        <w:t>O</w:t>
      </w:r>
      <w:r w:rsidRPr="004704C8">
        <w:rPr>
          <w:rFonts w:cs="Helvetica"/>
          <w:color w:val="595959"/>
          <w:vertAlign w:val="subscript"/>
        </w:rPr>
        <w:t>3</w:t>
      </w:r>
      <w:r w:rsidRPr="004704C8">
        <w:rPr>
          <w:rFonts w:cs="Helvetica"/>
          <w:color w:val="595959"/>
        </w:rPr>
        <w:t xml:space="preserve"> per 1,000 kg of primary aluminium.</w:t>
      </w:r>
    </w:p>
    <w:p w14:paraId="64C64594" w14:textId="77777777" w:rsidR="00EC735A" w:rsidRPr="005564C3" w:rsidRDefault="00EC735A" w:rsidP="00B86E2D">
      <w:pPr>
        <w:pStyle w:val="Footer"/>
        <w:tabs>
          <w:tab w:val="clear" w:pos="4320"/>
          <w:tab w:val="clear" w:pos="8640"/>
        </w:tabs>
        <w:autoSpaceDE w:val="0"/>
        <w:spacing w:line="312" w:lineRule="auto"/>
        <w:jc w:val="both"/>
        <w:rPr>
          <w:rFonts w:cs="Helvetica"/>
          <w:color w:val="595959"/>
          <w:highlight w:val="yellow"/>
        </w:rPr>
      </w:pPr>
    </w:p>
    <w:p w14:paraId="25682B7D" w14:textId="77777777" w:rsidR="00EC735A" w:rsidRPr="000D447A" w:rsidRDefault="00EC735A" w:rsidP="000D0304">
      <w:pPr>
        <w:pBdr>
          <w:top w:val="single" w:sz="4" w:space="4" w:color="auto"/>
          <w:left w:val="single" w:sz="4" w:space="4" w:color="auto"/>
          <w:bottom w:val="single" w:sz="4" w:space="4" w:color="auto"/>
          <w:right w:val="single" w:sz="4" w:space="4" w:color="auto"/>
        </w:pBdr>
        <w:autoSpaceDE w:val="0"/>
        <w:spacing w:after="0"/>
        <w:jc w:val="center"/>
        <w:rPr>
          <w:rFonts w:cs="Helvetica"/>
          <w:color w:val="595959"/>
          <w:vertAlign w:val="subscript"/>
        </w:rPr>
      </w:pPr>
      <w:r w:rsidRPr="000D447A">
        <w:rPr>
          <w:rFonts w:cs="Helvetica"/>
          <w:color w:val="595959"/>
        </w:rPr>
        <w:t>2 Al</w:t>
      </w:r>
      <w:r w:rsidRPr="000D447A">
        <w:rPr>
          <w:rFonts w:cs="Helvetica"/>
          <w:color w:val="595959"/>
          <w:vertAlign w:val="subscript"/>
        </w:rPr>
        <w:t>2</w:t>
      </w:r>
      <w:r w:rsidRPr="000D447A">
        <w:rPr>
          <w:rFonts w:cs="Helvetica"/>
          <w:color w:val="595959"/>
        </w:rPr>
        <w:t>O</w:t>
      </w:r>
      <w:r w:rsidRPr="000D447A">
        <w:rPr>
          <w:rFonts w:cs="Helvetica"/>
          <w:color w:val="595959"/>
          <w:vertAlign w:val="subscript"/>
        </w:rPr>
        <w:t>3</w:t>
      </w:r>
      <w:r w:rsidRPr="000D447A">
        <w:rPr>
          <w:rFonts w:cs="Helvetica"/>
          <w:color w:val="595959"/>
        </w:rPr>
        <w:t xml:space="preserve"> + 3C = 4 Al + 3CO</w:t>
      </w:r>
      <w:r w:rsidRPr="000D447A">
        <w:rPr>
          <w:rFonts w:cs="Helvetica"/>
          <w:color w:val="595959"/>
          <w:vertAlign w:val="subscript"/>
        </w:rPr>
        <w:t>2</w:t>
      </w:r>
    </w:p>
    <w:p w14:paraId="28592364" w14:textId="77777777" w:rsidR="00EC735A" w:rsidRPr="005564C3" w:rsidRDefault="00EC735A" w:rsidP="00935A71">
      <w:pPr>
        <w:autoSpaceDE w:val="0"/>
        <w:spacing w:after="0" w:line="312" w:lineRule="auto"/>
        <w:jc w:val="both"/>
        <w:rPr>
          <w:rFonts w:cs="Helvetica"/>
          <w:color w:val="595959"/>
          <w:highlight w:val="yellow"/>
        </w:rPr>
      </w:pPr>
    </w:p>
    <w:p w14:paraId="7EAF8A04" w14:textId="60DAFD75" w:rsidR="00536862" w:rsidRDefault="00EC735A">
      <w:pPr>
        <w:pStyle w:val="BodyText"/>
        <w:autoSpaceDE w:val="0"/>
        <w:spacing w:line="312" w:lineRule="auto"/>
        <w:rPr>
          <w:rFonts w:ascii="Helvetica" w:hAnsi="Helvetica" w:cs="Helvetica"/>
          <w:color w:val="595959"/>
          <w:sz w:val="20"/>
        </w:rPr>
      </w:pPr>
      <w:r w:rsidRPr="000D447A">
        <w:rPr>
          <w:rFonts w:ascii="Helvetica" w:hAnsi="Helvetica" w:cs="Helvetica"/>
          <w:color w:val="595959"/>
          <w:sz w:val="20"/>
        </w:rPr>
        <w:lastRenderedPageBreak/>
        <w:t>While the majority of the oxygen in alumina fully reacts with the carbon anode to form carbon dioxide, some forms carbon monoxide (which subsequently forms CO</w:t>
      </w:r>
      <w:r w:rsidRPr="000D447A">
        <w:rPr>
          <w:rFonts w:ascii="Helvetica" w:hAnsi="Helvetica" w:cs="Helvetica"/>
          <w:color w:val="595959"/>
          <w:sz w:val="20"/>
          <w:vertAlign w:val="subscript"/>
        </w:rPr>
        <w:t>2</w:t>
      </w:r>
      <w:r w:rsidRPr="000D447A">
        <w:rPr>
          <w:rFonts w:ascii="Helvetica" w:hAnsi="Helvetica" w:cs="Helvetica"/>
          <w:color w:val="595959"/>
          <w:sz w:val="20"/>
        </w:rPr>
        <w:t xml:space="preserve"> with oxygen from the </w:t>
      </w:r>
      <w:r w:rsidRPr="004704C8">
        <w:rPr>
          <w:rFonts w:ascii="Helvetica" w:hAnsi="Helvetica" w:cs="Helvetica"/>
          <w:color w:val="595959"/>
          <w:sz w:val="20"/>
        </w:rPr>
        <w:t>atmosphere)</w:t>
      </w:r>
      <w:r w:rsidR="009831A3">
        <w:rPr>
          <w:rFonts w:ascii="Helvetica" w:hAnsi="Helvetica" w:cs="Helvetica"/>
          <w:color w:val="595959"/>
          <w:sz w:val="20"/>
        </w:rPr>
        <w:t xml:space="preserve">.  </w:t>
      </w:r>
      <w:r w:rsidR="00117712" w:rsidRPr="004704C8">
        <w:rPr>
          <w:rFonts w:ascii="Helvetica" w:hAnsi="Helvetica" w:cs="Helvetica"/>
          <w:color w:val="595959"/>
          <w:sz w:val="20"/>
        </w:rPr>
        <w:t>Thus,</w:t>
      </w:r>
      <w:r w:rsidRPr="000D447A">
        <w:rPr>
          <w:rFonts w:ascii="Helvetica" w:hAnsi="Helvetica" w:cs="Helvetica"/>
          <w:color w:val="595959"/>
          <w:sz w:val="20"/>
        </w:rPr>
        <w:t xml:space="preserve"> average </w:t>
      </w:r>
      <w:r w:rsidR="00C14496">
        <w:rPr>
          <w:rFonts w:ascii="Helvetica" w:hAnsi="Helvetica" w:cs="Helvetica"/>
          <w:color w:val="595959"/>
          <w:sz w:val="20"/>
        </w:rPr>
        <w:t>gross</w:t>
      </w:r>
      <w:r w:rsidR="00C14496" w:rsidRPr="000D447A">
        <w:rPr>
          <w:rFonts w:ascii="Helvetica" w:hAnsi="Helvetica" w:cs="Helvetica"/>
          <w:color w:val="595959"/>
          <w:sz w:val="20"/>
        </w:rPr>
        <w:t xml:space="preserve"> </w:t>
      </w:r>
      <w:r w:rsidRPr="000D447A">
        <w:rPr>
          <w:rFonts w:ascii="Helvetica" w:hAnsi="Helvetica" w:cs="Helvetica"/>
          <w:color w:val="595959"/>
          <w:sz w:val="20"/>
        </w:rPr>
        <w:t>anode consumption (</w:t>
      </w:r>
      <w:r w:rsidR="00C14496">
        <w:rPr>
          <w:rFonts w:ascii="Helvetica" w:hAnsi="Helvetica" w:cs="Helvetica"/>
          <w:color w:val="595959"/>
          <w:sz w:val="20"/>
        </w:rPr>
        <w:t>50</w:t>
      </w:r>
      <w:r w:rsidR="00C14496" w:rsidRPr="000D447A">
        <w:rPr>
          <w:rFonts w:ascii="Helvetica" w:hAnsi="Helvetica" w:cs="Helvetica"/>
          <w:color w:val="595959"/>
          <w:sz w:val="20"/>
        </w:rPr>
        <w:t xml:space="preserve">0 </w:t>
      </w:r>
      <w:r w:rsidRPr="000D447A">
        <w:rPr>
          <w:rFonts w:ascii="Helvetica" w:hAnsi="Helvetica" w:cs="Helvetica"/>
          <w:color w:val="595959"/>
          <w:sz w:val="20"/>
        </w:rPr>
        <w:t xml:space="preserve">kg) is higher than the </w:t>
      </w:r>
      <w:r w:rsidRPr="004704C8">
        <w:rPr>
          <w:rFonts w:ascii="Helvetica" w:hAnsi="Helvetica" w:cs="Helvetica"/>
          <w:color w:val="595959"/>
          <w:sz w:val="20"/>
        </w:rPr>
        <w:t>theoretical mass predicted by stoichiometric analysis (3</w:t>
      </w:r>
      <w:r w:rsidR="00C13CC0" w:rsidRPr="004704C8">
        <w:rPr>
          <w:rFonts w:ascii="Helvetica" w:hAnsi="Helvetica" w:cs="Helvetica"/>
          <w:color w:val="595959"/>
          <w:sz w:val="20"/>
        </w:rPr>
        <w:t>33</w:t>
      </w:r>
      <w:r w:rsidRPr="004704C8">
        <w:rPr>
          <w:rFonts w:ascii="Helvetica" w:hAnsi="Helvetica" w:cs="Helvetica"/>
          <w:color w:val="595959"/>
          <w:sz w:val="20"/>
        </w:rPr>
        <w:t xml:space="preserve"> kg).</w:t>
      </w:r>
    </w:p>
    <w:p w14:paraId="4C3A669E" w14:textId="77777777" w:rsidR="0069734C" w:rsidRDefault="0069734C">
      <w:pPr>
        <w:pStyle w:val="BodyText"/>
        <w:autoSpaceDE w:val="0"/>
        <w:spacing w:line="312" w:lineRule="auto"/>
        <w:rPr>
          <w:rFonts w:ascii="Helvetica" w:hAnsi="Helvetica" w:cs="Helvetica"/>
          <w:color w:val="595959"/>
          <w:sz w:val="20"/>
        </w:rPr>
      </w:pPr>
    </w:p>
    <w:p w14:paraId="2F4EC1BA" w14:textId="77777777" w:rsidR="00536862" w:rsidRPr="000D0304" w:rsidRDefault="00536862" w:rsidP="00DA5301">
      <w:pPr>
        <w:pStyle w:val="Heading2"/>
      </w:pPr>
      <w:bookmarkStart w:id="41" w:name="_Toc363829096"/>
      <w:bookmarkStart w:id="42" w:name="_Toc120111916"/>
      <w:r w:rsidRPr="000D0304">
        <w:t xml:space="preserve">Geographic </w:t>
      </w:r>
      <w:r w:rsidR="00D02D5D">
        <w:t>S</w:t>
      </w:r>
      <w:r w:rsidRPr="000D0304">
        <w:t xml:space="preserve">ystem </w:t>
      </w:r>
      <w:r w:rsidR="00D02D5D">
        <w:t>B</w:t>
      </w:r>
      <w:r w:rsidRPr="000D0304">
        <w:t>oundary</w:t>
      </w:r>
      <w:bookmarkEnd w:id="41"/>
      <w:bookmarkEnd w:id="42"/>
    </w:p>
    <w:p w14:paraId="7B6AC339" w14:textId="77777777" w:rsidR="005564C3" w:rsidRDefault="00307B95" w:rsidP="000D0304">
      <w:pPr>
        <w:spacing w:after="0" w:line="312" w:lineRule="auto"/>
        <w:jc w:val="both"/>
        <w:rPr>
          <w:rFonts w:eastAsia="Times New Roman" w:cs="Helvetica"/>
          <w:iCs/>
          <w:color w:val="595959"/>
          <w:szCs w:val="22"/>
          <w:lang w:eastAsia="ar-SA"/>
        </w:rPr>
      </w:pPr>
      <w:r w:rsidRPr="00307B95">
        <w:rPr>
          <w:rFonts w:eastAsia="Times New Roman" w:cs="Helvetica"/>
          <w:iCs/>
          <w:color w:val="595959"/>
          <w:szCs w:val="22"/>
          <w:lang w:eastAsia="ar-SA"/>
        </w:rPr>
        <w:t>The scope of this report is global</w:t>
      </w:r>
      <w:r w:rsidR="008A6526">
        <w:rPr>
          <w:rFonts w:eastAsia="Times New Roman" w:cs="Helvetica"/>
          <w:iCs/>
          <w:color w:val="595959"/>
          <w:szCs w:val="22"/>
          <w:lang w:eastAsia="ar-SA"/>
        </w:rPr>
        <w:t>,</w:t>
      </w:r>
      <w:r w:rsidR="005564C3">
        <w:rPr>
          <w:rFonts w:eastAsia="Times New Roman" w:cs="Helvetica"/>
          <w:iCs/>
          <w:color w:val="595959"/>
          <w:szCs w:val="22"/>
          <w:lang w:eastAsia="ar-SA"/>
        </w:rPr>
        <w:t xml:space="preserve"> with further regional breakdown by unit process where </w:t>
      </w:r>
      <w:r w:rsidR="008D33FC">
        <w:rPr>
          <w:rFonts w:eastAsia="Times New Roman" w:cs="Helvetica"/>
          <w:iCs/>
          <w:color w:val="595959"/>
          <w:szCs w:val="22"/>
          <w:lang w:eastAsia="ar-SA"/>
        </w:rPr>
        <w:t>allowed by sufficient reporting from sites to ensure confidentiality</w:t>
      </w:r>
      <w:r w:rsidR="009831A3">
        <w:rPr>
          <w:rFonts w:eastAsia="Times New Roman" w:cs="Helvetica"/>
          <w:iCs/>
          <w:color w:val="595959"/>
          <w:szCs w:val="22"/>
          <w:lang w:eastAsia="ar-SA"/>
        </w:rPr>
        <w:t xml:space="preserve">.  </w:t>
      </w:r>
      <w:r w:rsidR="005564C3">
        <w:rPr>
          <w:rFonts w:eastAsia="Times New Roman" w:cs="Helvetica"/>
          <w:iCs/>
          <w:color w:val="595959"/>
          <w:szCs w:val="22"/>
          <w:lang w:eastAsia="ar-SA"/>
        </w:rPr>
        <w:t xml:space="preserve">At the global level, data for the Chinese aluminium industry </w:t>
      </w:r>
      <w:r w:rsidR="0039105E">
        <w:rPr>
          <w:rFonts w:eastAsia="Times New Roman" w:cs="Helvetica"/>
          <w:iCs/>
          <w:color w:val="595959"/>
          <w:szCs w:val="22"/>
          <w:lang w:eastAsia="ar-SA"/>
        </w:rPr>
        <w:t>are</w:t>
      </w:r>
      <w:r w:rsidR="005564C3">
        <w:rPr>
          <w:rFonts w:eastAsia="Times New Roman" w:cs="Helvetica"/>
          <w:iCs/>
          <w:color w:val="595959"/>
          <w:szCs w:val="22"/>
          <w:lang w:eastAsia="ar-SA"/>
        </w:rPr>
        <w:t xml:space="preserve"> included for the following LCI flows: </w:t>
      </w:r>
    </w:p>
    <w:p w14:paraId="49D06CEC" w14:textId="77777777" w:rsidR="005564C3" w:rsidRDefault="005564C3" w:rsidP="000D0304">
      <w:pPr>
        <w:pStyle w:val="ListParagraph"/>
        <w:numPr>
          <w:ilvl w:val="0"/>
          <w:numId w:val="55"/>
        </w:numPr>
        <w:spacing w:after="0" w:line="312" w:lineRule="auto"/>
        <w:jc w:val="both"/>
        <w:rPr>
          <w:rFonts w:eastAsia="Times New Roman" w:cs="Helvetica"/>
          <w:iCs/>
          <w:color w:val="595959"/>
          <w:szCs w:val="22"/>
          <w:lang w:eastAsia="ar-SA"/>
        </w:rPr>
      </w:pPr>
      <w:r>
        <w:rPr>
          <w:rFonts w:eastAsia="Times New Roman" w:cs="Helvetica"/>
          <w:iCs/>
          <w:color w:val="595959"/>
          <w:szCs w:val="22"/>
          <w:lang w:eastAsia="ar-SA"/>
        </w:rPr>
        <w:t>Anode consumption</w:t>
      </w:r>
    </w:p>
    <w:p w14:paraId="5BEF8674" w14:textId="640753A1" w:rsidR="005564C3" w:rsidRDefault="005564C3" w:rsidP="000D0304">
      <w:pPr>
        <w:pStyle w:val="ListParagraph"/>
        <w:numPr>
          <w:ilvl w:val="0"/>
          <w:numId w:val="55"/>
        </w:numPr>
        <w:spacing w:after="0" w:line="312" w:lineRule="auto"/>
        <w:jc w:val="both"/>
        <w:rPr>
          <w:rFonts w:eastAsia="Times New Roman" w:cs="Helvetica"/>
          <w:iCs/>
          <w:color w:val="595959"/>
          <w:szCs w:val="22"/>
          <w:lang w:eastAsia="ar-SA"/>
        </w:rPr>
      </w:pPr>
      <w:r>
        <w:rPr>
          <w:rFonts w:eastAsia="Times New Roman" w:cs="Helvetica"/>
          <w:iCs/>
          <w:color w:val="595959"/>
          <w:szCs w:val="22"/>
          <w:lang w:eastAsia="ar-SA"/>
        </w:rPr>
        <w:t>Energy input</w:t>
      </w:r>
      <w:r w:rsidR="008D33FC">
        <w:rPr>
          <w:rFonts w:eastAsia="Times New Roman" w:cs="Helvetica"/>
          <w:iCs/>
          <w:color w:val="595959"/>
          <w:szCs w:val="22"/>
          <w:lang w:eastAsia="ar-SA"/>
        </w:rPr>
        <w:t xml:space="preserve"> </w:t>
      </w:r>
    </w:p>
    <w:p w14:paraId="0F05FF7D" w14:textId="77777777" w:rsidR="005564C3" w:rsidRPr="005564C3" w:rsidRDefault="005564C3" w:rsidP="000D0304">
      <w:pPr>
        <w:pStyle w:val="ListParagraph"/>
        <w:numPr>
          <w:ilvl w:val="0"/>
          <w:numId w:val="55"/>
        </w:numPr>
        <w:spacing w:after="0" w:line="312" w:lineRule="auto"/>
        <w:jc w:val="both"/>
        <w:rPr>
          <w:rFonts w:eastAsia="Times New Roman" w:cs="Helvetica"/>
          <w:iCs/>
          <w:color w:val="595959"/>
          <w:szCs w:val="22"/>
          <w:lang w:eastAsia="ar-SA"/>
        </w:rPr>
      </w:pPr>
      <w:r>
        <w:rPr>
          <w:rFonts w:eastAsia="Times New Roman" w:cs="Helvetica"/>
          <w:iCs/>
          <w:color w:val="595959"/>
          <w:szCs w:val="22"/>
          <w:lang w:eastAsia="ar-SA"/>
        </w:rPr>
        <w:t>PFC emissions</w:t>
      </w:r>
    </w:p>
    <w:p w14:paraId="74270EBC" w14:textId="77777777" w:rsidR="004B5F28" w:rsidRDefault="004B5F28" w:rsidP="00B86E2D">
      <w:pPr>
        <w:pStyle w:val="BodyText"/>
        <w:autoSpaceDE w:val="0"/>
        <w:spacing w:line="312" w:lineRule="auto"/>
        <w:rPr>
          <w:rFonts w:ascii="Helvetica" w:hAnsi="Helvetica" w:cs="Helvetica"/>
          <w:iCs w:val="0"/>
          <w:color w:val="595959"/>
          <w:sz w:val="20"/>
        </w:rPr>
      </w:pPr>
    </w:p>
    <w:p w14:paraId="196D4892" w14:textId="2B267AF6" w:rsidR="004B5F28" w:rsidRDefault="00307B95" w:rsidP="00B86E2D">
      <w:pPr>
        <w:pStyle w:val="BodyText"/>
        <w:autoSpaceDE w:val="0"/>
        <w:spacing w:line="312" w:lineRule="auto"/>
        <w:rPr>
          <w:rFonts w:ascii="Helvetica" w:hAnsi="Helvetica" w:cs="Helvetica"/>
          <w:iCs w:val="0"/>
          <w:color w:val="595959"/>
          <w:sz w:val="20"/>
        </w:rPr>
      </w:pPr>
      <w:r w:rsidRPr="00307B95">
        <w:rPr>
          <w:rFonts w:ascii="Helvetica" w:hAnsi="Helvetica" w:cs="Helvetica"/>
          <w:iCs w:val="0"/>
          <w:color w:val="595959"/>
          <w:sz w:val="20"/>
        </w:rPr>
        <w:t>Unfortunately</w:t>
      </w:r>
      <w:r w:rsidR="005564C3">
        <w:rPr>
          <w:rFonts w:ascii="Helvetica" w:hAnsi="Helvetica" w:cs="Helvetica"/>
          <w:iCs w:val="0"/>
          <w:color w:val="595959"/>
          <w:sz w:val="20"/>
        </w:rPr>
        <w:t>,</w:t>
      </w:r>
      <w:r w:rsidRPr="00307B95">
        <w:rPr>
          <w:rFonts w:ascii="Helvetica" w:hAnsi="Helvetica" w:cs="Helvetica"/>
          <w:iCs w:val="0"/>
          <w:color w:val="595959"/>
          <w:sz w:val="20"/>
        </w:rPr>
        <w:t xml:space="preserve"> data of sufficient quality </w:t>
      </w:r>
      <w:r w:rsidR="0039105E">
        <w:rPr>
          <w:rFonts w:ascii="Helvetica" w:hAnsi="Helvetica" w:cs="Helvetica"/>
          <w:iCs w:val="0"/>
          <w:color w:val="595959"/>
          <w:sz w:val="20"/>
        </w:rPr>
        <w:t>are</w:t>
      </w:r>
      <w:r w:rsidR="008A6526" w:rsidRPr="00307B95">
        <w:rPr>
          <w:rFonts w:ascii="Helvetica" w:hAnsi="Helvetica" w:cs="Helvetica"/>
          <w:iCs w:val="0"/>
          <w:color w:val="595959"/>
          <w:sz w:val="20"/>
        </w:rPr>
        <w:t xml:space="preserve"> </w:t>
      </w:r>
      <w:r w:rsidRPr="00307B95">
        <w:rPr>
          <w:rFonts w:ascii="Helvetica" w:hAnsi="Helvetica" w:cs="Helvetica"/>
          <w:iCs w:val="0"/>
          <w:color w:val="595959"/>
          <w:sz w:val="20"/>
        </w:rPr>
        <w:t xml:space="preserve">not available </w:t>
      </w:r>
      <w:r w:rsidR="005564C3">
        <w:rPr>
          <w:rFonts w:ascii="Helvetica" w:hAnsi="Helvetica" w:cs="Helvetica"/>
          <w:iCs w:val="0"/>
          <w:color w:val="595959"/>
          <w:sz w:val="20"/>
        </w:rPr>
        <w:t xml:space="preserve">for other LCI flows </w:t>
      </w:r>
      <w:r w:rsidRPr="00307B95">
        <w:rPr>
          <w:rFonts w:ascii="Helvetica" w:hAnsi="Helvetica" w:cs="Helvetica"/>
          <w:iCs w:val="0"/>
          <w:color w:val="595959"/>
          <w:sz w:val="20"/>
        </w:rPr>
        <w:t>from the Chinese aluminium industry, which represent</w:t>
      </w:r>
      <w:r w:rsidR="008A6526">
        <w:rPr>
          <w:rFonts w:ascii="Helvetica" w:hAnsi="Helvetica" w:cs="Helvetica"/>
          <w:iCs w:val="0"/>
          <w:color w:val="595959"/>
          <w:sz w:val="20"/>
        </w:rPr>
        <w:t>ed</w:t>
      </w:r>
      <w:r w:rsidRPr="00307B95">
        <w:rPr>
          <w:rFonts w:ascii="Helvetica" w:hAnsi="Helvetica" w:cs="Helvetica"/>
          <w:iCs w:val="0"/>
          <w:color w:val="595959"/>
          <w:sz w:val="20"/>
        </w:rPr>
        <w:t xml:space="preserve"> around </w:t>
      </w:r>
      <w:r w:rsidR="00C14496">
        <w:rPr>
          <w:rFonts w:ascii="Helvetica" w:hAnsi="Helvetica" w:cs="Helvetica"/>
          <w:iCs w:val="0"/>
          <w:color w:val="595959"/>
          <w:sz w:val="20"/>
        </w:rPr>
        <w:t>56</w:t>
      </w:r>
      <w:r w:rsidRPr="00307B95">
        <w:rPr>
          <w:rFonts w:ascii="Helvetica" w:hAnsi="Helvetica" w:cs="Helvetica"/>
          <w:iCs w:val="0"/>
          <w:color w:val="595959"/>
          <w:sz w:val="20"/>
        </w:rPr>
        <w:t>% of global production</w:t>
      </w:r>
      <w:r w:rsidR="0058465F">
        <w:rPr>
          <w:rFonts w:ascii="Helvetica" w:hAnsi="Helvetica" w:cs="Helvetica"/>
          <w:iCs w:val="0"/>
          <w:color w:val="595959"/>
          <w:sz w:val="20"/>
        </w:rPr>
        <w:t xml:space="preserve"> </w:t>
      </w:r>
      <w:r w:rsidR="008A6526">
        <w:rPr>
          <w:rFonts w:ascii="Helvetica" w:hAnsi="Helvetica" w:cs="Helvetica"/>
          <w:iCs w:val="0"/>
          <w:color w:val="595959"/>
          <w:sz w:val="20"/>
        </w:rPr>
        <w:t xml:space="preserve">in </w:t>
      </w:r>
      <w:r w:rsidR="00C14496">
        <w:rPr>
          <w:rFonts w:ascii="Helvetica" w:hAnsi="Helvetica" w:cs="Helvetica"/>
          <w:iCs w:val="0"/>
          <w:color w:val="595959"/>
          <w:sz w:val="20"/>
        </w:rPr>
        <w:t>2019</w:t>
      </w:r>
      <w:r w:rsidR="009831A3">
        <w:rPr>
          <w:rFonts w:ascii="Helvetica" w:hAnsi="Helvetica" w:cs="Helvetica"/>
          <w:iCs w:val="0"/>
          <w:color w:val="595959"/>
          <w:sz w:val="20"/>
        </w:rPr>
        <w:t xml:space="preserve">.  </w:t>
      </w:r>
      <w:r w:rsidR="00536862" w:rsidRPr="00307B95">
        <w:rPr>
          <w:rFonts w:ascii="Helvetica" w:hAnsi="Helvetica" w:cs="Helvetica"/>
          <w:iCs w:val="0"/>
          <w:color w:val="595959"/>
          <w:sz w:val="20"/>
        </w:rPr>
        <w:t>The geographical survey coverage is discussed</w:t>
      </w:r>
      <w:r w:rsidRPr="00307B95">
        <w:rPr>
          <w:rFonts w:ascii="Helvetica" w:hAnsi="Helvetica" w:cs="Helvetica"/>
          <w:iCs w:val="0"/>
          <w:color w:val="595959"/>
          <w:sz w:val="20"/>
        </w:rPr>
        <w:t xml:space="preserve"> further</w:t>
      </w:r>
      <w:r w:rsidR="00536862" w:rsidRPr="00307B95">
        <w:rPr>
          <w:rFonts w:ascii="Helvetica" w:hAnsi="Helvetica" w:cs="Helvetica"/>
          <w:iCs w:val="0"/>
          <w:color w:val="595959"/>
          <w:sz w:val="20"/>
        </w:rPr>
        <w:t xml:space="preserve"> in </w:t>
      </w:r>
      <w:r w:rsidR="00B10ECB">
        <w:rPr>
          <w:rFonts w:ascii="Helvetica" w:hAnsi="Helvetica" w:cs="Helvetica"/>
          <w:iCs w:val="0"/>
          <w:color w:val="595959"/>
          <w:sz w:val="20"/>
        </w:rPr>
        <w:t>S</w:t>
      </w:r>
      <w:r w:rsidR="00536862" w:rsidRPr="00307B95">
        <w:rPr>
          <w:rFonts w:ascii="Helvetica" w:hAnsi="Helvetica" w:cs="Helvetica"/>
          <w:iCs w:val="0"/>
          <w:color w:val="595959"/>
          <w:sz w:val="20"/>
        </w:rPr>
        <w:t xml:space="preserve">ection </w:t>
      </w:r>
      <w:bookmarkStart w:id="43" w:name="_Toc363829097"/>
      <w:r w:rsidR="000B5623">
        <w:rPr>
          <w:rFonts w:ascii="Helvetica" w:hAnsi="Helvetica" w:cs="Helvetica"/>
          <w:iCs w:val="0"/>
          <w:color w:val="595959"/>
          <w:sz w:val="20"/>
        </w:rPr>
        <w:t>3</w:t>
      </w:r>
      <w:r w:rsidR="002A519B">
        <w:rPr>
          <w:rFonts w:ascii="Helvetica" w:hAnsi="Helvetica" w:cs="Helvetica"/>
          <w:iCs w:val="0"/>
          <w:color w:val="595959"/>
          <w:sz w:val="20"/>
        </w:rPr>
        <w:t>.7</w:t>
      </w:r>
      <w:r w:rsidR="009831A3">
        <w:rPr>
          <w:rFonts w:ascii="Helvetica" w:hAnsi="Helvetica" w:cs="Helvetica"/>
          <w:iCs w:val="0"/>
          <w:color w:val="595959"/>
          <w:sz w:val="20"/>
        </w:rPr>
        <w:t xml:space="preserve">.  </w:t>
      </w:r>
    </w:p>
    <w:p w14:paraId="4AFF5118" w14:textId="77777777" w:rsidR="0069734C" w:rsidRDefault="0069734C" w:rsidP="00B86E2D">
      <w:pPr>
        <w:pStyle w:val="BodyText"/>
        <w:autoSpaceDE w:val="0"/>
        <w:spacing w:line="312" w:lineRule="auto"/>
        <w:rPr>
          <w:rFonts w:ascii="Helvetica" w:hAnsi="Helvetica" w:cs="Helvetica"/>
          <w:color w:val="595959"/>
          <w:sz w:val="20"/>
        </w:rPr>
      </w:pPr>
    </w:p>
    <w:p w14:paraId="1085CFB3" w14:textId="77777777" w:rsidR="004D7928" w:rsidRPr="000D0304" w:rsidRDefault="004D7928" w:rsidP="00DA5301">
      <w:pPr>
        <w:pStyle w:val="Heading2"/>
      </w:pPr>
      <w:bookmarkStart w:id="44" w:name="_Toc480555196"/>
      <w:bookmarkStart w:id="45" w:name="_Toc480555278"/>
      <w:bookmarkStart w:id="46" w:name="_Toc480555364"/>
      <w:bookmarkStart w:id="47" w:name="_Toc480555450"/>
      <w:bookmarkStart w:id="48" w:name="_Toc480971388"/>
      <w:bookmarkStart w:id="49" w:name="_Toc120111917"/>
      <w:bookmarkEnd w:id="44"/>
      <w:bookmarkEnd w:id="45"/>
      <w:bookmarkEnd w:id="46"/>
      <w:bookmarkEnd w:id="47"/>
      <w:bookmarkEnd w:id="48"/>
      <w:r w:rsidRPr="000D0304">
        <w:t xml:space="preserve">Data </w:t>
      </w:r>
      <w:r w:rsidR="00D02D5D">
        <w:t>C</w:t>
      </w:r>
      <w:r w:rsidRPr="000D0304">
        <w:t>ollection</w:t>
      </w:r>
      <w:bookmarkEnd w:id="39"/>
      <w:bookmarkEnd w:id="43"/>
      <w:bookmarkEnd w:id="49"/>
    </w:p>
    <w:p w14:paraId="787DC484" w14:textId="77777777" w:rsidR="00315D1B" w:rsidRPr="009F1382" w:rsidRDefault="00315D1B" w:rsidP="009E11C8">
      <w:pPr>
        <w:tabs>
          <w:tab w:val="left" w:pos="-1440"/>
          <w:tab w:val="left" w:pos="-720"/>
        </w:tabs>
        <w:spacing w:after="0" w:line="312" w:lineRule="auto"/>
        <w:jc w:val="both"/>
        <w:rPr>
          <w:rFonts w:cs="Helvetica"/>
          <w:color w:val="595959"/>
        </w:rPr>
      </w:pPr>
      <w:r w:rsidRPr="009F1382">
        <w:rPr>
          <w:rFonts w:cs="Helvetica"/>
          <w:color w:val="595959"/>
        </w:rPr>
        <w:t xml:space="preserve">Data </w:t>
      </w:r>
      <w:r>
        <w:rPr>
          <w:rFonts w:cs="Helvetica"/>
          <w:color w:val="595959"/>
        </w:rPr>
        <w:t>w</w:t>
      </w:r>
      <w:r w:rsidR="00504929">
        <w:rPr>
          <w:rFonts w:cs="Helvetica"/>
          <w:color w:val="595959"/>
        </w:rPr>
        <w:t>ere</w:t>
      </w:r>
      <w:r>
        <w:rPr>
          <w:rFonts w:cs="Helvetica"/>
          <w:color w:val="595959"/>
        </w:rPr>
        <w:t xml:space="preserve"> collected through surveys of IAI member and reporting c</w:t>
      </w:r>
      <w:r w:rsidRPr="009F1382">
        <w:rPr>
          <w:rFonts w:cs="Helvetica"/>
          <w:color w:val="595959"/>
        </w:rPr>
        <w:t>ompanies:</w:t>
      </w:r>
    </w:p>
    <w:p w14:paraId="0BE8E887" w14:textId="0599AA19" w:rsidR="00315D1B" w:rsidRDefault="00C14496" w:rsidP="000D0304">
      <w:pPr>
        <w:widowControl w:val="0"/>
        <w:numPr>
          <w:ilvl w:val="0"/>
          <w:numId w:val="56"/>
        </w:numPr>
        <w:tabs>
          <w:tab w:val="left" w:pos="-1440"/>
          <w:tab w:val="left" w:pos="-720"/>
        </w:tabs>
        <w:suppressAutoHyphens/>
        <w:spacing w:after="0" w:line="312" w:lineRule="auto"/>
        <w:ind w:left="714" w:hanging="357"/>
        <w:jc w:val="both"/>
        <w:rPr>
          <w:rFonts w:cs="Helvetica"/>
          <w:color w:val="595959"/>
        </w:rPr>
      </w:pPr>
      <w:r w:rsidRPr="009F1382">
        <w:rPr>
          <w:rFonts w:cs="Helvetica"/>
          <w:color w:val="595959"/>
        </w:rPr>
        <w:t>201</w:t>
      </w:r>
      <w:r>
        <w:rPr>
          <w:rFonts w:cs="Helvetica"/>
          <w:color w:val="595959"/>
        </w:rPr>
        <w:t>9</w:t>
      </w:r>
      <w:r w:rsidRPr="009F1382">
        <w:rPr>
          <w:rFonts w:cs="Helvetica"/>
          <w:color w:val="595959"/>
        </w:rPr>
        <w:t xml:space="preserve"> </w:t>
      </w:r>
      <w:r w:rsidR="00315D1B" w:rsidRPr="009F1382">
        <w:rPr>
          <w:rFonts w:cs="Helvetica"/>
          <w:color w:val="595959"/>
        </w:rPr>
        <w:t>Life Cycle Survey</w:t>
      </w:r>
      <w:r w:rsidR="004B5F28">
        <w:rPr>
          <w:rFonts w:cs="Helvetica"/>
          <w:color w:val="595959"/>
        </w:rPr>
        <w:t xml:space="preserve"> (5-</w:t>
      </w:r>
      <w:r w:rsidR="00117712">
        <w:rPr>
          <w:rFonts w:cs="Helvetica"/>
          <w:color w:val="595959"/>
        </w:rPr>
        <w:t>yearly</w:t>
      </w:r>
      <w:r>
        <w:rPr>
          <w:rStyle w:val="FootnoteReference"/>
          <w:rFonts w:cs="Helvetica"/>
          <w:color w:val="595959"/>
        </w:rPr>
        <w:footnoteReference w:id="3"/>
      </w:r>
      <w:r w:rsidR="00117712">
        <w:rPr>
          <w:rFonts w:cs="Helvetica"/>
          <w:color w:val="595959"/>
        </w:rPr>
        <w:t xml:space="preserve">) </w:t>
      </w:r>
      <w:r w:rsidR="00117712" w:rsidRPr="009F1382">
        <w:rPr>
          <w:rFonts w:cs="Helvetica"/>
          <w:color w:val="595959"/>
        </w:rPr>
        <w:t>covered</w:t>
      </w:r>
      <w:r w:rsidR="00315D1B" w:rsidRPr="009F1382">
        <w:rPr>
          <w:rFonts w:cs="Helvetica"/>
          <w:color w:val="595959"/>
        </w:rPr>
        <w:t xml:space="preserve"> all required LCI data except those already collected </w:t>
      </w:r>
      <w:r w:rsidR="00315D1B">
        <w:rPr>
          <w:rFonts w:cs="Helvetica"/>
          <w:color w:val="595959"/>
        </w:rPr>
        <w:t>through established</w:t>
      </w:r>
      <w:r w:rsidR="004B5F28">
        <w:rPr>
          <w:rFonts w:cs="Helvetica"/>
          <w:color w:val="595959"/>
        </w:rPr>
        <w:t>,</w:t>
      </w:r>
      <w:r w:rsidR="00315D1B">
        <w:rPr>
          <w:rFonts w:cs="Helvetica"/>
          <w:color w:val="595959"/>
        </w:rPr>
        <w:t xml:space="preserve"> </w:t>
      </w:r>
      <w:r w:rsidR="00504929">
        <w:rPr>
          <w:rFonts w:cs="Helvetica"/>
          <w:color w:val="595959"/>
        </w:rPr>
        <w:t>annual</w:t>
      </w:r>
      <w:r w:rsidR="004B5F28">
        <w:rPr>
          <w:rFonts w:cs="Helvetica"/>
          <w:color w:val="595959"/>
        </w:rPr>
        <w:t xml:space="preserve"> </w:t>
      </w:r>
      <w:r w:rsidR="00315D1B">
        <w:rPr>
          <w:rFonts w:cs="Helvetica"/>
          <w:color w:val="595959"/>
        </w:rPr>
        <w:t>IAI s</w:t>
      </w:r>
      <w:r w:rsidR="00315D1B" w:rsidRPr="009F1382">
        <w:rPr>
          <w:rFonts w:cs="Helvetica"/>
          <w:color w:val="595959"/>
        </w:rPr>
        <w:t>urveys</w:t>
      </w:r>
      <w:r w:rsidR="004B5F28">
        <w:rPr>
          <w:rFonts w:cs="Helvetica"/>
          <w:color w:val="595959"/>
        </w:rPr>
        <w:t>;</w:t>
      </w:r>
    </w:p>
    <w:p w14:paraId="012D3E2A" w14:textId="731F40C5" w:rsidR="009D74CA" w:rsidRDefault="00C14496" w:rsidP="000D0304">
      <w:pPr>
        <w:widowControl w:val="0"/>
        <w:numPr>
          <w:ilvl w:val="0"/>
          <w:numId w:val="56"/>
        </w:numPr>
        <w:tabs>
          <w:tab w:val="left" w:pos="-1440"/>
          <w:tab w:val="left" w:pos="-720"/>
        </w:tabs>
        <w:suppressAutoHyphens/>
        <w:spacing w:after="0" w:line="312" w:lineRule="auto"/>
        <w:ind w:left="714" w:hanging="357"/>
        <w:jc w:val="both"/>
        <w:rPr>
          <w:rFonts w:cs="Helvetica"/>
          <w:color w:val="595959"/>
        </w:rPr>
      </w:pPr>
      <w:r>
        <w:rPr>
          <w:rFonts w:cs="Helvetica"/>
          <w:color w:val="595959"/>
        </w:rPr>
        <w:t xml:space="preserve">2019 </w:t>
      </w:r>
      <w:r w:rsidR="005564C3">
        <w:rPr>
          <w:rFonts w:cs="Helvetica"/>
          <w:color w:val="595959"/>
        </w:rPr>
        <w:t>Bauxite Residue Survey</w:t>
      </w:r>
      <w:r w:rsidR="004B5F28">
        <w:rPr>
          <w:rFonts w:cs="Helvetica"/>
          <w:color w:val="595959"/>
        </w:rPr>
        <w:t xml:space="preserve"> (</w:t>
      </w:r>
      <w:r w:rsidR="00A90430">
        <w:rPr>
          <w:rFonts w:cs="Helvetica"/>
          <w:color w:val="595959"/>
        </w:rPr>
        <w:t>5-yearly</w:t>
      </w:r>
      <w:r>
        <w:rPr>
          <w:rStyle w:val="FootnoteReference"/>
          <w:rFonts w:cs="Helvetica"/>
          <w:color w:val="595959"/>
        </w:rPr>
        <w:footnoteReference w:id="4"/>
      </w:r>
      <w:r w:rsidR="004B5F28">
        <w:rPr>
          <w:rFonts w:cs="Helvetica"/>
          <w:color w:val="595959"/>
        </w:rPr>
        <w:t>)</w:t>
      </w:r>
      <w:r w:rsidR="005564C3">
        <w:rPr>
          <w:rFonts w:cs="Helvetica"/>
          <w:color w:val="595959"/>
        </w:rPr>
        <w:t xml:space="preserve"> </w:t>
      </w:r>
      <w:r w:rsidR="004B5F28">
        <w:rPr>
          <w:rFonts w:cs="Helvetica"/>
          <w:color w:val="595959"/>
        </w:rPr>
        <w:t>gathered</w:t>
      </w:r>
      <w:r w:rsidR="005564C3">
        <w:rPr>
          <w:rFonts w:cs="Helvetica"/>
          <w:color w:val="595959"/>
        </w:rPr>
        <w:t xml:space="preserve"> d</w:t>
      </w:r>
      <w:r w:rsidR="009D74CA">
        <w:rPr>
          <w:rFonts w:cs="Helvetica"/>
          <w:color w:val="595959"/>
        </w:rPr>
        <w:t xml:space="preserve">ata </w:t>
      </w:r>
      <w:r w:rsidR="004B5F28">
        <w:rPr>
          <w:rFonts w:cs="Helvetica"/>
          <w:color w:val="595959"/>
        </w:rPr>
        <w:t xml:space="preserve">on </w:t>
      </w:r>
      <w:r w:rsidR="009D74CA">
        <w:rPr>
          <w:rFonts w:cs="Helvetica"/>
          <w:color w:val="595959"/>
        </w:rPr>
        <w:t>the production, stora</w:t>
      </w:r>
      <w:r w:rsidR="004E12B5">
        <w:rPr>
          <w:rFonts w:cs="Helvetica"/>
          <w:color w:val="595959"/>
        </w:rPr>
        <w:t>ge and reuse of bauxite residue</w:t>
      </w:r>
      <w:r w:rsidR="004B5F28">
        <w:rPr>
          <w:rFonts w:cs="Helvetica"/>
          <w:color w:val="595959"/>
        </w:rPr>
        <w:t>;</w:t>
      </w:r>
    </w:p>
    <w:p w14:paraId="3FB690CC" w14:textId="2EA4E8E0" w:rsidR="00315D1B" w:rsidRDefault="00C14496" w:rsidP="000D0304">
      <w:pPr>
        <w:widowControl w:val="0"/>
        <w:numPr>
          <w:ilvl w:val="0"/>
          <w:numId w:val="56"/>
        </w:numPr>
        <w:tabs>
          <w:tab w:val="left" w:pos="-1440"/>
          <w:tab w:val="left" w:pos="-720"/>
        </w:tabs>
        <w:suppressAutoHyphens/>
        <w:spacing w:after="0" w:line="312" w:lineRule="auto"/>
        <w:ind w:left="714" w:hanging="357"/>
        <w:jc w:val="both"/>
        <w:rPr>
          <w:rFonts w:cs="Helvetica"/>
          <w:color w:val="595959"/>
        </w:rPr>
      </w:pPr>
      <w:r w:rsidRPr="009F1382">
        <w:rPr>
          <w:rFonts w:cs="Helvetica"/>
          <w:color w:val="595959"/>
        </w:rPr>
        <w:t>201</w:t>
      </w:r>
      <w:r>
        <w:rPr>
          <w:rFonts w:cs="Helvetica"/>
          <w:color w:val="595959"/>
        </w:rPr>
        <w:t>9</w:t>
      </w:r>
      <w:r w:rsidRPr="009F1382">
        <w:rPr>
          <w:rFonts w:cs="Helvetica"/>
          <w:color w:val="595959"/>
        </w:rPr>
        <w:t xml:space="preserve"> </w:t>
      </w:r>
      <w:r w:rsidR="00315D1B" w:rsidRPr="009F1382">
        <w:rPr>
          <w:rFonts w:cs="Helvetica"/>
          <w:color w:val="595959"/>
        </w:rPr>
        <w:t>Energy Survey</w:t>
      </w:r>
      <w:r w:rsidR="004E12B5">
        <w:rPr>
          <w:rFonts w:cs="Helvetica"/>
          <w:color w:val="595959"/>
        </w:rPr>
        <w:t xml:space="preserve"> </w:t>
      </w:r>
      <w:r w:rsidR="004B5F28">
        <w:rPr>
          <w:rFonts w:cs="Helvetica"/>
          <w:color w:val="595959"/>
        </w:rPr>
        <w:t xml:space="preserve">(annual) of </w:t>
      </w:r>
      <w:r w:rsidR="00CD325E">
        <w:rPr>
          <w:rFonts w:cs="Helvetica"/>
          <w:color w:val="595959"/>
        </w:rPr>
        <w:t>alumina production</w:t>
      </w:r>
      <w:r w:rsidR="004E12B5">
        <w:rPr>
          <w:rFonts w:cs="Helvetica"/>
          <w:color w:val="595959"/>
        </w:rPr>
        <w:t xml:space="preserve">, </w:t>
      </w:r>
      <w:r w:rsidR="004B5F28">
        <w:rPr>
          <w:rFonts w:cs="Helvetica"/>
          <w:color w:val="595959"/>
        </w:rPr>
        <w:t>e</w:t>
      </w:r>
      <w:r w:rsidR="004E12B5">
        <w:rPr>
          <w:rFonts w:cs="Helvetica"/>
          <w:color w:val="595959"/>
        </w:rPr>
        <w:t xml:space="preserve">lectrolysis, </w:t>
      </w:r>
      <w:r w:rsidR="004B5F28">
        <w:rPr>
          <w:rFonts w:cs="Helvetica"/>
          <w:color w:val="595959"/>
        </w:rPr>
        <w:t>a</w:t>
      </w:r>
      <w:r w:rsidR="004E12B5">
        <w:rPr>
          <w:rFonts w:cs="Helvetica"/>
          <w:color w:val="595959"/>
        </w:rPr>
        <w:t xml:space="preserve">node </w:t>
      </w:r>
      <w:r w:rsidR="004B5F28">
        <w:rPr>
          <w:rFonts w:cs="Helvetica"/>
          <w:color w:val="595959"/>
        </w:rPr>
        <w:t>p</w:t>
      </w:r>
      <w:r w:rsidR="004E12B5">
        <w:rPr>
          <w:rFonts w:cs="Helvetica"/>
          <w:color w:val="595959"/>
        </w:rPr>
        <w:t xml:space="preserve">roduction and </w:t>
      </w:r>
      <w:r w:rsidR="004B5F28">
        <w:rPr>
          <w:rFonts w:cs="Helvetica"/>
          <w:color w:val="595959"/>
        </w:rPr>
        <w:t>c</w:t>
      </w:r>
      <w:r w:rsidR="004E12B5">
        <w:rPr>
          <w:rFonts w:cs="Helvetica"/>
          <w:color w:val="595959"/>
        </w:rPr>
        <w:t>asting</w:t>
      </w:r>
      <w:r w:rsidR="004B5F28">
        <w:rPr>
          <w:rFonts w:cs="Helvetica"/>
          <w:color w:val="595959"/>
        </w:rPr>
        <w:t xml:space="preserve"> processes;</w:t>
      </w:r>
    </w:p>
    <w:p w14:paraId="183C7AE7" w14:textId="01117C87" w:rsidR="00D018AD" w:rsidRDefault="00C14496" w:rsidP="000D0304">
      <w:pPr>
        <w:widowControl w:val="0"/>
        <w:numPr>
          <w:ilvl w:val="0"/>
          <w:numId w:val="56"/>
        </w:numPr>
        <w:tabs>
          <w:tab w:val="left" w:pos="-1440"/>
          <w:tab w:val="left" w:pos="-720"/>
        </w:tabs>
        <w:suppressAutoHyphens/>
        <w:spacing w:after="0" w:line="312" w:lineRule="auto"/>
        <w:ind w:left="714" w:hanging="357"/>
        <w:jc w:val="both"/>
        <w:rPr>
          <w:rFonts w:cs="Helvetica"/>
          <w:color w:val="595959"/>
        </w:rPr>
      </w:pPr>
      <w:r w:rsidRPr="00343530">
        <w:rPr>
          <w:rFonts w:cs="Helvetica"/>
          <w:color w:val="595959"/>
        </w:rPr>
        <w:t>201</w:t>
      </w:r>
      <w:r>
        <w:rPr>
          <w:rFonts w:cs="Helvetica"/>
          <w:color w:val="595959"/>
        </w:rPr>
        <w:t>9</w:t>
      </w:r>
      <w:r w:rsidRPr="00935A71">
        <w:rPr>
          <w:rFonts w:cs="Helvetica"/>
          <w:color w:val="595959"/>
        </w:rPr>
        <w:t xml:space="preserve"> </w:t>
      </w:r>
      <w:r w:rsidR="00315D1B" w:rsidRPr="00935A71">
        <w:rPr>
          <w:rFonts w:cs="Helvetica"/>
          <w:color w:val="595959"/>
        </w:rPr>
        <w:t xml:space="preserve">Anode Effect </w:t>
      </w:r>
      <w:r w:rsidR="004E12B5" w:rsidRPr="00935A71">
        <w:rPr>
          <w:rFonts w:cs="Helvetica"/>
          <w:color w:val="595959"/>
        </w:rPr>
        <w:t>Survey</w:t>
      </w:r>
      <w:r w:rsidR="004B5F28" w:rsidRPr="00935A71">
        <w:rPr>
          <w:rFonts w:cs="Helvetica"/>
          <w:color w:val="595959"/>
        </w:rPr>
        <w:t xml:space="preserve"> (</w:t>
      </w:r>
      <w:r>
        <w:rPr>
          <w:rFonts w:cs="Helvetica"/>
          <w:color w:val="595959"/>
        </w:rPr>
        <w:t>biennial</w:t>
      </w:r>
      <w:r w:rsidR="004B5F28" w:rsidRPr="00935A71">
        <w:rPr>
          <w:rFonts w:cs="Helvetica"/>
          <w:color w:val="595959"/>
        </w:rPr>
        <w:t>) used to calculate perfluorocarbon emissions estimates from the electrolytic process</w:t>
      </w:r>
      <w:r w:rsidR="00D018AD">
        <w:rPr>
          <w:rFonts w:cs="Helvetica"/>
          <w:color w:val="595959"/>
        </w:rPr>
        <w:t>.</w:t>
      </w:r>
    </w:p>
    <w:p w14:paraId="78F3607B" w14:textId="77777777" w:rsidR="00D018AD" w:rsidRDefault="00D018AD" w:rsidP="001A5B9F">
      <w:pPr>
        <w:widowControl w:val="0"/>
        <w:tabs>
          <w:tab w:val="left" w:pos="-1440"/>
          <w:tab w:val="left" w:pos="-720"/>
        </w:tabs>
        <w:suppressAutoHyphens/>
        <w:spacing w:after="0" w:line="312" w:lineRule="auto"/>
        <w:jc w:val="both"/>
        <w:rPr>
          <w:rFonts w:cs="Helvetica"/>
          <w:color w:val="595959"/>
        </w:rPr>
      </w:pPr>
    </w:p>
    <w:p w14:paraId="7D60983A" w14:textId="7265C453" w:rsidR="00D018AD" w:rsidRDefault="004D7928" w:rsidP="002A519B">
      <w:pPr>
        <w:widowControl w:val="0"/>
        <w:tabs>
          <w:tab w:val="left" w:pos="-1440"/>
          <w:tab w:val="left" w:pos="-720"/>
        </w:tabs>
        <w:suppressAutoHyphens/>
        <w:spacing w:after="0" w:line="312" w:lineRule="auto"/>
        <w:jc w:val="both"/>
        <w:rPr>
          <w:rFonts w:cs="Helvetica"/>
          <w:color w:val="595959"/>
        </w:rPr>
      </w:pPr>
      <w:r w:rsidRPr="00C14496">
        <w:rPr>
          <w:rFonts w:cs="Helvetica"/>
          <w:color w:val="595959"/>
        </w:rPr>
        <w:t xml:space="preserve">Survey forms </w:t>
      </w:r>
      <w:r w:rsidR="00F264F0" w:rsidRPr="00C14496">
        <w:rPr>
          <w:rFonts w:cs="Helvetica"/>
          <w:color w:val="595959"/>
        </w:rPr>
        <w:t xml:space="preserve">(Appendix </w:t>
      </w:r>
      <w:r w:rsidR="00DC0540" w:rsidRPr="00C14496">
        <w:rPr>
          <w:rFonts w:cs="Helvetica"/>
          <w:color w:val="595959"/>
        </w:rPr>
        <w:t>C</w:t>
      </w:r>
      <w:r w:rsidR="00F264F0" w:rsidRPr="00C14496">
        <w:rPr>
          <w:rFonts w:cs="Helvetica"/>
          <w:color w:val="595959"/>
        </w:rPr>
        <w:t xml:space="preserve">) </w:t>
      </w:r>
      <w:r w:rsidRPr="00C14496">
        <w:rPr>
          <w:rFonts w:cs="Helvetica"/>
          <w:color w:val="595959"/>
        </w:rPr>
        <w:t xml:space="preserve">were sent out to </w:t>
      </w:r>
      <w:r w:rsidR="009D74CA" w:rsidRPr="00C14496">
        <w:rPr>
          <w:rFonts w:cs="Helvetica"/>
          <w:color w:val="595959"/>
        </w:rPr>
        <w:t>reporters</w:t>
      </w:r>
      <w:r w:rsidRPr="00C14496">
        <w:rPr>
          <w:rFonts w:cs="Helvetica"/>
          <w:color w:val="595959"/>
        </w:rPr>
        <w:t xml:space="preserve"> in </w:t>
      </w:r>
      <w:r w:rsidR="00C14496" w:rsidRPr="00C14496">
        <w:rPr>
          <w:rFonts w:cs="Helvetica"/>
          <w:color w:val="595959"/>
        </w:rPr>
        <w:t xml:space="preserve">Q4 2020 </w:t>
      </w:r>
      <w:r w:rsidRPr="00C14496">
        <w:rPr>
          <w:rFonts w:cs="Helvetica"/>
          <w:color w:val="595959"/>
        </w:rPr>
        <w:t>requesting data for the</w:t>
      </w:r>
      <w:r w:rsidR="009D74CA" w:rsidRPr="00C14496">
        <w:rPr>
          <w:rFonts w:cs="Helvetica"/>
          <w:color w:val="595959"/>
        </w:rPr>
        <w:t xml:space="preserve"> </w:t>
      </w:r>
      <w:r w:rsidR="00C14496" w:rsidRPr="00C14496">
        <w:rPr>
          <w:rFonts w:cs="Helvetica"/>
          <w:color w:val="595959"/>
        </w:rPr>
        <w:t xml:space="preserve">2019 </w:t>
      </w:r>
      <w:r w:rsidRPr="00C14496">
        <w:rPr>
          <w:rFonts w:cs="Helvetica"/>
          <w:color w:val="595959"/>
        </w:rPr>
        <w:t>period</w:t>
      </w:r>
      <w:r w:rsidR="009831A3" w:rsidRPr="00C14496">
        <w:rPr>
          <w:rFonts w:cs="Helvetica"/>
          <w:color w:val="595959"/>
        </w:rPr>
        <w:t xml:space="preserve">.  </w:t>
      </w:r>
      <w:r w:rsidRPr="00C14496">
        <w:rPr>
          <w:rFonts w:cs="Helvetica"/>
          <w:color w:val="595959"/>
        </w:rPr>
        <w:t>The values reported were assessed alongside previous</w:t>
      </w:r>
      <w:r w:rsidR="006221E6" w:rsidRPr="00C14496">
        <w:rPr>
          <w:rFonts w:cs="Helvetica"/>
          <w:color w:val="595959"/>
        </w:rPr>
        <w:t>ly</w:t>
      </w:r>
      <w:r w:rsidR="004F1FEB" w:rsidRPr="00C14496">
        <w:rPr>
          <w:rFonts w:cs="Helvetica"/>
          <w:color w:val="595959"/>
        </w:rPr>
        <w:t xml:space="preserve"> reported values</w:t>
      </w:r>
      <w:r w:rsidRPr="00C14496">
        <w:rPr>
          <w:rFonts w:cs="Helvetica"/>
          <w:color w:val="595959"/>
        </w:rPr>
        <w:t xml:space="preserve"> </w:t>
      </w:r>
      <w:r w:rsidR="004F1FEB" w:rsidRPr="00C14496">
        <w:rPr>
          <w:rFonts w:cs="Helvetica"/>
          <w:color w:val="595959"/>
        </w:rPr>
        <w:t>(</w:t>
      </w:r>
      <w:r w:rsidR="004B5F28" w:rsidRPr="00C14496">
        <w:rPr>
          <w:rFonts w:cs="Helvetica"/>
          <w:color w:val="595959"/>
        </w:rPr>
        <w:t xml:space="preserve">normalised </w:t>
      </w:r>
      <w:r w:rsidRPr="00C14496">
        <w:rPr>
          <w:rFonts w:cs="Helvetica"/>
          <w:color w:val="595959"/>
        </w:rPr>
        <w:t>per tonne of relevant product</w:t>
      </w:r>
      <w:r w:rsidR="004F1FEB" w:rsidRPr="00C14496">
        <w:rPr>
          <w:rFonts w:cs="Helvetica"/>
          <w:color w:val="595959"/>
        </w:rPr>
        <w:t>)</w:t>
      </w:r>
      <w:r w:rsidRPr="00C14496">
        <w:rPr>
          <w:rFonts w:cs="Helvetica"/>
          <w:color w:val="595959"/>
        </w:rPr>
        <w:t xml:space="preserve"> to identify anomalous figures</w:t>
      </w:r>
      <w:r w:rsidR="006221E6" w:rsidRPr="00C14496">
        <w:rPr>
          <w:rFonts w:cs="Helvetica"/>
          <w:color w:val="595959"/>
        </w:rPr>
        <w:t xml:space="preserve">, either as a function of deviation from the </w:t>
      </w:r>
      <w:r w:rsidR="00C14496" w:rsidRPr="00C14496">
        <w:rPr>
          <w:rFonts w:cs="Helvetica"/>
          <w:color w:val="595959"/>
        </w:rPr>
        <w:t xml:space="preserve">2015 </w:t>
      </w:r>
      <w:r w:rsidR="006221E6" w:rsidRPr="00C14496">
        <w:rPr>
          <w:rFonts w:cs="Helvetica"/>
          <w:color w:val="595959"/>
        </w:rPr>
        <w:t xml:space="preserve">data distribution </w:t>
      </w:r>
      <w:r w:rsidR="00CD5152" w:rsidRPr="00C14496">
        <w:rPr>
          <w:rFonts w:cs="Helvetica"/>
          <w:color w:val="595959"/>
        </w:rPr>
        <w:t xml:space="preserve">(+/- 15%) </w:t>
      </w:r>
      <w:r w:rsidR="006221E6" w:rsidRPr="00C14496">
        <w:rPr>
          <w:rFonts w:cs="Helvetica"/>
          <w:color w:val="595959"/>
        </w:rPr>
        <w:t>or substantial change within facilities over time</w:t>
      </w:r>
      <w:r w:rsidR="009831A3" w:rsidRPr="00C14496">
        <w:rPr>
          <w:rFonts w:cs="Helvetica"/>
          <w:color w:val="595959"/>
        </w:rPr>
        <w:t xml:space="preserve">.  </w:t>
      </w:r>
      <w:r w:rsidR="004B5F28" w:rsidRPr="00C14496">
        <w:rPr>
          <w:rFonts w:cs="Helvetica"/>
          <w:color w:val="595959"/>
        </w:rPr>
        <w:t>A</w:t>
      </w:r>
      <w:r w:rsidR="009D74CA" w:rsidRPr="00C14496">
        <w:rPr>
          <w:rFonts w:cs="Helvetica"/>
          <w:color w:val="595959"/>
        </w:rPr>
        <w:t>nomalous</w:t>
      </w:r>
      <w:r w:rsidRPr="00C14496">
        <w:rPr>
          <w:rFonts w:cs="Helvetica"/>
          <w:color w:val="595959"/>
        </w:rPr>
        <w:t xml:space="preserve"> </w:t>
      </w:r>
      <w:r w:rsidR="004B5F28" w:rsidRPr="00C14496">
        <w:rPr>
          <w:rFonts w:cs="Helvetica"/>
          <w:color w:val="595959"/>
        </w:rPr>
        <w:t>data were queried</w:t>
      </w:r>
      <w:r w:rsidRPr="00C14496">
        <w:rPr>
          <w:rFonts w:cs="Helvetica"/>
          <w:color w:val="595959"/>
        </w:rPr>
        <w:t xml:space="preserve"> </w:t>
      </w:r>
      <w:r w:rsidR="004B5F28" w:rsidRPr="00C14496">
        <w:rPr>
          <w:rFonts w:cs="Helvetica"/>
          <w:color w:val="595959"/>
        </w:rPr>
        <w:t>and</w:t>
      </w:r>
      <w:r w:rsidRPr="00C14496">
        <w:rPr>
          <w:rFonts w:cs="Helvetica"/>
          <w:color w:val="595959"/>
        </w:rPr>
        <w:t xml:space="preserve"> confirmed or amended</w:t>
      </w:r>
      <w:r w:rsidR="004B5F28" w:rsidRPr="00C14496">
        <w:rPr>
          <w:rFonts w:cs="Helvetica"/>
          <w:color w:val="595959"/>
        </w:rPr>
        <w:t xml:space="preserve"> by survey respondents</w:t>
      </w:r>
      <w:r w:rsidR="009831A3" w:rsidRPr="00C14496">
        <w:rPr>
          <w:rFonts w:cs="Helvetica"/>
          <w:color w:val="595959"/>
        </w:rPr>
        <w:t xml:space="preserve">.  </w:t>
      </w:r>
      <w:r w:rsidR="00303B58" w:rsidRPr="00C14496">
        <w:rPr>
          <w:rFonts w:cs="Helvetica"/>
          <w:color w:val="595959"/>
        </w:rPr>
        <w:t xml:space="preserve">In some cases, where data could not be verified by the reporter, the Secretariat made the decision to either exclude </w:t>
      </w:r>
      <w:r w:rsidR="00CD5152" w:rsidRPr="00C14496">
        <w:rPr>
          <w:rFonts w:cs="Helvetica"/>
          <w:color w:val="595959"/>
        </w:rPr>
        <w:t xml:space="preserve">(+/- 2 SD or &gt;15% deviation per tonne from </w:t>
      </w:r>
      <w:r w:rsidR="00C14496" w:rsidRPr="00C14496">
        <w:rPr>
          <w:rFonts w:cs="Helvetica"/>
          <w:color w:val="595959"/>
        </w:rPr>
        <w:t>2015</w:t>
      </w:r>
      <w:r w:rsidR="00CD5152" w:rsidRPr="00C14496">
        <w:rPr>
          <w:rFonts w:cs="Helvetica"/>
          <w:color w:val="595959"/>
        </w:rPr>
        <w:t>)</w:t>
      </w:r>
      <w:r w:rsidR="00303B58" w:rsidRPr="00C14496">
        <w:rPr>
          <w:rFonts w:cs="Helvetica"/>
          <w:color w:val="595959"/>
        </w:rPr>
        <w:t xml:space="preserve"> or make</w:t>
      </w:r>
      <w:r w:rsidR="00303B58">
        <w:rPr>
          <w:rFonts w:cs="Helvetica"/>
          <w:color w:val="595959"/>
        </w:rPr>
        <w:t xml:space="preserve"> assumptions to amend the data where possible</w:t>
      </w:r>
      <w:r w:rsidR="00CD5152">
        <w:rPr>
          <w:rFonts w:cs="Helvetica"/>
          <w:color w:val="595959"/>
        </w:rPr>
        <w:t xml:space="preserve"> e.g</w:t>
      </w:r>
      <w:r w:rsidR="009831A3">
        <w:rPr>
          <w:rFonts w:cs="Helvetica"/>
          <w:color w:val="595959"/>
        </w:rPr>
        <w:t xml:space="preserve">. </w:t>
      </w:r>
      <w:r w:rsidR="00CD5152">
        <w:rPr>
          <w:rFonts w:cs="Helvetica"/>
          <w:color w:val="595959"/>
        </w:rPr>
        <w:t>reporter unit errors</w:t>
      </w:r>
      <w:r w:rsidR="00303B58">
        <w:rPr>
          <w:rFonts w:cs="Helvetica"/>
          <w:color w:val="595959"/>
        </w:rPr>
        <w:t>.</w:t>
      </w:r>
      <w:r w:rsidR="00BF4FC1">
        <w:rPr>
          <w:rFonts w:cs="Helvetica"/>
          <w:color w:val="595959"/>
        </w:rPr>
        <w:t xml:space="preserve"> Where necessary, the Secretariat also made assumptions about non-reporting for selected data points (See Section 2.9)</w:t>
      </w:r>
      <w:r w:rsidR="0009332F">
        <w:rPr>
          <w:rFonts w:cs="Helvetica"/>
          <w:color w:val="595959"/>
        </w:rPr>
        <w:t>. In these instances, if a respondent reported data for an input/output flow</w:t>
      </w:r>
      <w:r w:rsidR="00BF4FC1">
        <w:rPr>
          <w:rFonts w:cs="Helvetica"/>
          <w:color w:val="595959"/>
        </w:rPr>
        <w:t xml:space="preserve"> with an array of answers, </w:t>
      </w:r>
      <w:r w:rsidR="0009332F">
        <w:rPr>
          <w:rFonts w:cs="Helvetica"/>
          <w:color w:val="595959"/>
        </w:rPr>
        <w:t xml:space="preserve">answers in the array that were left blank </w:t>
      </w:r>
      <w:r w:rsidR="00BF4FC1">
        <w:rPr>
          <w:rFonts w:cs="Helvetica"/>
          <w:color w:val="595959"/>
        </w:rPr>
        <w:t xml:space="preserve">were replaced with zero values. </w:t>
      </w:r>
    </w:p>
    <w:p w14:paraId="5782EA16" w14:textId="77777777" w:rsidR="004D7928" w:rsidRPr="000D0304" w:rsidRDefault="004D7928" w:rsidP="00DA5301">
      <w:pPr>
        <w:pStyle w:val="Heading2"/>
      </w:pPr>
      <w:bookmarkStart w:id="50" w:name="_Toc484678393"/>
      <w:bookmarkStart w:id="51" w:name="_Toc484679804"/>
      <w:bookmarkStart w:id="52" w:name="_Toc363829098"/>
      <w:bookmarkStart w:id="53" w:name="_Toc120111918"/>
      <w:bookmarkEnd w:id="50"/>
      <w:bookmarkEnd w:id="51"/>
      <w:r w:rsidRPr="000D0304">
        <w:lastRenderedPageBreak/>
        <w:t xml:space="preserve">Survey </w:t>
      </w:r>
      <w:r w:rsidR="00D02D5D">
        <w:t>C</w:t>
      </w:r>
      <w:r w:rsidRPr="000D0304">
        <w:t>overage</w:t>
      </w:r>
      <w:bookmarkEnd w:id="52"/>
      <w:bookmarkEnd w:id="53"/>
    </w:p>
    <w:p w14:paraId="545B2ECC" w14:textId="0E4441DC" w:rsidR="004D7928" w:rsidRDefault="000E0675" w:rsidP="009E11C8">
      <w:pPr>
        <w:pStyle w:val="BodyText"/>
        <w:spacing w:line="312" w:lineRule="auto"/>
        <w:rPr>
          <w:rFonts w:ascii="Helvetica" w:hAnsi="Helvetica" w:cs="Helvetica"/>
          <w:color w:val="595959"/>
          <w:sz w:val="20"/>
          <w:szCs w:val="24"/>
        </w:rPr>
      </w:pPr>
      <w:r>
        <w:rPr>
          <w:rFonts w:ascii="Helvetica" w:hAnsi="Helvetica" w:cs="Helvetica"/>
          <w:color w:val="595959"/>
          <w:sz w:val="20"/>
          <w:szCs w:val="24"/>
        </w:rPr>
        <w:t xml:space="preserve">Figure </w:t>
      </w:r>
      <w:r w:rsidR="00B63273">
        <w:rPr>
          <w:rFonts w:ascii="Helvetica" w:hAnsi="Helvetica" w:cs="Helvetica"/>
          <w:color w:val="595959"/>
          <w:sz w:val="20"/>
          <w:szCs w:val="24"/>
        </w:rPr>
        <w:t>3</w:t>
      </w:r>
      <w:r w:rsidR="0041784C">
        <w:rPr>
          <w:rFonts w:ascii="Helvetica" w:hAnsi="Helvetica" w:cs="Helvetica"/>
          <w:color w:val="595959"/>
          <w:sz w:val="20"/>
          <w:szCs w:val="24"/>
        </w:rPr>
        <w:t xml:space="preserve"> illustrates</w:t>
      </w:r>
      <w:r>
        <w:rPr>
          <w:rFonts w:ascii="Helvetica" w:hAnsi="Helvetica" w:cs="Helvetica"/>
          <w:color w:val="595959"/>
          <w:sz w:val="20"/>
          <w:szCs w:val="24"/>
        </w:rPr>
        <w:t xml:space="preserve"> the coverage</w:t>
      </w:r>
      <w:r w:rsidR="00D36403">
        <w:rPr>
          <w:rFonts w:ascii="Helvetica" w:hAnsi="Helvetica" w:cs="Helvetica"/>
          <w:color w:val="595959"/>
          <w:sz w:val="20"/>
          <w:szCs w:val="24"/>
        </w:rPr>
        <w:t xml:space="preserve"> o</w:t>
      </w:r>
      <w:r w:rsidR="0041784C">
        <w:rPr>
          <w:rFonts w:ascii="Helvetica" w:hAnsi="Helvetica" w:cs="Helvetica"/>
          <w:color w:val="595959"/>
          <w:sz w:val="20"/>
          <w:szCs w:val="24"/>
        </w:rPr>
        <w:t xml:space="preserve">f </w:t>
      </w:r>
      <w:r w:rsidR="00DD32D8">
        <w:rPr>
          <w:rFonts w:ascii="Helvetica" w:hAnsi="Helvetica" w:cs="Helvetica"/>
          <w:color w:val="595959"/>
          <w:sz w:val="20"/>
          <w:szCs w:val="24"/>
        </w:rPr>
        <w:t xml:space="preserve">LCI and </w:t>
      </w:r>
      <w:r w:rsidR="00814FAB">
        <w:rPr>
          <w:rFonts w:ascii="Helvetica" w:hAnsi="Helvetica" w:cs="Helvetica"/>
          <w:color w:val="595959"/>
          <w:sz w:val="20"/>
          <w:szCs w:val="24"/>
        </w:rPr>
        <w:t>E</w:t>
      </w:r>
      <w:r w:rsidR="00DD32D8">
        <w:rPr>
          <w:rFonts w:ascii="Helvetica" w:hAnsi="Helvetica" w:cs="Helvetica"/>
          <w:color w:val="595959"/>
          <w:sz w:val="20"/>
          <w:szCs w:val="24"/>
        </w:rPr>
        <w:t>nergy</w:t>
      </w:r>
      <w:r w:rsidR="00814FAB">
        <w:rPr>
          <w:rFonts w:ascii="Helvetica" w:hAnsi="Helvetica" w:cs="Helvetica"/>
          <w:color w:val="595959"/>
          <w:sz w:val="20"/>
          <w:szCs w:val="24"/>
        </w:rPr>
        <w:t xml:space="preserve"> S</w:t>
      </w:r>
      <w:r w:rsidR="00DD32D8">
        <w:rPr>
          <w:rFonts w:ascii="Helvetica" w:hAnsi="Helvetica" w:cs="Helvetica"/>
          <w:color w:val="595959"/>
          <w:sz w:val="20"/>
          <w:szCs w:val="24"/>
        </w:rPr>
        <w:t xml:space="preserve">urvey </w:t>
      </w:r>
      <w:r w:rsidR="00814FAB">
        <w:rPr>
          <w:rFonts w:ascii="Helvetica" w:hAnsi="Helvetica" w:cs="Helvetica"/>
          <w:color w:val="595959"/>
          <w:sz w:val="20"/>
          <w:szCs w:val="24"/>
        </w:rPr>
        <w:t xml:space="preserve">data </w:t>
      </w:r>
      <w:r w:rsidR="00DD32D8">
        <w:rPr>
          <w:rFonts w:ascii="Helvetica" w:hAnsi="Helvetica" w:cs="Helvetica"/>
          <w:color w:val="595959"/>
          <w:sz w:val="20"/>
          <w:szCs w:val="24"/>
        </w:rPr>
        <w:t>for</w:t>
      </w:r>
      <w:r w:rsidR="0041784C">
        <w:rPr>
          <w:rFonts w:ascii="Helvetica" w:hAnsi="Helvetica" w:cs="Helvetica"/>
          <w:color w:val="595959"/>
          <w:sz w:val="20"/>
          <w:szCs w:val="24"/>
        </w:rPr>
        <w:t xml:space="preserve"> </w:t>
      </w:r>
      <w:r w:rsidR="00C14496">
        <w:rPr>
          <w:rFonts w:ascii="Helvetica" w:hAnsi="Helvetica" w:cs="Helvetica"/>
          <w:color w:val="595959"/>
          <w:sz w:val="20"/>
          <w:szCs w:val="24"/>
        </w:rPr>
        <w:t xml:space="preserve">2019 </w:t>
      </w:r>
      <w:r w:rsidR="00DD32D8">
        <w:rPr>
          <w:rFonts w:ascii="Helvetica" w:hAnsi="Helvetica" w:cs="Helvetica"/>
          <w:color w:val="595959"/>
          <w:sz w:val="20"/>
          <w:szCs w:val="24"/>
        </w:rPr>
        <w:t>alumina</w:t>
      </w:r>
      <w:r w:rsidR="00814FAB">
        <w:rPr>
          <w:rFonts w:ascii="Helvetica" w:hAnsi="Helvetica" w:cs="Helvetica"/>
          <w:color w:val="595959"/>
          <w:sz w:val="20"/>
          <w:szCs w:val="24"/>
        </w:rPr>
        <w:t xml:space="preserve"> production, per region</w:t>
      </w:r>
      <w:r w:rsidR="009831A3">
        <w:rPr>
          <w:rFonts w:ascii="Helvetica" w:hAnsi="Helvetica" w:cs="Helvetica"/>
          <w:color w:val="595959"/>
          <w:sz w:val="20"/>
          <w:szCs w:val="24"/>
        </w:rPr>
        <w:t xml:space="preserve">.  </w:t>
      </w:r>
      <w:r w:rsidR="001B181D">
        <w:rPr>
          <w:rFonts w:ascii="Helvetica" w:hAnsi="Helvetica" w:cs="Helvetica"/>
          <w:color w:val="595959"/>
          <w:sz w:val="20"/>
          <w:szCs w:val="24"/>
        </w:rPr>
        <w:t>Response rates using</w:t>
      </w:r>
      <w:r w:rsidR="004E12B5">
        <w:rPr>
          <w:rFonts w:ascii="Helvetica" w:hAnsi="Helvetica" w:cs="Helvetica"/>
          <w:color w:val="595959"/>
          <w:sz w:val="20"/>
          <w:szCs w:val="24"/>
        </w:rPr>
        <w:t xml:space="preserve"> the relevant </w:t>
      </w:r>
      <w:r w:rsidR="001B181D">
        <w:rPr>
          <w:rFonts w:ascii="Helvetica" w:hAnsi="Helvetica" w:cs="Helvetica"/>
          <w:color w:val="595959"/>
          <w:sz w:val="20"/>
          <w:szCs w:val="24"/>
        </w:rPr>
        <w:t>global</w:t>
      </w:r>
      <w:r w:rsidR="004E12B5">
        <w:rPr>
          <w:rFonts w:ascii="Helvetica" w:hAnsi="Helvetica" w:cs="Helvetica"/>
          <w:color w:val="595959"/>
          <w:sz w:val="20"/>
          <w:szCs w:val="24"/>
        </w:rPr>
        <w:t xml:space="preserve"> or regional</w:t>
      </w:r>
      <w:r w:rsidR="001B181D">
        <w:rPr>
          <w:rFonts w:ascii="Helvetica" w:hAnsi="Helvetica" w:cs="Helvetica"/>
          <w:color w:val="595959"/>
          <w:sz w:val="20"/>
          <w:szCs w:val="24"/>
        </w:rPr>
        <w:t xml:space="preserve"> production figures as the denominator are available for each individual data point in </w:t>
      </w:r>
      <w:r w:rsidR="001B181D" w:rsidRPr="006C7F49">
        <w:rPr>
          <w:rFonts w:ascii="Helvetica" w:hAnsi="Helvetica" w:cs="Helvetica"/>
          <w:color w:val="595959"/>
          <w:sz w:val="20"/>
          <w:szCs w:val="24"/>
        </w:rPr>
        <w:t xml:space="preserve">Appendix </w:t>
      </w:r>
      <w:r w:rsidR="007F1656" w:rsidRPr="006C7F49">
        <w:rPr>
          <w:rFonts w:ascii="Helvetica" w:hAnsi="Helvetica" w:cs="Helvetica"/>
          <w:color w:val="595959"/>
          <w:sz w:val="20"/>
          <w:szCs w:val="24"/>
        </w:rPr>
        <w:t>A</w:t>
      </w:r>
      <w:r w:rsidR="009831A3" w:rsidRPr="006C7F49">
        <w:rPr>
          <w:rFonts w:ascii="Helvetica" w:hAnsi="Helvetica" w:cs="Helvetica"/>
          <w:color w:val="595959"/>
          <w:sz w:val="20"/>
          <w:szCs w:val="24"/>
        </w:rPr>
        <w:t>.</w:t>
      </w:r>
      <w:r w:rsidR="009831A3">
        <w:rPr>
          <w:rFonts w:ascii="Helvetica" w:hAnsi="Helvetica" w:cs="Helvetica"/>
          <w:color w:val="595959"/>
          <w:sz w:val="20"/>
          <w:szCs w:val="24"/>
        </w:rPr>
        <w:t xml:space="preserve">  </w:t>
      </w:r>
    </w:p>
    <w:p w14:paraId="491F3C06" w14:textId="77777777" w:rsidR="00A13421" w:rsidRPr="005F0AA8" w:rsidRDefault="00A13421" w:rsidP="000D0304">
      <w:pPr>
        <w:pStyle w:val="BodyText"/>
        <w:spacing w:line="312" w:lineRule="auto"/>
        <w:rPr>
          <w:rFonts w:ascii="Helvetica" w:hAnsi="Helvetica" w:cs="Helvetica"/>
          <w:color w:val="595959"/>
          <w:sz w:val="20"/>
          <w:szCs w:val="20"/>
        </w:rPr>
      </w:pPr>
    </w:p>
    <w:p w14:paraId="4E4E8BF1" w14:textId="5ADCA961" w:rsidR="00A13421" w:rsidRPr="00A13421" w:rsidRDefault="00A13421">
      <w:pPr>
        <w:spacing w:after="0" w:line="312" w:lineRule="auto"/>
        <w:jc w:val="both"/>
        <w:rPr>
          <w:rFonts w:eastAsia="Times New Roman" w:cs="Helvetica"/>
          <w:iCs/>
          <w:color w:val="595959"/>
          <w:szCs w:val="20"/>
          <w:lang w:eastAsia="ar-SA"/>
        </w:rPr>
      </w:pPr>
      <w:r w:rsidRPr="005F0AA8">
        <w:rPr>
          <w:rFonts w:eastAsia="Times New Roman" w:cs="Helvetica"/>
          <w:iCs/>
          <w:color w:val="595959"/>
          <w:szCs w:val="20"/>
          <w:lang w:eastAsia="ar-SA"/>
        </w:rPr>
        <w:t xml:space="preserve">The Chinese aluminium industry (accounting for </w:t>
      </w:r>
      <w:r w:rsidR="00C14496" w:rsidRPr="005F0AA8">
        <w:rPr>
          <w:rFonts w:eastAsia="Times New Roman" w:cs="Helvetica"/>
          <w:iCs/>
          <w:color w:val="595959"/>
          <w:szCs w:val="20"/>
          <w:lang w:eastAsia="ar-SA"/>
        </w:rPr>
        <w:t>5</w:t>
      </w:r>
      <w:r w:rsidR="00C14496">
        <w:rPr>
          <w:rFonts w:eastAsia="Times New Roman" w:cs="Helvetica"/>
          <w:iCs/>
          <w:color w:val="595959"/>
          <w:szCs w:val="20"/>
          <w:lang w:eastAsia="ar-SA"/>
        </w:rPr>
        <w:t>4</w:t>
      </w:r>
      <w:r w:rsidRPr="005F0AA8">
        <w:rPr>
          <w:rFonts w:eastAsia="Times New Roman" w:cs="Helvetica"/>
          <w:iCs/>
          <w:color w:val="595959"/>
          <w:szCs w:val="20"/>
          <w:lang w:eastAsia="ar-SA"/>
        </w:rPr>
        <w:t xml:space="preserve">% and </w:t>
      </w:r>
      <w:r w:rsidR="00C14496" w:rsidRPr="005F0AA8">
        <w:rPr>
          <w:rFonts w:eastAsia="Times New Roman" w:cs="Helvetica"/>
          <w:iCs/>
          <w:color w:val="595959"/>
          <w:szCs w:val="20"/>
          <w:lang w:eastAsia="ar-SA"/>
        </w:rPr>
        <w:t>5</w:t>
      </w:r>
      <w:r w:rsidR="00C14496">
        <w:rPr>
          <w:rFonts w:eastAsia="Times New Roman" w:cs="Helvetica"/>
          <w:iCs/>
          <w:color w:val="595959"/>
          <w:szCs w:val="20"/>
          <w:lang w:eastAsia="ar-SA"/>
        </w:rPr>
        <w:t>6</w:t>
      </w:r>
      <w:r w:rsidRPr="005F0AA8">
        <w:rPr>
          <w:rFonts w:eastAsia="Times New Roman" w:cs="Helvetica"/>
          <w:iCs/>
          <w:color w:val="595959"/>
          <w:szCs w:val="20"/>
          <w:lang w:eastAsia="ar-SA"/>
        </w:rPr>
        <w:t xml:space="preserve">% of the world’s </w:t>
      </w:r>
      <w:r w:rsidR="00C14496" w:rsidRPr="005F0AA8">
        <w:rPr>
          <w:rFonts w:eastAsia="Times New Roman" w:cs="Helvetica"/>
          <w:iCs/>
          <w:color w:val="595959"/>
          <w:szCs w:val="20"/>
          <w:lang w:eastAsia="ar-SA"/>
        </w:rPr>
        <w:t>201</w:t>
      </w:r>
      <w:r w:rsidR="00C14496">
        <w:rPr>
          <w:rFonts w:eastAsia="Times New Roman" w:cs="Helvetica"/>
          <w:iCs/>
          <w:color w:val="595959"/>
          <w:szCs w:val="20"/>
          <w:lang w:eastAsia="ar-SA"/>
        </w:rPr>
        <w:t>9</w:t>
      </w:r>
      <w:r w:rsidR="00C14496" w:rsidRPr="005F0AA8">
        <w:rPr>
          <w:rFonts w:eastAsia="Times New Roman" w:cs="Helvetica"/>
          <w:iCs/>
          <w:color w:val="595959"/>
          <w:szCs w:val="20"/>
          <w:lang w:eastAsia="ar-SA"/>
        </w:rPr>
        <w:t xml:space="preserve"> </w:t>
      </w:r>
      <w:r w:rsidRPr="005F0AA8">
        <w:rPr>
          <w:rFonts w:eastAsia="Times New Roman" w:cs="Helvetica"/>
          <w:iCs/>
          <w:color w:val="595959"/>
          <w:szCs w:val="20"/>
          <w:lang w:eastAsia="ar-SA"/>
        </w:rPr>
        <w:t xml:space="preserve">alumina and primary </w:t>
      </w:r>
      <w:r w:rsidRPr="00A13421">
        <w:rPr>
          <w:rFonts w:eastAsia="Times New Roman" w:cs="Helvetica"/>
          <w:iCs/>
          <w:color w:val="595959"/>
          <w:szCs w:val="20"/>
          <w:lang w:eastAsia="ar-SA"/>
        </w:rPr>
        <w:t>aluminium production respectively) currently reports energy data to the IAI on an aggregated China-wide basis (via the China Nonferrous Metals Industry Association).  This forms the basis of Chinese energy data published annually by the IAI (</w:t>
      </w:r>
      <w:hyperlink r:id="rId13" w:history="1">
        <w:r w:rsidR="00C14496" w:rsidRPr="00C14496">
          <w:rPr>
            <w:rStyle w:val="Hyperlink"/>
            <w:rFonts w:eastAsia="Times New Roman" w:cs="Helvetica"/>
            <w:iCs/>
            <w:szCs w:val="20"/>
            <w:lang w:eastAsia="ar-SA"/>
          </w:rPr>
          <w:t>http://www.international-aluminium.org/statistics)</w:t>
        </w:r>
      </w:hyperlink>
      <w:r w:rsidRPr="00A13421">
        <w:rPr>
          <w:rFonts w:eastAsia="Times New Roman" w:cs="Helvetica"/>
          <w:iCs/>
          <w:color w:val="595959"/>
          <w:szCs w:val="20"/>
          <w:lang w:eastAsia="ar-SA"/>
        </w:rPr>
        <w:t xml:space="preserve"> and included Figure </w:t>
      </w:r>
      <w:r w:rsidR="00B63273">
        <w:rPr>
          <w:rFonts w:eastAsia="Times New Roman" w:cs="Helvetica"/>
          <w:iCs/>
          <w:color w:val="595959"/>
          <w:szCs w:val="20"/>
          <w:lang w:eastAsia="ar-SA"/>
        </w:rPr>
        <w:t>2</w:t>
      </w:r>
      <w:r w:rsidRPr="00A13421">
        <w:rPr>
          <w:rFonts w:eastAsia="Times New Roman" w:cs="Helvetica"/>
          <w:iCs/>
          <w:color w:val="595959"/>
          <w:szCs w:val="20"/>
          <w:lang w:eastAsia="ar-SA"/>
        </w:rPr>
        <w:t xml:space="preserve">. </w:t>
      </w:r>
      <w:r w:rsidR="002A519B">
        <w:rPr>
          <w:rFonts w:eastAsia="Times New Roman" w:cs="Helvetica"/>
          <w:iCs/>
          <w:color w:val="595959"/>
          <w:szCs w:val="20"/>
          <w:lang w:eastAsia="ar-SA"/>
        </w:rPr>
        <w:t xml:space="preserve">2019 LCIs, for the first time, include facility specific energy data from China </w:t>
      </w:r>
      <w:r w:rsidR="00EC67F6">
        <w:rPr>
          <w:rFonts w:eastAsia="Times New Roman" w:cs="Helvetica"/>
          <w:iCs/>
          <w:color w:val="595959"/>
          <w:szCs w:val="20"/>
          <w:lang w:eastAsia="ar-SA"/>
        </w:rPr>
        <w:t xml:space="preserve">industry, </w:t>
      </w:r>
      <w:r w:rsidR="00EC67F6" w:rsidRPr="00A13421">
        <w:rPr>
          <w:rFonts w:eastAsia="Times New Roman" w:cs="Helvetica"/>
          <w:iCs/>
          <w:color w:val="595959"/>
          <w:szCs w:val="20"/>
          <w:lang w:eastAsia="ar-SA"/>
        </w:rPr>
        <w:t>which</w:t>
      </w:r>
      <w:r w:rsidR="00C14496">
        <w:rPr>
          <w:rFonts w:eastAsia="Times New Roman" w:cs="Helvetica"/>
          <w:iCs/>
          <w:color w:val="595959"/>
          <w:szCs w:val="20"/>
          <w:lang w:eastAsia="ar-SA"/>
        </w:rPr>
        <w:t xml:space="preserve"> has improved the statistical accuracy for this important region.</w:t>
      </w:r>
    </w:p>
    <w:p w14:paraId="365B8D9E" w14:textId="77777777" w:rsidR="00A13421" w:rsidRPr="00A13421" w:rsidRDefault="00A13421">
      <w:pPr>
        <w:spacing w:after="0" w:line="312" w:lineRule="auto"/>
        <w:jc w:val="both"/>
        <w:rPr>
          <w:rFonts w:eastAsia="Times New Roman" w:cs="Helvetica"/>
          <w:iCs/>
          <w:color w:val="595959"/>
          <w:szCs w:val="20"/>
          <w:lang w:eastAsia="ar-SA"/>
        </w:rPr>
      </w:pPr>
    </w:p>
    <w:p w14:paraId="7154C3E8" w14:textId="7770F6F7" w:rsidR="00A13421" w:rsidRDefault="00C14496" w:rsidP="00C14496">
      <w:pPr>
        <w:spacing w:after="0" w:line="312" w:lineRule="auto"/>
        <w:jc w:val="both"/>
        <w:rPr>
          <w:rFonts w:eastAsia="Times New Roman" w:cs="Helvetica"/>
          <w:iCs/>
          <w:color w:val="595959"/>
          <w:szCs w:val="20"/>
          <w:lang w:eastAsia="ar-SA"/>
        </w:rPr>
      </w:pPr>
      <w:r w:rsidRPr="002A519B">
        <w:rPr>
          <w:rFonts w:eastAsia="Times New Roman" w:cs="Helvetica"/>
          <w:iCs/>
          <w:color w:val="595959"/>
          <w:szCs w:val="20"/>
          <w:lang w:eastAsia="ar-SA"/>
        </w:rPr>
        <w:t>D</w:t>
      </w:r>
      <w:r w:rsidR="00A13421" w:rsidRPr="002A519B">
        <w:rPr>
          <w:rFonts w:eastAsia="Times New Roman" w:cs="Helvetica"/>
          <w:iCs/>
          <w:color w:val="595959"/>
          <w:szCs w:val="20"/>
          <w:lang w:eastAsia="ar-SA"/>
        </w:rPr>
        <w:t xml:space="preserve">ata on PFC emissions directly measured at a sample of Chinese smelters between 2008 and </w:t>
      </w:r>
      <w:r w:rsidRPr="002A519B">
        <w:rPr>
          <w:rFonts w:eastAsia="Times New Roman" w:cs="Helvetica"/>
          <w:iCs/>
          <w:color w:val="595959"/>
          <w:szCs w:val="20"/>
          <w:lang w:eastAsia="ar-SA"/>
        </w:rPr>
        <w:t>2013</w:t>
      </w:r>
      <w:r w:rsidR="00A13421" w:rsidRPr="002A519B">
        <w:rPr>
          <w:rFonts w:eastAsia="Times New Roman" w:cs="Helvetica"/>
          <w:iCs/>
          <w:color w:val="595959"/>
          <w:szCs w:val="20"/>
          <w:lang w:eastAsia="ar-SA"/>
        </w:rPr>
        <w:t>, forms the basis of assumptions of Chinese emissions performance, as reported in the IAI’s annual Anode Effect Survey Reports (</w:t>
      </w:r>
      <w:r w:rsidRPr="002A519B">
        <w:rPr>
          <w:rStyle w:val="Hyperlink"/>
          <w:rFonts w:eastAsia="Times New Roman" w:cs="Helvetica"/>
          <w:iCs/>
          <w:szCs w:val="20"/>
          <w:lang w:eastAsia="ar-SA"/>
        </w:rPr>
        <w:t>https://international-aluminium.org/statistics/perfluorocarbon-pfc-emissions</w:t>
      </w:r>
      <w:r w:rsidRPr="00C14496">
        <w:t>/</w:t>
      </w:r>
      <w:r w:rsidR="00A13421" w:rsidRPr="002A519B">
        <w:rPr>
          <w:rFonts w:eastAsia="Times New Roman" w:cs="Helvetica"/>
          <w:iCs/>
          <w:color w:val="595959"/>
          <w:szCs w:val="20"/>
          <w:lang w:eastAsia="ar-SA"/>
        </w:rPr>
        <w:t>).</w:t>
      </w:r>
      <w:r w:rsidR="00A13421" w:rsidRPr="00A13421">
        <w:rPr>
          <w:rFonts w:eastAsia="Times New Roman" w:cs="Helvetica"/>
          <w:iCs/>
          <w:color w:val="595959"/>
          <w:szCs w:val="20"/>
          <w:lang w:eastAsia="ar-SA"/>
        </w:rPr>
        <w:t xml:space="preserve">  </w:t>
      </w:r>
    </w:p>
    <w:p w14:paraId="5BEC8F7E" w14:textId="77777777" w:rsidR="00A13421" w:rsidRPr="00A13421" w:rsidRDefault="00A13421" w:rsidP="000D0304">
      <w:pPr>
        <w:spacing w:after="0" w:line="312" w:lineRule="auto"/>
        <w:jc w:val="both"/>
        <w:rPr>
          <w:rFonts w:cs="Helvetica"/>
          <w:color w:val="595959"/>
          <w:szCs w:val="20"/>
        </w:rPr>
      </w:pPr>
    </w:p>
    <w:p w14:paraId="6F2717FF" w14:textId="16AF2675" w:rsidR="002A519B" w:rsidRDefault="00334CD9" w:rsidP="002A519B">
      <w:pPr>
        <w:spacing w:after="0" w:line="312" w:lineRule="auto"/>
        <w:jc w:val="both"/>
        <w:rPr>
          <w:rFonts w:eastAsia="Times New Roman" w:cs="Helvetica"/>
          <w:iCs/>
          <w:color w:val="595959"/>
          <w:szCs w:val="20"/>
          <w:lang w:eastAsia="ar-SA"/>
        </w:rPr>
      </w:pPr>
      <w:r w:rsidRPr="002A519B">
        <w:rPr>
          <w:rFonts w:eastAsia="Times New Roman" w:cs="Helvetica"/>
          <w:iCs/>
          <w:color w:val="595959"/>
          <w:szCs w:val="20"/>
          <w:lang w:eastAsia="ar-SA"/>
        </w:rPr>
        <w:t>PFC measurements made on the modern cells brought to light the fact that PFC emissions can, and do occur, outside those times when the cell is on anode effect with average cell voltage exceeding the defined trigger voltage; eight volts for many cell technologies. This reali</w:t>
      </w:r>
      <w:r w:rsidR="00452FED">
        <w:rPr>
          <w:rFonts w:eastAsia="Times New Roman" w:cs="Helvetica"/>
          <w:iCs/>
          <w:color w:val="595959"/>
          <w:szCs w:val="20"/>
          <w:lang w:eastAsia="ar-SA"/>
        </w:rPr>
        <w:t>s</w:t>
      </w:r>
      <w:r w:rsidRPr="002A519B">
        <w:rPr>
          <w:rFonts w:eastAsia="Times New Roman" w:cs="Helvetica"/>
          <w:iCs/>
          <w:color w:val="595959"/>
          <w:szCs w:val="20"/>
          <w:lang w:eastAsia="ar-SA"/>
        </w:rPr>
        <w:t>ation has resulted in redefining these emissions into two categories - high voltage (HV) PFC emissions and low voltage (LV) PFC emissions.</w:t>
      </w:r>
      <w:r w:rsidR="002A519B">
        <w:rPr>
          <w:rFonts w:eastAsia="Times New Roman" w:cs="Helvetica"/>
          <w:iCs/>
          <w:color w:val="595959"/>
          <w:szCs w:val="20"/>
          <w:lang w:eastAsia="ar-SA"/>
        </w:rPr>
        <w:t xml:space="preserve"> By following the </w:t>
      </w:r>
      <w:r w:rsidR="002A519B" w:rsidRPr="00C14496">
        <w:rPr>
          <w:rFonts w:eastAsia="Times New Roman" w:cs="Helvetica"/>
          <w:iCs/>
          <w:color w:val="595959"/>
          <w:szCs w:val="20"/>
          <w:lang w:eastAsia="ar-SA"/>
        </w:rPr>
        <w:t>2019 Refinement to the 2006 IPCC Guidelines for National Greenhouse Gas Inventories</w:t>
      </w:r>
      <w:r w:rsidR="002A519B">
        <w:rPr>
          <w:rFonts w:eastAsia="Times New Roman" w:cs="Helvetica"/>
          <w:iCs/>
          <w:color w:val="595959"/>
          <w:szCs w:val="20"/>
          <w:lang w:eastAsia="ar-SA"/>
        </w:rPr>
        <w:t xml:space="preserve">, PFCs contained in this report includes </w:t>
      </w:r>
      <w:r w:rsidR="002A519B" w:rsidRPr="00C14496">
        <w:rPr>
          <w:rFonts w:eastAsia="Times New Roman" w:cs="Helvetica"/>
          <w:iCs/>
          <w:color w:val="595959"/>
          <w:szCs w:val="20"/>
          <w:lang w:eastAsia="ar-SA"/>
        </w:rPr>
        <w:t>emissions from anode effects at both high and low voltages</w:t>
      </w:r>
      <w:r w:rsidR="002A519B">
        <w:rPr>
          <w:rFonts w:eastAsia="Times New Roman" w:cs="Helvetica"/>
          <w:iCs/>
          <w:color w:val="595959"/>
          <w:szCs w:val="20"/>
          <w:lang w:eastAsia="ar-SA"/>
        </w:rPr>
        <w:t>.</w:t>
      </w:r>
    </w:p>
    <w:p w14:paraId="47587A91" w14:textId="0D5D51B7" w:rsidR="00814509" w:rsidRDefault="00814509" w:rsidP="002A519B">
      <w:pPr>
        <w:spacing w:after="0" w:line="276" w:lineRule="auto"/>
        <w:rPr>
          <w:rFonts w:cs="Helvetica"/>
          <w:color w:val="595959"/>
          <w:szCs w:val="20"/>
        </w:rPr>
      </w:pPr>
    </w:p>
    <w:p w14:paraId="510D6E78" w14:textId="34A38541" w:rsidR="008C2CE9" w:rsidRPr="00A13421" w:rsidRDefault="002A519B">
      <w:pPr>
        <w:pStyle w:val="BodyText"/>
        <w:spacing w:line="312" w:lineRule="auto"/>
        <w:rPr>
          <w:rFonts w:ascii="Helvetica" w:hAnsi="Helvetica" w:cs="Helvetica"/>
          <w:color w:val="595959"/>
          <w:sz w:val="20"/>
          <w:szCs w:val="20"/>
        </w:rPr>
      </w:pPr>
      <w:r w:rsidRPr="00F06C77">
        <w:rPr>
          <w:rFonts w:ascii="Helvetica" w:hAnsi="Helvetica" w:cs="Helvetica"/>
          <w:noProof/>
          <w:color w:val="595959"/>
          <w:sz w:val="20"/>
          <w:szCs w:val="24"/>
          <w:lang w:eastAsia="zh-CN"/>
        </w:rPr>
        <w:drawing>
          <wp:inline distT="0" distB="0" distL="0" distR="0" wp14:anchorId="003BD19A" wp14:editId="006104E4">
            <wp:extent cx="6120765" cy="3067050"/>
            <wp:effectExtent l="0" t="0" r="13335"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53D819" w14:textId="02B91C43" w:rsidR="00D018AD" w:rsidRPr="00FD4D41" w:rsidRDefault="00D36403" w:rsidP="000914EE">
      <w:pPr>
        <w:spacing w:before="120" w:after="0" w:line="312" w:lineRule="auto"/>
        <w:jc w:val="right"/>
        <w:rPr>
          <w:rFonts w:cs="Helvetica"/>
          <w:b/>
        </w:rPr>
      </w:pPr>
      <w:r w:rsidRPr="002A519B">
        <w:rPr>
          <w:rFonts w:cs="Helvetica"/>
          <w:b/>
          <w:color w:val="595959"/>
        </w:rPr>
        <w:t>Figure</w:t>
      </w:r>
      <w:r w:rsidR="00DD32D8" w:rsidRPr="002A519B">
        <w:rPr>
          <w:rFonts w:cs="Helvetica"/>
          <w:b/>
          <w:color w:val="595959"/>
        </w:rPr>
        <w:t xml:space="preserve"> </w:t>
      </w:r>
      <w:r w:rsidR="00512BAF">
        <w:rPr>
          <w:rFonts w:cs="Helvetica"/>
          <w:b/>
          <w:color w:val="595959"/>
        </w:rPr>
        <w:t>3</w:t>
      </w:r>
      <w:r w:rsidR="00DD32D8" w:rsidRPr="002A519B">
        <w:rPr>
          <w:rFonts w:cs="Helvetica"/>
          <w:b/>
          <w:color w:val="595959"/>
        </w:rPr>
        <w:t>:</w:t>
      </w:r>
      <w:r w:rsidR="00935A71" w:rsidRPr="002A519B">
        <w:rPr>
          <w:rFonts w:cs="Helvetica"/>
          <w:b/>
          <w:color w:val="595959"/>
        </w:rPr>
        <w:tab/>
      </w:r>
      <w:r w:rsidR="00DD32D8" w:rsidRPr="002A519B">
        <w:rPr>
          <w:rFonts w:cs="Helvetica"/>
          <w:b/>
          <w:color w:val="595959"/>
        </w:rPr>
        <w:t>Response rates LCI (Alumina) and Alumina Energy</w:t>
      </w:r>
      <w:r w:rsidR="001A20BE" w:rsidRPr="002A519B">
        <w:rPr>
          <w:rFonts w:cs="Helvetica"/>
          <w:b/>
          <w:color w:val="595959"/>
        </w:rPr>
        <w:t xml:space="preserve"> 201</w:t>
      </w:r>
      <w:r w:rsidR="002A519B">
        <w:rPr>
          <w:rFonts w:cs="Helvetica"/>
          <w:b/>
          <w:color w:val="595959"/>
        </w:rPr>
        <w:t>9</w:t>
      </w:r>
      <w:r w:rsidR="00DD32D8" w:rsidRPr="002A519B">
        <w:rPr>
          <w:rFonts w:cs="Helvetica"/>
          <w:b/>
          <w:color w:val="595959"/>
        </w:rPr>
        <w:t xml:space="preserve"> by region</w:t>
      </w:r>
    </w:p>
    <w:p w14:paraId="57713334" w14:textId="4FE3C2FF" w:rsidR="00D018AD" w:rsidRDefault="00D018AD" w:rsidP="001A5B9F">
      <w:pPr>
        <w:spacing w:after="0"/>
        <w:jc w:val="both"/>
        <w:rPr>
          <w:rFonts w:cs="Helvetica"/>
          <w:b/>
          <w:color w:val="595959"/>
        </w:rPr>
      </w:pPr>
    </w:p>
    <w:p w14:paraId="571D218C" w14:textId="1430F99B" w:rsidR="00DD32D8" w:rsidRPr="00A13421" w:rsidRDefault="002A519B" w:rsidP="000D0304">
      <w:pPr>
        <w:spacing w:after="0" w:line="312" w:lineRule="auto"/>
        <w:jc w:val="both"/>
        <w:rPr>
          <w:rFonts w:eastAsia="Times New Roman" w:cs="Helvetica"/>
          <w:iCs/>
          <w:color w:val="595959"/>
          <w:szCs w:val="20"/>
          <w:lang w:eastAsia="ar-SA"/>
        </w:rPr>
      </w:pPr>
      <w:r w:rsidRPr="00F06C77">
        <w:rPr>
          <w:rFonts w:cs="Helvetica"/>
          <w:noProof/>
          <w:color w:val="595959"/>
          <w:lang w:eastAsia="zh-CN"/>
        </w:rPr>
        <w:lastRenderedPageBreak/>
        <w:drawing>
          <wp:inline distT="0" distB="0" distL="0" distR="0" wp14:anchorId="35E470A6" wp14:editId="2705EFD8">
            <wp:extent cx="6120765" cy="3239770"/>
            <wp:effectExtent l="0" t="0" r="13335" b="1778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9CDF0A" w14:textId="5562CBA6" w:rsidR="00A13421" w:rsidRPr="000914EE" w:rsidRDefault="003461C4" w:rsidP="001A5B9F">
      <w:pPr>
        <w:spacing w:before="120" w:after="0" w:line="312" w:lineRule="auto"/>
        <w:jc w:val="right"/>
        <w:rPr>
          <w:rFonts w:cs="Helvetica"/>
          <w:b/>
          <w:color w:val="595959"/>
        </w:rPr>
      </w:pPr>
      <w:r w:rsidRPr="002A519B">
        <w:rPr>
          <w:rFonts w:cs="Helvetica"/>
          <w:b/>
          <w:color w:val="595959"/>
        </w:rPr>
        <w:t xml:space="preserve">Figure </w:t>
      </w:r>
      <w:r w:rsidR="00512BAF">
        <w:rPr>
          <w:rFonts w:cs="Helvetica"/>
          <w:b/>
          <w:color w:val="595959"/>
        </w:rPr>
        <w:t>4</w:t>
      </w:r>
      <w:r w:rsidRPr="002A519B">
        <w:rPr>
          <w:rFonts w:cs="Helvetica"/>
          <w:b/>
          <w:color w:val="595959"/>
        </w:rPr>
        <w:t>:</w:t>
      </w:r>
      <w:r w:rsidR="00935A71" w:rsidRPr="002A519B">
        <w:rPr>
          <w:rFonts w:cs="Helvetica"/>
          <w:b/>
          <w:color w:val="595959"/>
        </w:rPr>
        <w:tab/>
      </w:r>
      <w:r w:rsidRPr="002A519B">
        <w:rPr>
          <w:rFonts w:cs="Helvetica"/>
          <w:b/>
          <w:color w:val="595959"/>
        </w:rPr>
        <w:t>Response rates LCI (</w:t>
      </w:r>
      <w:r w:rsidR="00F264F0" w:rsidRPr="002A519B">
        <w:rPr>
          <w:rFonts w:cs="Helvetica"/>
          <w:b/>
          <w:color w:val="595959"/>
        </w:rPr>
        <w:t>Electrolysis</w:t>
      </w:r>
      <w:r w:rsidRPr="002A519B">
        <w:rPr>
          <w:rFonts w:cs="Helvetica"/>
          <w:b/>
          <w:color w:val="595959"/>
        </w:rPr>
        <w:t xml:space="preserve">) and </w:t>
      </w:r>
      <w:r w:rsidR="00F264F0" w:rsidRPr="002A519B">
        <w:rPr>
          <w:rFonts w:cs="Helvetica"/>
          <w:b/>
          <w:color w:val="595959"/>
        </w:rPr>
        <w:t>Electrolysis</w:t>
      </w:r>
      <w:r w:rsidRPr="002A519B">
        <w:rPr>
          <w:rFonts w:cs="Helvetica"/>
          <w:b/>
          <w:color w:val="595959"/>
        </w:rPr>
        <w:t xml:space="preserve"> Energy 201</w:t>
      </w:r>
      <w:r w:rsidR="002A519B" w:rsidRPr="002A519B">
        <w:rPr>
          <w:rFonts w:cs="Helvetica"/>
          <w:b/>
          <w:color w:val="595959"/>
        </w:rPr>
        <w:t>9</w:t>
      </w:r>
      <w:r w:rsidRPr="002A519B">
        <w:rPr>
          <w:rFonts w:cs="Helvetica"/>
          <w:b/>
          <w:color w:val="595959"/>
        </w:rPr>
        <w:t xml:space="preserve"> by region</w:t>
      </w:r>
    </w:p>
    <w:p w14:paraId="1CE55374" w14:textId="77777777" w:rsidR="00814509" w:rsidRDefault="00814509" w:rsidP="001A5B9F">
      <w:pPr>
        <w:spacing w:after="0" w:line="312" w:lineRule="auto"/>
        <w:jc w:val="both"/>
        <w:rPr>
          <w:rFonts w:cs="Helvetica"/>
          <w:color w:val="595959"/>
          <w:sz w:val="18"/>
          <w:szCs w:val="18"/>
        </w:rPr>
      </w:pPr>
    </w:p>
    <w:p w14:paraId="32D70FF9" w14:textId="1449084C" w:rsidR="00814509" w:rsidRDefault="00814509">
      <w:pPr>
        <w:spacing w:after="0"/>
        <w:rPr>
          <w:rFonts w:cs="Helvetica"/>
          <w:color w:val="595959"/>
          <w:sz w:val="18"/>
          <w:szCs w:val="18"/>
        </w:rPr>
      </w:pPr>
    </w:p>
    <w:p w14:paraId="2348F9F5" w14:textId="77777777" w:rsidR="003F2A19" w:rsidRPr="000D0304" w:rsidRDefault="0066177A" w:rsidP="00DA5301">
      <w:pPr>
        <w:pStyle w:val="Heading2"/>
      </w:pPr>
      <w:bookmarkStart w:id="54" w:name="_Toc484678037"/>
      <w:bookmarkStart w:id="55" w:name="_Toc484678395"/>
      <w:bookmarkStart w:id="56" w:name="_Toc484679806"/>
      <w:bookmarkStart w:id="57" w:name="_Toc363829099"/>
      <w:bookmarkStart w:id="58" w:name="__RefHeading__21_1147413177"/>
      <w:bookmarkStart w:id="59" w:name="_Toc120111919"/>
      <w:bookmarkEnd w:id="54"/>
      <w:bookmarkEnd w:id="55"/>
      <w:bookmarkEnd w:id="56"/>
      <w:r w:rsidRPr="000D0304">
        <w:t xml:space="preserve">Technology </w:t>
      </w:r>
      <w:r w:rsidR="00D02D5D">
        <w:t>C</w:t>
      </w:r>
      <w:r w:rsidR="003F2A19" w:rsidRPr="000D0304">
        <w:t>overage</w:t>
      </w:r>
      <w:bookmarkEnd w:id="57"/>
      <w:bookmarkEnd w:id="59"/>
    </w:p>
    <w:p w14:paraId="41A9F030" w14:textId="416408D5" w:rsidR="00273C6C" w:rsidRDefault="00177E98" w:rsidP="001A5B9F">
      <w:pPr>
        <w:pStyle w:val="BodyText"/>
        <w:spacing w:line="312" w:lineRule="auto"/>
        <w:rPr>
          <w:rFonts w:ascii="Helvetica" w:hAnsi="Helvetica" w:cs="Helvetica"/>
          <w:color w:val="595959"/>
          <w:sz w:val="20"/>
          <w:szCs w:val="24"/>
        </w:rPr>
      </w:pPr>
      <w:r w:rsidRPr="001E35C7">
        <w:rPr>
          <w:rFonts w:ascii="Helvetica" w:hAnsi="Helvetica" w:cs="Helvetica"/>
          <w:color w:val="595959"/>
          <w:sz w:val="20"/>
          <w:szCs w:val="24"/>
        </w:rPr>
        <w:t>Alumina p</w:t>
      </w:r>
      <w:r w:rsidR="005548FA" w:rsidRPr="001E35C7">
        <w:rPr>
          <w:rFonts w:ascii="Helvetica" w:hAnsi="Helvetica" w:cs="Helvetica"/>
          <w:color w:val="595959"/>
          <w:sz w:val="20"/>
          <w:szCs w:val="24"/>
        </w:rPr>
        <w:t>roduction</w:t>
      </w:r>
      <w:r w:rsidR="004F1FEB" w:rsidRPr="001E35C7">
        <w:rPr>
          <w:rFonts w:ascii="Helvetica" w:hAnsi="Helvetica" w:cs="Helvetica"/>
          <w:color w:val="595959"/>
          <w:sz w:val="20"/>
          <w:szCs w:val="24"/>
        </w:rPr>
        <w:t xml:space="preserve"> process data </w:t>
      </w:r>
      <w:r w:rsidR="00AC4283" w:rsidRPr="001E35C7">
        <w:rPr>
          <w:rFonts w:ascii="Helvetica" w:hAnsi="Helvetica" w:cs="Helvetica"/>
          <w:color w:val="595959"/>
          <w:sz w:val="20"/>
          <w:szCs w:val="24"/>
        </w:rPr>
        <w:t xml:space="preserve">included in the LCI </w:t>
      </w:r>
      <w:r w:rsidR="0039105E">
        <w:rPr>
          <w:rFonts w:ascii="Helvetica" w:hAnsi="Helvetica" w:cs="Helvetica"/>
          <w:color w:val="595959"/>
          <w:sz w:val="20"/>
          <w:szCs w:val="24"/>
        </w:rPr>
        <w:t>are</w:t>
      </w:r>
      <w:r w:rsidR="00120B9F" w:rsidRPr="001E35C7">
        <w:rPr>
          <w:rFonts w:ascii="Helvetica" w:hAnsi="Helvetica" w:cs="Helvetica"/>
          <w:color w:val="595959"/>
          <w:sz w:val="20"/>
          <w:szCs w:val="24"/>
        </w:rPr>
        <w:t xml:space="preserve"> reported </w:t>
      </w:r>
      <w:r w:rsidRPr="001E35C7">
        <w:rPr>
          <w:rFonts w:ascii="Helvetica" w:hAnsi="Helvetica" w:cs="Helvetica"/>
          <w:color w:val="595959"/>
          <w:sz w:val="20"/>
          <w:szCs w:val="24"/>
        </w:rPr>
        <w:t xml:space="preserve">by facilities </w:t>
      </w:r>
      <w:r w:rsidR="001E35C7" w:rsidRPr="001E35C7">
        <w:rPr>
          <w:rFonts w:ascii="Helvetica" w:hAnsi="Helvetica" w:cs="Helvetica"/>
          <w:color w:val="595959"/>
          <w:sz w:val="20"/>
          <w:szCs w:val="24"/>
        </w:rPr>
        <w:t>that refine</w:t>
      </w:r>
      <w:r w:rsidRPr="001E35C7">
        <w:rPr>
          <w:rFonts w:ascii="Helvetica" w:hAnsi="Helvetica" w:cs="Helvetica"/>
          <w:color w:val="595959"/>
          <w:sz w:val="20"/>
          <w:szCs w:val="24"/>
        </w:rPr>
        <w:t xml:space="preserve"> </w:t>
      </w:r>
      <w:r w:rsidR="00273C6C" w:rsidRPr="001E35C7">
        <w:rPr>
          <w:rFonts w:ascii="Helvetica" w:hAnsi="Helvetica" w:cs="Helvetica"/>
          <w:color w:val="595959"/>
          <w:sz w:val="20"/>
          <w:szCs w:val="24"/>
        </w:rPr>
        <w:t xml:space="preserve">metallurgical grade </w:t>
      </w:r>
      <w:r w:rsidRPr="001E35C7">
        <w:rPr>
          <w:rFonts w:ascii="Helvetica" w:hAnsi="Helvetica" w:cs="Helvetica"/>
          <w:color w:val="595959"/>
          <w:sz w:val="20"/>
          <w:szCs w:val="24"/>
        </w:rPr>
        <w:t>alumina from bauxite ores only</w:t>
      </w:r>
      <w:r w:rsidR="009831A3">
        <w:rPr>
          <w:rFonts w:ascii="Helvetica" w:hAnsi="Helvetica" w:cs="Helvetica"/>
          <w:color w:val="595959"/>
          <w:sz w:val="20"/>
          <w:szCs w:val="24"/>
        </w:rPr>
        <w:t xml:space="preserve">.  </w:t>
      </w:r>
      <w:r w:rsidR="00120B9F" w:rsidRPr="001E35C7">
        <w:rPr>
          <w:rFonts w:ascii="Helvetica" w:hAnsi="Helvetica" w:cs="Helvetica"/>
          <w:color w:val="595959"/>
          <w:sz w:val="20"/>
          <w:szCs w:val="24"/>
        </w:rPr>
        <w:t xml:space="preserve">It is estimated that </w:t>
      </w:r>
      <w:r w:rsidR="00814FAB">
        <w:rPr>
          <w:rFonts w:ascii="Helvetica" w:hAnsi="Helvetica" w:cs="Helvetica"/>
          <w:color w:val="595959"/>
          <w:sz w:val="20"/>
          <w:szCs w:val="24"/>
        </w:rPr>
        <w:t xml:space="preserve">less than </w:t>
      </w:r>
      <w:r w:rsidR="00614858" w:rsidRPr="001E35C7">
        <w:rPr>
          <w:rFonts w:ascii="Helvetica" w:hAnsi="Helvetica" w:cs="Helvetica"/>
          <w:color w:val="595959"/>
          <w:sz w:val="20"/>
          <w:szCs w:val="24"/>
        </w:rPr>
        <w:t>5</w:t>
      </w:r>
      <w:r w:rsidRPr="001E35C7">
        <w:rPr>
          <w:rFonts w:ascii="Helvetica" w:hAnsi="Helvetica" w:cs="Helvetica"/>
          <w:color w:val="595959"/>
          <w:sz w:val="20"/>
          <w:szCs w:val="24"/>
        </w:rPr>
        <w:t>% of global alumina production</w:t>
      </w:r>
      <w:r w:rsidR="00504929">
        <w:rPr>
          <w:rFonts w:ascii="Helvetica" w:hAnsi="Helvetica" w:cs="Helvetica"/>
          <w:color w:val="595959"/>
          <w:sz w:val="20"/>
          <w:szCs w:val="24"/>
        </w:rPr>
        <w:t xml:space="preserve"> </w:t>
      </w:r>
      <w:r w:rsidR="00A267A8">
        <w:rPr>
          <w:rFonts w:ascii="Helvetica" w:hAnsi="Helvetica" w:cs="Helvetica"/>
          <w:color w:val="595959"/>
          <w:sz w:val="20"/>
          <w:szCs w:val="24"/>
        </w:rPr>
        <w:t>was</w:t>
      </w:r>
      <w:r w:rsidRPr="001E35C7">
        <w:rPr>
          <w:rFonts w:ascii="Helvetica" w:hAnsi="Helvetica" w:cs="Helvetica"/>
          <w:color w:val="595959"/>
          <w:sz w:val="20"/>
          <w:szCs w:val="24"/>
        </w:rPr>
        <w:t xml:space="preserve"> </w:t>
      </w:r>
      <w:r w:rsidR="007936BD">
        <w:rPr>
          <w:rFonts w:ascii="Helvetica" w:hAnsi="Helvetica" w:cs="Helvetica"/>
          <w:color w:val="595959"/>
          <w:sz w:val="20"/>
          <w:szCs w:val="24"/>
        </w:rPr>
        <w:t>derived</w:t>
      </w:r>
      <w:r w:rsidR="007936BD" w:rsidRPr="001E35C7">
        <w:rPr>
          <w:rFonts w:ascii="Helvetica" w:hAnsi="Helvetica" w:cs="Helvetica"/>
          <w:color w:val="595959"/>
          <w:sz w:val="20"/>
          <w:szCs w:val="24"/>
        </w:rPr>
        <w:t xml:space="preserve"> </w:t>
      </w:r>
      <w:r w:rsidRPr="001E35C7">
        <w:rPr>
          <w:rFonts w:ascii="Helvetica" w:hAnsi="Helvetica" w:cs="Helvetica"/>
          <w:color w:val="595959"/>
          <w:sz w:val="20"/>
          <w:szCs w:val="24"/>
        </w:rPr>
        <w:t>from non-bauxite sources</w:t>
      </w:r>
      <w:r w:rsidR="007936BD">
        <w:rPr>
          <w:rFonts w:ascii="Helvetica" w:hAnsi="Helvetica" w:cs="Helvetica"/>
          <w:color w:val="595959"/>
          <w:sz w:val="20"/>
          <w:szCs w:val="24"/>
        </w:rPr>
        <w:t xml:space="preserve"> in </w:t>
      </w:r>
      <w:r w:rsidR="000B621A">
        <w:rPr>
          <w:rFonts w:ascii="Helvetica" w:hAnsi="Helvetica" w:cs="Helvetica"/>
          <w:color w:val="595959"/>
          <w:sz w:val="20"/>
          <w:szCs w:val="24"/>
        </w:rPr>
        <w:t>2019</w:t>
      </w:r>
      <w:r w:rsidR="009831A3">
        <w:rPr>
          <w:rFonts w:ascii="Helvetica" w:hAnsi="Helvetica" w:cs="Helvetica"/>
          <w:color w:val="595959"/>
          <w:sz w:val="20"/>
          <w:szCs w:val="24"/>
        </w:rPr>
        <w:t xml:space="preserve">.  </w:t>
      </w:r>
      <w:r w:rsidR="00184ABD">
        <w:rPr>
          <w:rFonts w:ascii="Helvetica" w:hAnsi="Helvetica" w:cs="Helvetica"/>
          <w:color w:val="595959"/>
          <w:sz w:val="20"/>
          <w:szCs w:val="24"/>
        </w:rPr>
        <w:t>Stand-alone c</w:t>
      </w:r>
      <w:r w:rsidR="00273C6C" w:rsidRPr="001E35C7">
        <w:rPr>
          <w:rFonts w:ascii="Helvetica" w:hAnsi="Helvetica" w:cs="Helvetica"/>
          <w:color w:val="595959"/>
          <w:sz w:val="20"/>
          <w:szCs w:val="24"/>
        </w:rPr>
        <w:t>hemical</w:t>
      </w:r>
      <w:r w:rsidR="007936BD">
        <w:rPr>
          <w:rFonts w:ascii="Helvetica" w:hAnsi="Helvetica" w:cs="Helvetica"/>
          <w:color w:val="595959"/>
          <w:sz w:val="20"/>
          <w:szCs w:val="24"/>
        </w:rPr>
        <w:t>-</w:t>
      </w:r>
      <w:r w:rsidR="00273C6C" w:rsidRPr="001E35C7">
        <w:rPr>
          <w:rFonts w:ascii="Helvetica" w:hAnsi="Helvetica" w:cs="Helvetica"/>
          <w:color w:val="595959"/>
          <w:sz w:val="20"/>
          <w:szCs w:val="24"/>
        </w:rPr>
        <w:t>grade alumina</w:t>
      </w:r>
      <w:r w:rsidR="00184ABD">
        <w:rPr>
          <w:rFonts w:ascii="Helvetica" w:hAnsi="Helvetica" w:cs="Helvetica"/>
          <w:color w:val="595959"/>
          <w:sz w:val="20"/>
          <w:szCs w:val="24"/>
        </w:rPr>
        <w:t xml:space="preserve"> plants</w:t>
      </w:r>
      <w:r w:rsidR="00273C6C" w:rsidRPr="001E35C7">
        <w:rPr>
          <w:rFonts w:ascii="Helvetica" w:hAnsi="Helvetica" w:cs="Helvetica"/>
          <w:color w:val="595959"/>
          <w:sz w:val="20"/>
          <w:szCs w:val="24"/>
        </w:rPr>
        <w:t>, alumina from neph</w:t>
      </w:r>
      <w:r w:rsidR="007936BD">
        <w:rPr>
          <w:rFonts w:ascii="Helvetica" w:hAnsi="Helvetica" w:cs="Helvetica"/>
          <w:color w:val="595959"/>
          <w:sz w:val="20"/>
          <w:szCs w:val="24"/>
        </w:rPr>
        <w:t>e</w:t>
      </w:r>
      <w:r w:rsidR="00273C6C" w:rsidRPr="001E35C7">
        <w:rPr>
          <w:rFonts w:ascii="Helvetica" w:hAnsi="Helvetica" w:cs="Helvetica"/>
          <w:color w:val="595959"/>
          <w:sz w:val="20"/>
          <w:szCs w:val="24"/>
        </w:rPr>
        <w:t xml:space="preserve">line </w:t>
      </w:r>
      <w:r w:rsidR="007936BD">
        <w:rPr>
          <w:rFonts w:ascii="Helvetica" w:hAnsi="Helvetica" w:cs="Helvetica"/>
          <w:color w:val="595959"/>
          <w:sz w:val="20"/>
          <w:szCs w:val="24"/>
        </w:rPr>
        <w:t>processing</w:t>
      </w:r>
      <w:r w:rsidR="007936BD" w:rsidRPr="001E35C7">
        <w:rPr>
          <w:rFonts w:ascii="Helvetica" w:hAnsi="Helvetica" w:cs="Helvetica"/>
          <w:color w:val="595959"/>
          <w:sz w:val="20"/>
          <w:szCs w:val="24"/>
        </w:rPr>
        <w:t xml:space="preserve"> </w:t>
      </w:r>
      <w:r w:rsidR="00273C6C" w:rsidRPr="001E35C7">
        <w:rPr>
          <w:rFonts w:ascii="Helvetica" w:hAnsi="Helvetica" w:cs="Helvetica"/>
          <w:color w:val="595959"/>
          <w:sz w:val="20"/>
          <w:szCs w:val="24"/>
        </w:rPr>
        <w:t>and alumina from other sources are out</w:t>
      </w:r>
      <w:r w:rsidR="0039105E">
        <w:rPr>
          <w:rFonts w:ascii="Helvetica" w:hAnsi="Helvetica" w:cs="Helvetica"/>
          <w:color w:val="595959"/>
          <w:sz w:val="20"/>
          <w:szCs w:val="24"/>
        </w:rPr>
        <w:t>side</w:t>
      </w:r>
      <w:r w:rsidR="00273C6C" w:rsidRPr="001E35C7">
        <w:rPr>
          <w:rFonts w:ascii="Helvetica" w:hAnsi="Helvetica" w:cs="Helvetica"/>
          <w:color w:val="595959"/>
          <w:sz w:val="20"/>
          <w:szCs w:val="24"/>
        </w:rPr>
        <w:t xml:space="preserve"> of the scope of this report.</w:t>
      </w:r>
    </w:p>
    <w:p w14:paraId="73290DE0" w14:textId="77777777" w:rsidR="000914EE" w:rsidRDefault="000914EE" w:rsidP="001A5B9F">
      <w:pPr>
        <w:pStyle w:val="BodyText"/>
        <w:spacing w:line="312" w:lineRule="auto"/>
        <w:rPr>
          <w:rFonts w:ascii="Helvetica" w:hAnsi="Helvetica" w:cs="Helvetica"/>
          <w:color w:val="595959"/>
          <w:sz w:val="20"/>
          <w:szCs w:val="24"/>
        </w:rPr>
      </w:pPr>
    </w:p>
    <w:p w14:paraId="2F704684" w14:textId="4A4540CA" w:rsidR="00A13421" w:rsidRDefault="003F2A19" w:rsidP="00FE6088">
      <w:pPr>
        <w:pStyle w:val="BodyText"/>
        <w:spacing w:line="312" w:lineRule="auto"/>
        <w:rPr>
          <w:rFonts w:ascii="Helvetica" w:hAnsi="Helvetica" w:cs="Helvetica"/>
          <w:color w:val="595959"/>
          <w:sz w:val="20"/>
        </w:rPr>
      </w:pPr>
      <w:r>
        <w:rPr>
          <w:rFonts w:ascii="Helvetica" w:hAnsi="Helvetica" w:cs="Helvetica"/>
          <w:color w:val="595959"/>
          <w:sz w:val="20"/>
          <w:szCs w:val="24"/>
        </w:rPr>
        <w:t>The a</w:t>
      </w:r>
      <w:r w:rsidRPr="009F1382">
        <w:rPr>
          <w:rFonts w:ascii="Helvetica" w:hAnsi="Helvetica" w:cs="Helvetica"/>
          <w:color w:val="595959"/>
          <w:sz w:val="20"/>
          <w:szCs w:val="24"/>
        </w:rPr>
        <w:t xml:space="preserve">luminium </w:t>
      </w:r>
      <w:r w:rsidR="00177E98">
        <w:rPr>
          <w:rFonts w:ascii="Helvetica" w:hAnsi="Helvetica" w:cs="Helvetica"/>
          <w:color w:val="595959"/>
          <w:sz w:val="20"/>
          <w:szCs w:val="24"/>
        </w:rPr>
        <w:t>e</w:t>
      </w:r>
      <w:r w:rsidRPr="009F1382">
        <w:rPr>
          <w:rFonts w:ascii="Helvetica" w:hAnsi="Helvetica" w:cs="Helvetica"/>
          <w:color w:val="595959"/>
          <w:sz w:val="20"/>
          <w:szCs w:val="24"/>
        </w:rPr>
        <w:t>lectrolysis</w:t>
      </w:r>
      <w:r w:rsidR="00177E98">
        <w:rPr>
          <w:rFonts w:ascii="Helvetica" w:hAnsi="Helvetica" w:cs="Helvetica"/>
          <w:color w:val="595959"/>
          <w:sz w:val="20"/>
          <w:szCs w:val="24"/>
        </w:rPr>
        <w:t xml:space="preserve"> unit process</w:t>
      </w:r>
      <w:r w:rsidRPr="009F1382">
        <w:rPr>
          <w:rFonts w:ascii="Helvetica" w:hAnsi="Helvetica" w:cs="Helvetica"/>
          <w:color w:val="595959"/>
          <w:sz w:val="20"/>
          <w:szCs w:val="24"/>
        </w:rPr>
        <w:t xml:space="preserve"> data </w:t>
      </w:r>
      <w:r w:rsidR="00184ABD">
        <w:rPr>
          <w:rFonts w:ascii="Helvetica" w:hAnsi="Helvetica" w:cs="Helvetica"/>
          <w:color w:val="595959"/>
          <w:sz w:val="20"/>
          <w:szCs w:val="24"/>
        </w:rPr>
        <w:t xml:space="preserve">included in the LCI </w:t>
      </w:r>
      <w:r w:rsidR="0039105E">
        <w:rPr>
          <w:rFonts w:ascii="Helvetica" w:hAnsi="Helvetica" w:cs="Helvetica"/>
          <w:color w:val="595959"/>
          <w:sz w:val="20"/>
          <w:szCs w:val="24"/>
        </w:rPr>
        <w:t>are</w:t>
      </w:r>
      <w:r w:rsidR="00184ABD">
        <w:rPr>
          <w:rFonts w:ascii="Helvetica" w:hAnsi="Helvetica" w:cs="Helvetica"/>
          <w:color w:val="595959"/>
          <w:sz w:val="20"/>
          <w:szCs w:val="24"/>
        </w:rPr>
        <w:t xml:space="preserve"> reported</w:t>
      </w:r>
      <w:r w:rsidR="00177E98">
        <w:rPr>
          <w:rFonts w:ascii="Helvetica" w:hAnsi="Helvetica" w:cs="Helvetica"/>
          <w:color w:val="595959"/>
          <w:sz w:val="20"/>
          <w:szCs w:val="24"/>
        </w:rPr>
        <w:t xml:space="preserve"> by facilities operating </w:t>
      </w:r>
      <w:r w:rsidRPr="009F1382">
        <w:rPr>
          <w:rFonts w:ascii="Helvetica" w:hAnsi="Helvetica" w:cs="Helvetica"/>
          <w:color w:val="595959"/>
          <w:sz w:val="20"/>
          <w:szCs w:val="24"/>
        </w:rPr>
        <w:t>all existing major technolog</w:t>
      </w:r>
      <w:r w:rsidR="007936BD">
        <w:rPr>
          <w:rFonts w:ascii="Helvetica" w:hAnsi="Helvetica" w:cs="Helvetica"/>
          <w:color w:val="595959"/>
          <w:sz w:val="20"/>
          <w:szCs w:val="24"/>
        </w:rPr>
        <w:t xml:space="preserve">ies, which can be broadly grouped according to anode type: </w:t>
      </w:r>
      <w:r w:rsidR="007936BD" w:rsidRPr="00472887">
        <w:rPr>
          <w:rFonts w:ascii="Helvetica" w:hAnsi="Helvetica" w:cs="Helvetica"/>
          <w:i/>
          <w:color w:val="595959"/>
          <w:sz w:val="20"/>
          <w:szCs w:val="24"/>
        </w:rPr>
        <w:t>Prebake</w:t>
      </w:r>
      <w:r w:rsidR="007936BD">
        <w:rPr>
          <w:rFonts w:ascii="Helvetica" w:hAnsi="Helvetica" w:cs="Helvetica"/>
          <w:color w:val="595959"/>
          <w:sz w:val="20"/>
          <w:szCs w:val="24"/>
        </w:rPr>
        <w:t xml:space="preserve"> and </w:t>
      </w:r>
      <w:proofErr w:type="spellStart"/>
      <w:r w:rsidR="007936BD" w:rsidRPr="00472887">
        <w:rPr>
          <w:rFonts w:ascii="Helvetica" w:hAnsi="Helvetica" w:cs="Helvetica"/>
          <w:i/>
          <w:color w:val="595959"/>
          <w:sz w:val="20"/>
          <w:szCs w:val="24"/>
        </w:rPr>
        <w:t>Søderberg</w:t>
      </w:r>
      <w:proofErr w:type="spellEnd"/>
      <w:r w:rsidR="009831A3">
        <w:rPr>
          <w:rFonts w:ascii="Helvetica" w:hAnsi="Helvetica" w:cs="Helvetica"/>
          <w:color w:val="595959"/>
          <w:sz w:val="20"/>
          <w:szCs w:val="24"/>
        </w:rPr>
        <w:t xml:space="preserve">.  </w:t>
      </w:r>
      <w:r w:rsidR="00177E98">
        <w:rPr>
          <w:rFonts w:ascii="Helvetica" w:hAnsi="Helvetica" w:cs="Helvetica"/>
          <w:color w:val="595959"/>
          <w:sz w:val="20"/>
          <w:szCs w:val="24"/>
        </w:rPr>
        <w:t>Around</w:t>
      </w:r>
      <w:r w:rsidRPr="009F1382">
        <w:rPr>
          <w:rFonts w:ascii="Helvetica" w:hAnsi="Helvetica" w:cs="Helvetica"/>
          <w:color w:val="595959"/>
          <w:sz w:val="20"/>
          <w:szCs w:val="24"/>
        </w:rPr>
        <w:t xml:space="preserve"> </w:t>
      </w:r>
      <w:r w:rsidR="000B621A">
        <w:rPr>
          <w:rFonts w:ascii="Helvetica" w:hAnsi="Helvetica" w:cs="Helvetica"/>
          <w:color w:val="595959"/>
          <w:sz w:val="20"/>
          <w:szCs w:val="24"/>
        </w:rPr>
        <w:t>12</w:t>
      </w:r>
      <w:r w:rsidRPr="009F1382">
        <w:rPr>
          <w:rFonts w:ascii="Helvetica" w:hAnsi="Helvetica" w:cs="Helvetica"/>
          <w:color w:val="595959"/>
          <w:sz w:val="20"/>
          <w:szCs w:val="24"/>
        </w:rPr>
        <w:t xml:space="preserve">% of the total </w:t>
      </w:r>
      <w:r w:rsidR="007936BD">
        <w:rPr>
          <w:rFonts w:ascii="Helvetica" w:hAnsi="Helvetica" w:cs="Helvetica"/>
          <w:color w:val="595959"/>
          <w:sz w:val="20"/>
          <w:szCs w:val="24"/>
        </w:rPr>
        <w:t xml:space="preserve">aluminium </w:t>
      </w:r>
      <w:r w:rsidR="00177E98">
        <w:rPr>
          <w:rFonts w:ascii="Helvetica" w:hAnsi="Helvetica" w:cs="Helvetica"/>
          <w:color w:val="595959"/>
          <w:sz w:val="20"/>
          <w:szCs w:val="24"/>
        </w:rPr>
        <w:t>production</w:t>
      </w:r>
      <w:r w:rsidRPr="009F1382">
        <w:rPr>
          <w:rFonts w:ascii="Helvetica" w:hAnsi="Helvetica" w:cs="Helvetica"/>
          <w:color w:val="595959"/>
          <w:sz w:val="20"/>
          <w:szCs w:val="24"/>
        </w:rPr>
        <w:t xml:space="preserve"> </w:t>
      </w:r>
      <w:r w:rsidR="007936BD">
        <w:rPr>
          <w:rFonts w:ascii="Helvetica" w:hAnsi="Helvetica" w:cs="Helvetica"/>
          <w:color w:val="595959"/>
          <w:sz w:val="20"/>
          <w:szCs w:val="24"/>
        </w:rPr>
        <w:t>covered by LCI survey</w:t>
      </w:r>
      <w:r w:rsidR="007936BD" w:rsidRPr="009F1382">
        <w:rPr>
          <w:rFonts w:ascii="Helvetica" w:hAnsi="Helvetica" w:cs="Helvetica"/>
          <w:color w:val="595959"/>
          <w:sz w:val="20"/>
          <w:szCs w:val="24"/>
        </w:rPr>
        <w:t xml:space="preserve"> </w:t>
      </w:r>
      <w:r w:rsidR="007936BD">
        <w:rPr>
          <w:rFonts w:ascii="Helvetica" w:hAnsi="Helvetica" w:cs="Helvetica"/>
          <w:color w:val="595959"/>
          <w:sz w:val="20"/>
          <w:szCs w:val="24"/>
        </w:rPr>
        <w:t>reporting was produced using</w:t>
      </w:r>
      <w:r w:rsidRPr="009F1382">
        <w:rPr>
          <w:rFonts w:ascii="Helvetica" w:hAnsi="Helvetica" w:cs="Helvetica"/>
          <w:color w:val="595959"/>
          <w:sz w:val="20"/>
          <w:szCs w:val="24"/>
        </w:rPr>
        <w:t xml:space="preserve"> </w:t>
      </w:r>
      <w:proofErr w:type="spellStart"/>
      <w:r w:rsidR="00472887" w:rsidRPr="00472887">
        <w:rPr>
          <w:rFonts w:ascii="Helvetica" w:hAnsi="Helvetica" w:cs="Helvetica"/>
          <w:i/>
          <w:color w:val="595959"/>
          <w:sz w:val="20"/>
          <w:szCs w:val="24"/>
        </w:rPr>
        <w:t>Søderberg</w:t>
      </w:r>
      <w:proofErr w:type="spellEnd"/>
      <w:r w:rsidRPr="009F1382">
        <w:rPr>
          <w:rFonts w:ascii="Helvetica" w:hAnsi="Helvetica" w:cs="Helvetica"/>
          <w:color w:val="595959"/>
          <w:sz w:val="20"/>
          <w:szCs w:val="24"/>
        </w:rPr>
        <w:t xml:space="preserve"> </w:t>
      </w:r>
      <w:r w:rsidR="00177E98">
        <w:rPr>
          <w:rFonts w:ascii="Helvetica" w:hAnsi="Helvetica" w:cs="Helvetica"/>
          <w:color w:val="595959"/>
          <w:sz w:val="20"/>
          <w:szCs w:val="24"/>
        </w:rPr>
        <w:t>technolog</w:t>
      </w:r>
      <w:r w:rsidR="007936BD">
        <w:rPr>
          <w:rFonts w:ascii="Helvetica" w:hAnsi="Helvetica" w:cs="Helvetica"/>
          <w:color w:val="595959"/>
          <w:sz w:val="20"/>
          <w:szCs w:val="24"/>
        </w:rPr>
        <w:t>ies</w:t>
      </w:r>
      <w:r w:rsidR="00177E98">
        <w:rPr>
          <w:rFonts w:ascii="Helvetica" w:hAnsi="Helvetica" w:cs="Helvetica"/>
          <w:color w:val="595959"/>
          <w:sz w:val="20"/>
          <w:szCs w:val="24"/>
        </w:rPr>
        <w:t xml:space="preserve">, with </w:t>
      </w:r>
      <w:r w:rsidRPr="009F1382">
        <w:rPr>
          <w:rFonts w:ascii="Helvetica" w:hAnsi="Helvetica" w:cs="Helvetica"/>
          <w:color w:val="595959"/>
          <w:sz w:val="20"/>
          <w:szCs w:val="24"/>
        </w:rPr>
        <w:t xml:space="preserve">the remaining </w:t>
      </w:r>
      <w:r w:rsidR="000B621A">
        <w:rPr>
          <w:rFonts w:ascii="Helvetica" w:hAnsi="Helvetica" w:cs="Helvetica"/>
          <w:color w:val="595959"/>
          <w:sz w:val="20"/>
          <w:szCs w:val="24"/>
        </w:rPr>
        <w:t>88</w:t>
      </w:r>
      <w:r w:rsidRPr="009F1382">
        <w:rPr>
          <w:rFonts w:ascii="Helvetica" w:hAnsi="Helvetica" w:cs="Helvetica"/>
          <w:color w:val="595959"/>
          <w:sz w:val="20"/>
          <w:szCs w:val="24"/>
        </w:rPr>
        <w:t xml:space="preserve">% </w:t>
      </w:r>
      <w:r w:rsidR="00177E98">
        <w:rPr>
          <w:rFonts w:ascii="Helvetica" w:hAnsi="Helvetica" w:cs="Helvetica"/>
          <w:color w:val="595959"/>
          <w:sz w:val="20"/>
          <w:szCs w:val="24"/>
        </w:rPr>
        <w:t xml:space="preserve">from </w:t>
      </w:r>
      <w:r w:rsidR="00472887" w:rsidRPr="00472887">
        <w:rPr>
          <w:rFonts w:ascii="Helvetica" w:hAnsi="Helvetica" w:cs="Helvetica"/>
          <w:i/>
          <w:color w:val="595959"/>
          <w:sz w:val="20"/>
          <w:szCs w:val="24"/>
        </w:rPr>
        <w:t>Prebake</w:t>
      </w:r>
      <w:r w:rsidRPr="009F1382">
        <w:rPr>
          <w:rFonts w:ascii="Helvetica" w:hAnsi="Helvetica" w:cs="Helvetica"/>
          <w:color w:val="595959"/>
          <w:sz w:val="20"/>
          <w:szCs w:val="24"/>
        </w:rPr>
        <w:t xml:space="preserve"> facilities</w:t>
      </w:r>
      <w:r w:rsidR="009831A3">
        <w:rPr>
          <w:rFonts w:ascii="Helvetica" w:hAnsi="Helvetica" w:cs="Helvetica"/>
          <w:color w:val="595959"/>
          <w:sz w:val="20"/>
          <w:szCs w:val="24"/>
        </w:rPr>
        <w:t xml:space="preserve">.  </w:t>
      </w:r>
      <w:r w:rsidR="00520984">
        <w:rPr>
          <w:rFonts w:ascii="Helvetica" w:hAnsi="Helvetica" w:cs="Helvetica"/>
          <w:color w:val="595959"/>
          <w:sz w:val="20"/>
          <w:szCs w:val="24"/>
        </w:rPr>
        <w:t xml:space="preserve">This is not reflective of the global technology split which is 95% </w:t>
      </w:r>
      <w:r w:rsidR="00134EA8" w:rsidRPr="00472887">
        <w:rPr>
          <w:rFonts w:ascii="Helvetica" w:hAnsi="Helvetica" w:cs="Helvetica"/>
          <w:i/>
          <w:color w:val="595959"/>
          <w:sz w:val="20"/>
          <w:szCs w:val="24"/>
        </w:rPr>
        <w:t>Prebake</w:t>
      </w:r>
      <w:r w:rsidR="00134EA8">
        <w:rPr>
          <w:rFonts w:ascii="Helvetica" w:hAnsi="Helvetica" w:cs="Helvetica"/>
          <w:i/>
          <w:color w:val="595959"/>
          <w:sz w:val="20"/>
          <w:szCs w:val="24"/>
        </w:rPr>
        <w:t xml:space="preserve"> </w:t>
      </w:r>
      <w:r w:rsidR="00520984">
        <w:rPr>
          <w:rFonts w:ascii="Helvetica" w:hAnsi="Helvetica" w:cs="Helvetica"/>
          <w:color w:val="595959"/>
          <w:sz w:val="20"/>
          <w:szCs w:val="24"/>
        </w:rPr>
        <w:t xml:space="preserve">and 5% </w:t>
      </w:r>
      <w:proofErr w:type="spellStart"/>
      <w:r w:rsidR="00520984" w:rsidRPr="00472887">
        <w:rPr>
          <w:rFonts w:ascii="Helvetica" w:hAnsi="Helvetica" w:cs="Helvetica"/>
          <w:i/>
          <w:color w:val="595959"/>
          <w:sz w:val="20"/>
          <w:szCs w:val="24"/>
        </w:rPr>
        <w:t>Søderberg</w:t>
      </w:r>
      <w:proofErr w:type="spellEnd"/>
      <w:r w:rsidR="007936BD">
        <w:rPr>
          <w:rFonts w:ascii="Helvetica" w:hAnsi="Helvetica" w:cs="Helvetica"/>
          <w:i/>
          <w:color w:val="595959"/>
          <w:sz w:val="20"/>
          <w:szCs w:val="24"/>
        </w:rPr>
        <w:t xml:space="preserve">; </w:t>
      </w:r>
      <w:r w:rsidR="00273C6C">
        <w:rPr>
          <w:rFonts w:ascii="Helvetica" w:hAnsi="Helvetica" w:cs="Helvetica"/>
          <w:color w:val="595959"/>
          <w:sz w:val="20"/>
          <w:szCs w:val="24"/>
        </w:rPr>
        <w:t>Chin</w:t>
      </w:r>
      <w:r w:rsidR="007936BD">
        <w:rPr>
          <w:rFonts w:ascii="Helvetica" w:hAnsi="Helvetica" w:cs="Helvetica"/>
          <w:color w:val="595959"/>
          <w:sz w:val="20"/>
          <w:szCs w:val="24"/>
        </w:rPr>
        <w:t>ese facilities only employ</w:t>
      </w:r>
      <w:r w:rsidR="00273C6C">
        <w:rPr>
          <w:rFonts w:ascii="Helvetica" w:hAnsi="Helvetica" w:cs="Helvetica"/>
          <w:color w:val="595959"/>
          <w:sz w:val="20"/>
          <w:szCs w:val="24"/>
        </w:rPr>
        <w:t xml:space="preserve"> </w:t>
      </w:r>
      <w:r w:rsidR="00273C6C">
        <w:rPr>
          <w:rFonts w:ascii="Helvetica" w:hAnsi="Helvetica" w:cs="Helvetica"/>
          <w:i/>
          <w:color w:val="595959"/>
          <w:sz w:val="20"/>
          <w:szCs w:val="24"/>
        </w:rPr>
        <w:t>Prebake</w:t>
      </w:r>
      <w:r w:rsidR="00273C6C">
        <w:rPr>
          <w:rFonts w:ascii="Helvetica" w:hAnsi="Helvetica" w:cs="Helvetica"/>
          <w:color w:val="595959"/>
          <w:sz w:val="20"/>
          <w:szCs w:val="24"/>
        </w:rPr>
        <w:t xml:space="preserve"> technolog</w:t>
      </w:r>
      <w:r w:rsidR="007936BD">
        <w:rPr>
          <w:rFonts w:ascii="Helvetica" w:hAnsi="Helvetica" w:cs="Helvetica"/>
          <w:color w:val="595959"/>
          <w:sz w:val="20"/>
          <w:szCs w:val="24"/>
        </w:rPr>
        <w:t>ies</w:t>
      </w:r>
      <w:r w:rsidR="00273C6C">
        <w:rPr>
          <w:rFonts w:ascii="Helvetica" w:hAnsi="Helvetica" w:cs="Helvetica"/>
          <w:color w:val="595959"/>
          <w:sz w:val="20"/>
          <w:szCs w:val="24"/>
        </w:rPr>
        <w:t>.</w:t>
      </w:r>
    </w:p>
    <w:p w14:paraId="014E1112" w14:textId="77777777" w:rsidR="00A13421" w:rsidRDefault="00A13421">
      <w:pPr>
        <w:pStyle w:val="BodyText"/>
        <w:spacing w:line="312" w:lineRule="auto"/>
        <w:rPr>
          <w:rFonts w:ascii="Helvetica" w:hAnsi="Helvetica" w:cs="Helvetica"/>
          <w:color w:val="595959"/>
          <w:sz w:val="20"/>
        </w:rPr>
      </w:pPr>
    </w:p>
    <w:p w14:paraId="2AF18E39" w14:textId="607B3B70" w:rsidR="00D018AD" w:rsidRDefault="00426F86" w:rsidP="000914EE">
      <w:pPr>
        <w:autoSpaceDE w:val="0"/>
        <w:autoSpaceDN w:val="0"/>
        <w:adjustRightInd w:val="0"/>
        <w:spacing w:after="0" w:line="312" w:lineRule="auto"/>
        <w:jc w:val="both"/>
        <w:rPr>
          <w:rFonts w:ascii="Arial" w:hAnsi="Arial" w:cs="Arial"/>
          <w:color w:val="595959"/>
          <w:szCs w:val="20"/>
          <w:lang w:eastAsia="en-GB"/>
        </w:rPr>
      </w:pPr>
      <w:r w:rsidRPr="00426F86">
        <w:rPr>
          <w:rFonts w:ascii="Arial" w:hAnsi="Arial" w:cs="Arial"/>
          <w:color w:val="595959"/>
          <w:szCs w:val="20"/>
          <w:lang w:eastAsia="en-GB"/>
        </w:rPr>
        <w:t>During the process of regionalisation, it bec</w:t>
      </w:r>
      <w:r>
        <w:rPr>
          <w:rFonts w:ascii="Arial" w:hAnsi="Arial" w:cs="Arial"/>
          <w:color w:val="595959"/>
          <w:szCs w:val="20"/>
          <w:lang w:eastAsia="en-GB"/>
        </w:rPr>
        <w:t>a</w:t>
      </w:r>
      <w:r w:rsidRPr="00426F86">
        <w:rPr>
          <w:rFonts w:ascii="Arial" w:hAnsi="Arial" w:cs="Arial"/>
          <w:color w:val="595959"/>
          <w:szCs w:val="20"/>
          <w:lang w:eastAsia="en-GB"/>
        </w:rPr>
        <w:t xml:space="preserve">me clear </w:t>
      </w:r>
      <w:r>
        <w:rPr>
          <w:rFonts w:ascii="Arial" w:hAnsi="Arial" w:cs="Arial"/>
          <w:color w:val="595959"/>
          <w:szCs w:val="20"/>
          <w:lang w:eastAsia="en-GB"/>
        </w:rPr>
        <w:t xml:space="preserve">that </w:t>
      </w:r>
      <w:r w:rsidRPr="00426F86">
        <w:rPr>
          <w:rFonts w:ascii="Arial" w:hAnsi="Arial" w:cs="Arial"/>
          <w:color w:val="595959"/>
          <w:szCs w:val="20"/>
          <w:lang w:eastAsia="en-GB"/>
        </w:rPr>
        <w:t xml:space="preserve">publication of LCI data on </w:t>
      </w:r>
      <w:proofErr w:type="spellStart"/>
      <w:r w:rsidRPr="00D33AF6">
        <w:rPr>
          <w:rFonts w:ascii="Arial" w:hAnsi="Arial" w:cs="Arial"/>
          <w:i/>
          <w:color w:val="595959"/>
          <w:szCs w:val="20"/>
          <w:lang w:eastAsia="en-GB"/>
        </w:rPr>
        <w:t>Søderberg</w:t>
      </w:r>
      <w:proofErr w:type="spellEnd"/>
      <w:r>
        <w:rPr>
          <w:rFonts w:ascii="Arial" w:hAnsi="Arial" w:cs="Arial"/>
          <w:color w:val="595959"/>
          <w:szCs w:val="20"/>
          <w:lang w:eastAsia="en-GB"/>
        </w:rPr>
        <w:t xml:space="preserve"> technology </w:t>
      </w:r>
      <w:r w:rsidR="00D33AF6">
        <w:rPr>
          <w:rFonts w:ascii="Arial" w:hAnsi="Arial" w:cs="Arial"/>
          <w:color w:val="595959"/>
          <w:szCs w:val="20"/>
          <w:lang w:eastAsia="en-GB"/>
        </w:rPr>
        <w:t>wa</w:t>
      </w:r>
      <w:r>
        <w:rPr>
          <w:rFonts w:ascii="Arial" w:hAnsi="Arial" w:cs="Arial"/>
          <w:color w:val="595959"/>
          <w:szCs w:val="20"/>
          <w:lang w:eastAsia="en-GB"/>
        </w:rPr>
        <w:t xml:space="preserve">s </w:t>
      </w:r>
      <w:r w:rsidR="00D33AF6">
        <w:rPr>
          <w:rFonts w:ascii="Arial" w:hAnsi="Arial" w:cs="Arial"/>
          <w:color w:val="595959"/>
          <w:szCs w:val="20"/>
          <w:lang w:eastAsia="en-GB"/>
        </w:rPr>
        <w:t xml:space="preserve">still </w:t>
      </w:r>
      <w:r>
        <w:rPr>
          <w:rFonts w:ascii="Arial" w:hAnsi="Arial" w:cs="Arial"/>
          <w:color w:val="595959"/>
          <w:szCs w:val="20"/>
          <w:lang w:eastAsia="en-GB"/>
        </w:rPr>
        <w:t xml:space="preserve">required but efforts </w:t>
      </w:r>
      <w:r w:rsidR="00D33AF6">
        <w:rPr>
          <w:rFonts w:ascii="Arial" w:hAnsi="Arial" w:cs="Arial"/>
          <w:color w:val="595959"/>
          <w:szCs w:val="20"/>
          <w:lang w:eastAsia="en-GB"/>
        </w:rPr>
        <w:t>needed</w:t>
      </w:r>
      <w:r>
        <w:rPr>
          <w:rFonts w:ascii="Arial" w:hAnsi="Arial" w:cs="Arial"/>
          <w:color w:val="595959"/>
          <w:szCs w:val="20"/>
          <w:lang w:eastAsia="en-GB"/>
        </w:rPr>
        <w:t xml:space="preserve"> be made to ma</w:t>
      </w:r>
      <w:r w:rsidR="00D33AF6">
        <w:rPr>
          <w:rFonts w:ascii="Arial" w:hAnsi="Arial" w:cs="Arial"/>
          <w:color w:val="595959"/>
          <w:szCs w:val="20"/>
          <w:lang w:eastAsia="en-GB"/>
        </w:rPr>
        <w:t>intain reporter confidentiality;</w:t>
      </w:r>
      <w:r>
        <w:rPr>
          <w:rFonts w:ascii="Arial" w:hAnsi="Arial" w:cs="Arial"/>
          <w:color w:val="595959"/>
          <w:szCs w:val="20"/>
          <w:lang w:eastAsia="en-GB"/>
        </w:rPr>
        <w:t xml:space="preserve"> a challenge with so few reporting </w:t>
      </w:r>
      <w:proofErr w:type="spellStart"/>
      <w:r w:rsidRPr="00D33AF6">
        <w:rPr>
          <w:rFonts w:ascii="Arial" w:hAnsi="Arial" w:cs="Arial"/>
          <w:i/>
          <w:color w:val="595959"/>
          <w:szCs w:val="20"/>
          <w:lang w:eastAsia="en-GB"/>
        </w:rPr>
        <w:t>Søderberg</w:t>
      </w:r>
      <w:proofErr w:type="spellEnd"/>
      <w:r>
        <w:rPr>
          <w:rFonts w:ascii="Arial" w:hAnsi="Arial" w:cs="Arial"/>
          <w:color w:val="595959"/>
          <w:szCs w:val="20"/>
          <w:lang w:eastAsia="en-GB"/>
        </w:rPr>
        <w:t xml:space="preserve"> sites</w:t>
      </w:r>
      <w:r w:rsidR="009831A3">
        <w:rPr>
          <w:rFonts w:ascii="Arial" w:hAnsi="Arial" w:cs="Arial"/>
          <w:color w:val="595959"/>
          <w:szCs w:val="20"/>
          <w:lang w:eastAsia="en-GB"/>
        </w:rPr>
        <w:t xml:space="preserve">.  </w:t>
      </w:r>
      <w:r w:rsidRPr="00426F86">
        <w:rPr>
          <w:rFonts w:ascii="Arial" w:hAnsi="Arial" w:cs="Arial"/>
          <w:color w:val="595959"/>
          <w:szCs w:val="20"/>
          <w:lang w:eastAsia="en-GB"/>
        </w:rPr>
        <w:t xml:space="preserve">LCI data for </w:t>
      </w:r>
      <w:proofErr w:type="spellStart"/>
      <w:r w:rsidRPr="00426F86">
        <w:rPr>
          <w:rFonts w:ascii="Arial" w:hAnsi="Arial" w:cs="Arial"/>
          <w:color w:val="595959"/>
          <w:szCs w:val="20"/>
          <w:lang w:eastAsia="en-GB"/>
        </w:rPr>
        <w:t>Søderberg</w:t>
      </w:r>
      <w:proofErr w:type="spellEnd"/>
      <w:r w:rsidRPr="00426F86">
        <w:rPr>
          <w:rFonts w:ascii="Arial" w:hAnsi="Arial" w:cs="Arial"/>
          <w:color w:val="595959"/>
          <w:szCs w:val="20"/>
          <w:lang w:eastAsia="en-GB"/>
        </w:rPr>
        <w:t xml:space="preserve"> </w:t>
      </w:r>
      <w:r w:rsidR="00D33AF6">
        <w:rPr>
          <w:rFonts w:ascii="Arial" w:hAnsi="Arial" w:cs="Arial"/>
          <w:color w:val="595959"/>
          <w:szCs w:val="20"/>
          <w:lang w:eastAsia="en-GB"/>
        </w:rPr>
        <w:t xml:space="preserve">technology was therefore included as a separate </w:t>
      </w:r>
      <w:r w:rsidRPr="00426F86">
        <w:rPr>
          <w:rFonts w:ascii="Arial" w:hAnsi="Arial" w:cs="Arial"/>
          <w:color w:val="595959"/>
          <w:szCs w:val="20"/>
          <w:lang w:eastAsia="en-GB"/>
        </w:rPr>
        <w:t xml:space="preserve">global </w:t>
      </w:r>
      <w:r w:rsidR="00D33AF6">
        <w:rPr>
          <w:rFonts w:ascii="Arial" w:hAnsi="Arial" w:cs="Arial"/>
          <w:color w:val="595959"/>
          <w:szCs w:val="20"/>
          <w:lang w:eastAsia="en-GB"/>
        </w:rPr>
        <w:t>dataset</w:t>
      </w:r>
      <w:r w:rsidR="0039105E">
        <w:rPr>
          <w:rFonts w:ascii="Arial" w:hAnsi="Arial" w:cs="Arial"/>
          <w:color w:val="595959"/>
          <w:szCs w:val="20"/>
          <w:lang w:eastAsia="en-GB"/>
        </w:rPr>
        <w:t>,</w:t>
      </w:r>
      <w:r w:rsidR="00D33AF6">
        <w:rPr>
          <w:rFonts w:ascii="Arial" w:hAnsi="Arial" w:cs="Arial"/>
          <w:color w:val="595959"/>
          <w:szCs w:val="20"/>
          <w:lang w:eastAsia="en-GB"/>
        </w:rPr>
        <w:t xml:space="preserve"> and at the regional level, data reported from </w:t>
      </w:r>
      <w:proofErr w:type="spellStart"/>
      <w:r w:rsidR="00D33AF6">
        <w:rPr>
          <w:rFonts w:ascii="Arial" w:hAnsi="Arial" w:cs="Arial"/>
          <w:color w:val="595959"/>
          <w:szCs w:val="20"/>
          <w:lang w:eastAsia="en-GB"/>
        </w:rPr>
        <w:t>Søderberg</w:t>
      </w:r>
      <w:proofErr w:type="spellEnd"/>
      <w:r w:rsidR="00D33AF6">
        <w:rPr>
          <w:rFonts w:ascii="Arial" w:hAnsi="Arial" w:cs="Arial"/>
          <w:color w:val="595959"/>
          <w:szCs w:val="20"/>
          <w:lang w:eastAsia="en-GB"/>
        </w:rPr>
        <w:t xml:space="preserve"> facilities was included as part of a the aggregated (</w:t>
      </w:r>
      <w:r w:rsidR="00D33AF6" w:rsidRPr="00D33AF6">
        <w:rPr>
          <w:rFonts w:ascii="Arial" w:hAnsi="Arial" w:cs="Arial"/>
          <w:i/>
          <w:color w:val="595959"/>
          <w:szCs w:val="20"/>
          <w:lang w:eastAsia="en-GB"/>
        </w:rPr>
        <w:t xml:space="preserve">Prebake + </w:t>
      </w:r>
      <w:proofErr w:type="spellStart"/>
      <w:r w:rsidR="00D33AF6" w:rsidRPr="00D33AF6">
        <w:rPr>
          <w:rFonts w:ascii="Arial" w:hAnsi="Arial" w:cs="Arial"/>
          <w:i/>
          <w:color w:val="595959"/>
          <w:szCs w:val="20"/>
          <w:lang w:eastAsia="en-GB"/>
        </w:rPr>
        <w:t>Søderberg</w:t>
      </w:r>
      <w:proofErr w:type="spellEnd"/>
      <w:r w:rsidR="00D33AF6">
        <w:rPr>
          <w:rFonts w:ascii="Arial" w:hAnsi="Arial" w:cs="Arial"/>
          <w:color w:val="595959"/>
          <w:szCs w:val="20"/>
          <w:lang w:eastAsia="en-GB"/>
        </w:rPr>
        <w:t>) regional average</w:t>
      </w:r>
      <w:r w:rsidR="009831A3">
        <w:rPr>
          <w:rFonts w:ascii="Arial" w:hAnsi="Arial" w:cs="Arial"/>
          <w:color w:val="595959"/>
          <w:szCs w:val="20"/>
          <w:lang w:eastAsia="en-GB"/>
        </w:rPr>
        <w:t xml:space="preserve">.  </w:t>
      </w:r>
    </w:p>
    <w:p w14:paraId="72A42109" w14:textId="45877F66" w:rsidR="00D018AD" w:rsidRDefault="00D018AD">
      <w:pPr>
        <w:spacing w:after="0"/>
        <w:rPr>
          <w:rFonts w:ascii="Arial" w:hAnsi="Arial" w:cs="Arial"/>
          <w:color w:val="595959"/>
          <w:szCs w:val="20"/>
          <w:lang w:eastAsia="en-GB"/>
        </w:rPr>
      </w:pPr>
    </w:p>
    <w:p w14:paraId="7A2F4A3C" w14:textId="033FEC5E" w:rsidR="00634F72" w:rsidRDefault="00634F72">
      <w:pPr>
        <w:spacing w:after="0"/>
        <w:rPr>
          <w:rFonts w:ascii="Arial" w:hAnsi="Arial" w:cs="Arial"/>
          <w:color w:val="595959"/>
          <w:szCs w:val="20"/>
          <w:lang w:eastAsia="en-GB"/>
        </w:rPr>
      </w:pPr>
    </w:p>
    <w:p w14:paraId="465B7C55" w14:textId="43B776E1" w:rsidR="00634F72" w:rsidRDefault="00634F72">
      <w:pPr>
        <w:spacing w:after="0"/>
        <w:rPr>
          <w:rFonts w:ascii="Arial" w:hAnsi="Arial" w:cs="Arial"/>
          <w:color w:val="595959"/>
          <w:szCs w:val="20"/>
          <w:lang w:eastAsia="en-GB"/>
        </w:rPr>
      </w:pPr>
    </w:p>
    <w:p w14:paraId="70587100" w14:textId="44BBDD37" w:rsidR="00634F72" w:rsidRDefault="00634F72">
      <w:pPr>
        <w:spacing w:after="0"/>
        <w:rPr>
          <w:rFonts w:ascii="Arial" w:hAnsi="Arial" w:cs="Arial"/>
          <w:color w:val="595959"/>
          <w:szCs w:val="20"/>
          <w:lang w:eastAsia="en-GB"/>
        </w:rPr>
      </w:pPr>
    </w:p>
    <w:p w14:paraId="7622586D" w14:textId="3435D8BC" w:rsidR="00634F72" w:rsidRDefault="00634F72">
      <w:pPr>
        <w:spacing w:after="0"/>
        <w:rPr>
          <w:rFonts w:ascii="Arial" w:hAnsi="Arial" w:cs="Arial"/>
          <w:color w:val="595959"/>
          <w:szCs w:val="20"/>
          <w:lang w:eastAsia="en-GB"/>
        </w:rPr>
      </w:pPr>
    </w:p>
    <w:p w14:paraId="10C8729A" w14:textId="6B93CB21" w:rsidR="00634F72" w:rsidRDefault="00634F72">
      <w:pPr>
        <w:spacing w:after="0"/>
        <w:rPr>
          <w:rFonts w:ascii="Arial" w:hAnsi="Arial" w:cs="Arial"/>
          <w:color w:val="595959"/>
          <w:szCs w:val="20"/>
          <w:lang w:eastAsia="en-GB"/>
        </w:rPr>
      </w:pPr>
    </w:p>
    <w:p w14:paraId="1FE4AF65" w14:textId="77777777" w:rsidR="00634F72" w:rsidRDefault="00634F72">
      <w:pPr>
        <w:spacing w:after="0"/>
        <w:rPr>
          <w:rFonts w:ascii="Arial" w:hAnsi="Arial" w:cs="Arial"/>
          <w:color w:val="595959"/>
          <w:szCs w:val="20"/>
          <w:lang w:eastAsia="en-GB"/>
        </w:rPr>
      </w:pPr>
    </w:p>
    <w:p w14:paraId="0FE9DA68" w14:textId="77777777" w:rsidR="00FA2F0E" w:rsidRPr="000D0304" w:rsidRDefault="003F2A19" w:rsidP="00DA5301">
      <w:pPr>
        <w:pStyle w:val="Heading2"/>
      </w:pPr>
      <w:bookmarkStart w:id="60" w:name="_Toc484678397"/>
      <w:bookmarkStart w:id="61" w:name="_Toc484679808"/>
      <w:bookmarkStart w:id="62" w:name="_Toc363829100"/>
      <w:bookmarkStart w:id="63" w:name="_Toc120111920"/>
      <w:bookmarkEnd w:id="60"/>
      <w:bookmarkEnd w:id="61"/>
      <w:r w:rsidRPr="000D0304">
        <w:t xml:space="preserve">Assumptions for </w:t>
      </w:r>
      <w:r w:rsidR="00D02D5D">
        <w:t>N</w:t>
      </w:r>
      <w:r w:rsidRPr="000D0304">
        <w:t>on</w:t>
      </w:r>
      <w:r w:rsidR="00D640A7" w:rsidRPr="000D0304">
        <w:t>-</w:t>
      </w:r>
      <w:r w:rsidR="003F2323" w:rsidRPr="000D0304">
        <w:t>Reporting</w:t>
      </w:r>
      <w:r w:rsidRPr="000D0304">
        <w:t xml:space="preserve"> </w:t>
      </w:r>
      <w:r w:rsidR="00D02D5D">
        <w:t>P</w:t>
      </w:r>
      <w:r w:rsidRPr="000D0304">
        <w:t>roduction</w:t>
      </w:r>
      <w:bookmarkEnd w:id="62"/>
      <w:bookmarkEnd w:id="63"/>
    </w:p>
    <w:p w14:paraId="196C8184" w14:textId="2455C636" w:rsidR="00FF03C6" w:rsidRDefault="00CD5152" w:rsidP="000D0304">
      <w:pPr>
        <w:spacing w:after="0" w:line="312" w:lineRule="auto"/>
        <w:jc w:val="both"/>
        <w:rPr>
          <w:rFonts w:cs="Helvetica"/>
          <w:bCs/>
          <w:color w:val="595959"/>
          <w:szCs w:val="20"/>
        </w:rPr>
      </w:pPr>
      <w:r>
        <w:rPr>
          <w:rFonts w:cs="Helvetica"/>
          <w:bCs/>
          <w:iCs/>
          <w:color w:val="595959"/>
          <w:szCs w:val="20"/>
        </w:rPr>
        <w:t xml:space="preserve">Assumptions for non-reporting production are made for facilities that did not report in </w:t>
      </w:r>
      <w:r w:rsidR="000B621A">
        <w:rPr>
          <w:rFonts w:cs="Helvetica"/>
          <w:bCs/>
          <w:iCs/>
          <w:color w:val="595959"/>
          <w:szCs w:val="20"/>
        </w:rPr>
        <w:t xml:space="preserve">2019 </w:t>
      </w:r>
      <w:r>
        <w:rPr>
          <w:rFonts w:cs="Helvetica"/>
          <w:bCs/>
          <w:iCs/>
          <w:color w:val="595959"/>
          <w:szCs w:val="20"/>
        </w:rPr>
        <w:t xml:space="preserve">but are still in operation and reported in </w:t>
      </w:r>
      <w:r w:rsidR="000B621A">
        <w:rPr>
          <w:rFonts w:cs="Helvetica"/>
          <w:bCs/>
          <w:iCs/>
          <w:color w:val="595959"/>
          <w:szCs w:val="20"/>
        </w:rPr>
        <w:t>2015</w:t>
      </w:r>
      <w:r w:rsidR="009831A3">
        <w:rPr>
          <w:rFonts w:cs="Helvetica"/>
          <w:bCs/>
          <w:iCs/>
          <w:color w:val="595959"/>
          <w:szCs w:val="20"/>
        </w:rPr>
        <w:t xml:space="preserve">.  </w:t>
      </w:r>
      <w:r>
        <w:rPr>
          <w:rFonts w:cs="Helvetica"/>
          <w:bCs/>
          <w:iCs/>
          <w:color w:val="595959"/>
          <w:szCs w:val="20"/>
        </w:rPr>
        <w:t xml:space="preserve">The reported data for these facilities was included on a per tonne of production basis applied to </w:t>
      </w:r>
      <w:r w:rsidR="000B621A">
        <w:rPr>
          <w:rFonts w:cs="Helvetica"/>
          <w:bCs/>
          <w:iCs/>
          <w:color w:val="595959"/>
          <w:szCs w:val="20"/>
        </w:rPr>
        <w:t xml:space="preserve">2019 </w:t>
      </w:r>
      <w:r>
        <w:rPr>
          <w:rFonts w:cs="Helvetica"/>
          <w:bCs/>
          <w:iCs/>
          <w:color w:val="595959"/>
          <w:szCs w:val="20"/>
        </w:rPr>
        <w:t>production levels</w:t>
      </w:r>
      <w:r w:rsidR="009831A3">
        <w:rPr>
          <w:rFonts w:cs="Helvetica"/>
          <w:bCs/>
          <w:iCs/>
          <w:color w:val="595959"/>
          <w:szCs w:val="20"/>
        </w:rPr>
        <w:t xml:space="preserve">.  </w:t>
      </w:r>
      <w:r w:rsidR="00FF03C6">
        <w:rPr>
          <w:rFonts w:cs="Helvetica"/>
          <w:bCs/>
          <w:iCs/>
          <w:color w:val="595959"/>
          <w:szCs w:val="20"/>
        </w:rPr>
        <w:t xml:space="preserve">Data in the combined Summary inventory in </w:t>
      </w:r>
      <w:r w:rsidR="00FF03C6" w:rsidRPr="00637523">
        <w:rPr>
          <w:rFonts w:cs="Helvetica"/>
          <w:bCs/>
          <w:iCs/>
          <w:color w:val="595959"/>
          <w:szCs w:val="20"/>
        </w:rPr>
        <w:t>Appendix A</w:t>
      </w:r>
      <w:r w:rsidR="00FF03C6">
        <w:rPr>
          <w:rFonts w:cs="Helvetica"/>
          <w:bCs/>
          <w:iCs/>
          <w:color w:val="595959"/>
          <w:szCs w:val="20"/>
        </w:rPr>
        <w:t xml:space="preserve"> </w:t>
      </w:r>
      <w:r w:rsidR="0039105E">
        <w:rPr>
          <w:rFonts w:cs="Helvetica"/>
          <w:bCs/>
          <w:iCs/>
          <w:color w:val="595959"/>
          <w:szCs w:val="20"/>
        </w:rPr>
        <w:t xml:space="preserve">(per tonne of primary aluminium ingot) </w:t>
      </w:r>
      <w:r w:rsidR="00210E40">
        <w:rPr>
          <w:rFonts w:cs="Helvetica"/>
          <w:bCs/>
          <w:iCs/>
          <w:color w:val="595959"/>
          <w:szCs w:val="20"/>
        </w:rPr>
        <w:t>however</w:t>
      </w:r>
      <w:r w:rsidR="00FF03C6">
        <w:rPr>
          <w:rFonts w:cs="Helvetica"/>
          <w:bCs/>
          <w:iCs/>
          <w:color w:val="595959"/>
          <w:szCs w:val="20"/>
        </w:rPr>
        <w:t xml:space="preserve">, is calculated based on </w:t>
      </w:r>
      <w:r w:rsidR="0039105E">
        <w:rPr>
          <w:rFonts w:cs="Helvetica"/>
          <w:bCs/>
          <w:iCs/>
          <w:color w:val="595959"/>
          <w:szCs w:val="20"/>
        </w:rPr>
        <w:t xml:space="preserve">the </w:t>
      </w:r>
      <w:r w:rsidR="00FF03C6">
        <w:rPr>
          <w:rFonts w:cs="Helvetica"/>
          <w:bCs/>
          <w:iCs/>
          <w:color w:val="595959"/>
          <w:szCs w:val="20"/>
        </w:rPr>
        <w:t xml:space="preserve">year </w:t>
      </w:r>
      <w:r w:rsidR="000B621A">
        <w:rPr>
          <w:rFonts w:cs="Helvetica"/>
          <w:bCs/>
          <w:iCs/>
          <w:color w:val="595959"/>
          <w:szCs w:val="20"/>
        </w:rPr>
        <w:t xml:space="preserve">2019 </w:t>
      </w:r>
      <w:r w:rsidR="00FF03C6">
        <w:rPr>
          <w:rFonts w:cs="Helvetica"/>
          <w:bCs/>
          <w:iCs/>
          <w:color w:val="595959"/>
          <w:szCs w:val="20"/>
        </w:rPr>
        <w:t xml:space="preserve">global production weighted technology split between </w:t>
      </w:r>
      <w:r w:rsidR="00FF03C6" w:rsidRPr="00472887">
        <w:rPr>
          <w:rFonts w:cs="Helvetica"/>
          <w:bCs/>
          <w:i/>
          <w:iCs/>
          <w:color w:val="595959"/>
          <w:szCs w:val="20"/>
        </w:rPr>
        <w:t>Prebake</w:t>
      </w:r>
      <w:r w:rsidR="00FF03C6">
        <w:rPr>
          <w:rFonts w:cs="Helvetica"/>
          <w:bCs/>
          <w:iCs/>
          <w:color w:val="595959"/>
          <w:szCs w:val="20"/>
        </w:rPr>
        <w:t xml:space="preserve"> (95%) and </w:t>
      </w:r>
      <w:proofErr w:type="spellStart"/>
      <w:r w:rsidR="00FF03C6" w:rsidRPr="00472887">
        <w:rPr>
          <w:rFonts w:cs="Helvetica"/>
          <w:bCs/>
          <w:i/>
          <w:iCs/>
          <w:color w:val="595959"/>
          <w:szCs w:val="20"/>
        </w:rPr>
        <w:t>Søderberg</w:t>
      </w:r>
      <w:proofErr w:type="spellEnd"/>
      <w:r w:rsidR="00FF03C6">
        <w:rPr>
          <w:rFonts w:cs="Helvetica"/>
          <w:bCs/>
          <w:iCs/>
          <w:color w:val="595959"/>
          <w:szCs w:val="20"/>
        </w:rPr>
        <w:t xml:space="preserve"> (5%) cell technologies</w:t>
      </w:r>
      <w:r w:rsidR="009831A3">
        <w:rPr>
          <w:rFonts w:cs="Helvetica"/>
          <w:bCs/>
          <w:iCs/>
          <w:color w:val="595959"/>
          <w:szCs w:val="20"/>
        </w:rPr>
        <w:t xml:space="preserve">.  </w:t>
      </w:r>
      <w:r w:rsidR="007936BD">
        <w:rPr>
          <w:rFonts w:cs="Helvetica"/>
          <w:bCs/>
          <w:iCs/>
          <w:color w:val="595959"/>
          <w:szCs w:val="20"/>
        </w:rPr>
        <w:t>T</w:t>
      </w:r>
      <w:r w:rsidR="00FF03C6">
        <w:rPr>
          <w:rFonts w:cs="Helvetica"/>
          <w:bCs/>
          <w:iCs/>
          <w:color w:val="595959"/>
          <w:szCs w:val="20"/>
        </w:rPr>
        <w:t>his therefore assumes a non-reporting industry (including China) per technology performance equivalent to the reporting industry.</w:t>
      </w:r>
    </w:p>
    <w:p w14:paraId="72B169D9" w14:textId="77777777" w:rsidR="003C293F" w:rsidRDefault="003C293F" w:rsidP="000D0304">
      <w:pPr>
        <w:spacing w:after="0" w:line="312" w:lineRule="auto"/>
        <w:jc w:val="both"/>
        <w:rPr>
          <w:rFonts w:cs="Helvetica"/>
          <w:bCs/>
          <w:color w:val="595959"/>
          <w:szCs w:val="20"/>
        </w:rPr>
      </w:pPr>
    </w:p>
    <w:p w14:paraId="1B369791" w14:textId="77777777" w:rsidR="00FF03C6" w:rsidRDefault="00FF03C6" w:rsidP="000D0304">
      <w:pPr>
        <w:spacing w:after="0" w:line="312" w:lineRule="auto"/>
        <w:jc w:val="both"/>
        <w:rPr>
          <w:rFonts w:cs="Helvetica"/>
          <w:bCs/>
          <w:color w:val="595959"/>
          <w:szCs w:val="20"/>
        </w:rPr>
      </w:pPr>
      <w:r>
        <w:rPr>
          <w:rFonts w:cs="Helvetica"/>
          <w:bCs/>
          <w:iCs/>
          <w:color w:val="595959"/>
          <w:szCs w:val="20"/>
        </w:rPr>
        <w:t xml:space="preserve">There are </w:t>
      </w:r>
      <w:r w:rsidR="008D33FC">
        <w:rPr>
          <w:rFonts w:cs="Helvetica"/>
          <w:bCs/>
          <w:iCs/>
          <w:color w:val="595959"/>
          <w:szCs w:val="20"/>
        </w:rPr>
        <w:t>four</w:t>
      </w:r>
      <w:r>
        <w:rPr>
          <w:rFonts w:cs="Helvetica"/>
          <w:bCs/>
          <w:iCs/>
          <w:color w:val="595959"/>
          <w:szCs w:val="20"/>
        </w:rPr>
        <w:t xml:space="preserve"> key areas in the LCI where a</w:t>
      </w:r>
      <w:r w:rsidR="002E1F75">
        <w:rPr>
          <w:rFonts w:cs="Helvetica"/>
          <w:bCs/>
          <w:iCs/>
          <w:color w:val="595959"/>
          <w:szCs w:val="20"/>
        </w:rPr>
        <w:t xml:space="preserve">ssumptions are made in the unit process data for input/output flows which have an array of options </w:t>
      </w:r>
      <w:r>
        <w:rPr>
          <w:rFonts w:cs="Helvetica"/>
          <w:bCs/>
          <w:iCs/>
          <w:color w:val="595959"/>
          <w:szCs w:val="20"/>
        </w:rPr>
        <w:t>and</w:t>
      </w:r>
      <w:r w:rsidR="002E1F75">
        <w:rPr>
          <w:rFonts w:cs="Helvetica"/>
          <w:bCs/>
          <w:iCs/>
          <w:color w:val="595959"/>
          <w:szCs w:val="20"/>
        </w:rPr>
        <w:t xml:space="preserve"> for which non-reported data points </w:t>
      </w:r>
      <w:r>
        <w:rPr>
          <w:rFonts w:cs="Helvetica"/>
          <w:bCs/>
          <w:iCs/>
          <w:color w:val="595959"/>
          <w:szCs w:val="20"/>
        </w:rPr>
        <w:t>should</w:t>
      </w:r>
      <w:r w:rsidR="002E1F75">
        <w:rPr>
          <w:rFonts w:cs="Helvetica"/>
          <w:bCs/>
          <w:iCs/>
          <w:color w:val="595959"/>
          <w:szCs w:val="20"/>
        </w:rPr>
        <w:t xml:space="preserve"> in effect</w:t>
      </w:r>
      <w:r>
        <w:rPr>
          <w:rFonts w:cs="Helvetica"/>
          <w:bCs/>
          <w:iCs/>
          <w:color w:val="595959"/>
          <w:szCs w:val="20"/>
        </w:rPr>
        <w:t xml:space="preserve"> be</w:t>
      </w:r>
      <w:r w:rsidR="002E1F75">
        <w:rPr>
          <w:rFonts w:cs="Helvetica"/>
          <w:bCs/>
          <w:iCs/>
          <w:color w:val="595959"/>
          <w:szCs w:val="20"/>
        </w:rPr>
        <w:t xml:space="preserve"> equal to zero</w:t>
      </w:r>
      <w:r w:rsidR="00063621">
        <w:rPr>
          <w:rFonts w:cs="Helvetica"/>
          <w:bCs/>
          <w:iCs/>
          <w:color w:val="595959"/>
          <w:szCs w:val="20"/>
        </w:rPr>
        <w:t>:</w:t>
      </w:r>
      <w:r w:rsidR="002E1F75">
        <w:rPr>
          <w:rFonts w:cs="Helvetica"/>
          <w:bCs/>
          <w:iCs/>
          <w:color w:val="595959"/>
          <w:szCs w:val="20"/>
        </w:rPr>
        <w:t xml:space="preserve"> </w:t>
      </w:r>
    </w:p>
    <w:p w14:paraId="18615CEF" w14:textId="77777777" w:rsidR="00FF03C6" w:rsidRPr="000D0304" w:rsidRDefault="00FF03C6" w:rsidP="000D0304">
      <w:pPr>
        <w:pStyle w:val="ListParagraph"/>
        <w:numPr>
          <w:ilvl w:val="0"/>
          <w:numId w:val="63"/>
        </w:numPr>
        <w:spacing w:after="0" w:line="312" w:lineRule="auto"/>
        <w:jc w:val="both"/>
        <w:rPr>
          <w:rFonts w:cs="Helvetica"/>
          <w:color w:val="595959"/>
        </w:rPr>
      </w:pPr>
      <w:r w:rsidRPr="000D0304">
        <w:rPr>
          <w:rFonts w:cs="Helvetica"/>
          <w:b/>
          <w:color w:val="595959"/>
        </w:rPr>
        <w:t>Sea water use</w:t>
      </w:r>
      <w:r w:rsidRPr="000D0304">
        <w:rPr>
          <w:rFonts w:cs="Helvetica"/>
          <w:color w:val="595959"/>
        </w:rPr>
        <w:t>: non-reporting is assumed to be equivalent to zero values from plants that are not located by the sea;</w:t>
      </w:r>
    </w:p>
    <w:p w14:paraId="6A370CB2" w14:textId="77777777" w:rsidR="00FF03C6" w:rsidRPr="000D0304" w:rsidRDefault="00FF03C6" w:rsidP="000D0304">
      <w:pPr>
        <w:pStyle w:val="ListParagraph"/>
        <w:numPr>
          <w:ilvl w:val="0"/>
          <w:numId w:val="63"/>
        </w:numPr>
        <w:spacing w:after="0" w:line="312" w:lineRule="auto"/>
        <w:jc w:val="both"/>
        <w:rPr>
          <w:rFonts w:cs="Helvetica"/>
          <w:color w:val="595959"/>
        </w:rPr>
      </w:pPr>
      <w:r w:rsidRPr="000D0304">
        <w:rPr>
          <w:rFonts w:cs="Helvetica"/>
          <w:b/>
          <w:color w:val="595959"/>
        </w:rPr>
        <w:t>Transport:</w:t>
      </w:r>
      <w:r w:rsidRPr="000D0304">
        <w:rPr>
          <w:rFonts w:cs="Helvetica"/>
          <w:color w:val="595959"/>
        </w:rPr>
        <w:t xml:space="preserve"> n</w:t>
      </w:r>
      <w:r w:rsidR="00AF5D34" w:rsidRPr="000D0304">
        <w:rPr>
          <w:rFonts w:cs="Helvetica"/>
          <w:color w:val="595959"/>
        </w:rPr>
        <w:t>on-reporting for certain transport modes is assumed to be equivalent to zero values</w:t>
      </w:r>
      <w:r w:rsidRPr="000D0304">
        <w:rPr>
          <w:rFonts w:cs="Helvetica"/>
          <w:color w:val="595959"/>
        </w:rPr>
        <w:t xml:space="preserve"> given that not all facilities have equal access to rail, road or sea transport;</w:t>
      </w:r>
    </w:p>
    <w:p w14:paraId="5CEEFAA1" w14:textId="77777777" w:rsidR="00343530" w:rsidRDefault="00FF03C6" w:rsidP="000D0304">
      <w:pPr>
        <w:pStyle w:val="ListParagraph"/>
        <w:numPr>
          <w:ilvl w:val="0"/>
          <w:numId w:val="63"/>
        </w:numPr>
        <w:spacing w:after="0" w:line="312" w:lineRule="auto"/>
        <w:jc w:val="both"/>
        <w:rPr>
          <w:rFonts w:cs="Helvetica"/>
          <w:color w:val="595959"/>
        </w:rPr>
      </w:pPr>
      <w:r w:rsidRPr="000D0304">
        <w:rPr>
          <w:rFonts w:cs="Helvetica"/>
          <w:b/>
          <w:color w:val="595959"/>
        </w:rPr>
        <w:t>Fuel and power mix</w:t>
      </w:r>
      <w:r w:rsidRPr="000D0304">
        <w:rPr>
          <w:rFonts w:cs="Helvetica"/>
          <w:color w:val="595959"/>
        </w:rPr>
        <w:t xml:space="preserve">: </w:t>
      </w:r>
      <w:r w:rsidR="00AF5D34" w:rsidRPr="000D0304">
        <w:rPr>
          <w:rFonts w:cs="Helvetica"/>
          <w:color w:val="595959"/>
        </w:rPr>
        <w:t>non-reporting for certain fuel sources is assumed to be equivalent to zero</w:t>
      </w:r>
      <w:r w:rsidR="0039105E">
        <w:rPr>
          <w:rFonts w:cs="Helvetica"/>
          <w:color w:val="595959"/>
        </w:rPr>
        <w:t xml:space="preserve"> values </w:t>
      </w:r>
      <w:r w:rsidR="00AF5D34" w:rsidRPr="000D0304">
        <w:rPr>
          <w:rFonts w:cs="Helvetica"/>
          <w:color w:val="595959"/>
        </w:rPr>
        <w:t xml:space="preserve">as </w:t>
      </w:r>
      <w:r w:rsidRPr="000D0304">
        <w:rPr>
          <w:rFonts w:cs="Helvetica"/>
          <w:color w:val="595959"/>
        </w:rPr>
        <w:t>th</w:t>
      </w:r>
      <w:r w:rsidR="00AF5D34" w:rsidRPr="000D0304">
        <w:rPr>
          <w:rFonts w:cs="Helvetica"/>
          <w:color w:val="595959"/>
        </w:rPr>
        <w:t xml:space="preserve">e fuel and power mix </w:t>
      </w:r>
      <w:r w:rsidRPr="000D0304">
        <w:rPr>
          <w:rFonts w:cs="Helvetica"/>
          <w:color w:val="595959"/>
        </w:rPr>
        <w:t>of the industry as a whole is the relevant</w:t>
      </w:r>
      <w:bookmarkStart w:id="64" w:name="_Toc363829101"/>
      <w:r w:rsidR="00AF5D34" w:rsidRPr="000D0304">
        <w:rPr>
          <w:rFonts w:cs="Helvetica"/>
          <w:color w:val="595959"/>
        </w:rPr>
        <w:t xml:space="preserve"> average</w:t>
      </w:r>
      <w:r w:rsidR="009831A3">
        <w:rPr>
          <w:rFonts w:cs="Helvetica"/>
          <w:color w:val="595959"/>
        </w:rPr>
        <w:t xml:space="preserve">.  </w:t>
      </w:r>
    </w:p>
    <w:p w14:paraId="5711D6E4" w14:textId="5998DCB6" w:rsidR="008D33FC" w:rsidRDefault="008D33FC" w:rsidP="000D0304">
      <w:pPr>
        <w:pStyle w:val="ListParagraph"/>
        <w:numPr>
          <w:ilvl w:val="0"/>
          <w:numId w:val="63"/>
        </w:numPr>
        <w:spacing w:after="0" w:line="312" w:lineRule="auto"/>
        <w:jc w:val="both"/>
        <w:rPr>
          <w:rFonts w:cs="Helvetica"/>
          <w:color w:val="595959"/>
        </w:rPr>
      </w:pPr>
      <w:r w:rsidRPr="008D33FC">
        <w:rPr>
          <w:rFonts w:cs="Helvetica"/>
          <w:b/>
          <w:color w:val="595959"/>
        </w:rPr>
        <w:t>Land use</w:t>
      </w:r>
      <w:r>
        <w:rPr>
          <w:rFonts w:cs="Helvetica"/>
          <w:b/>
          <w:color w:val="595959"/>
        </w:rPr>
        <w:t xml:space="preserve"> type</w:t>
      </w:r>
      <w:r>
        <w:rPr>
          <w:rFonts w:cs="Helvetica"/>
          <w:color w:val="595959"/>
        </w:rPr>
        <w:t>:</w:t>
      </w:r>
      <w:r w:rsidRPr="008D33FC">
        <w:rPr>
          <w:rFonts w:cs="Helvetica"/>
          <w:color w:val="595959"/>
        </w:rPr>
        <w:t xml:space="preserve"> </w:t>
      </w:r>
      <w:r w:rsidRPr="000D0304">
        <w:rPr>
          <w:rFonts w:cs="Helvetica"/>
          <w:color w:val="595959"/>
        </w:rPr>
        <w:t xml:space="preserve">non-reporting for certain </w:t>
      </w:r>
      <w:r>
        <w:rPr>
          <w:rFonts w:cs="Helvetica"/>
          <w:color w:val="595959"/>
        </w:rPr>
        <w:t xml:space="preserve">land use types </w:t>
      </w:r>
      <w:r w:rsidRPr="000D0304">
        <w:rPr>
          <w:rFonts w:cs="Helvetica"/>
          <w:color w:val="595959"/>
        </w:rPr>
        <w:t xml:space="preserve">is assumed to be equivalent to zero values given that </w:t>
      </w:r>
      <w:r>
        <w:rPr>
          <w:rFonts w:cs="Helvetica"/>
          <w:color w:val="595959"/>
        </w:rPr>
        <w:t xml:space="preserve">not all facilities use all land types. </w:t>
      </w:r>
    </w:p>
    <w:p w14:paraId="585810C0" w14:textId="77777777" w:rsidR="00634F72" w:rsidRPr="000D0304" w:rsidRDefault="00634F72" w:rsidP="000D0304">
      <w:pPr>
        <w:pStyle w:val="ListParagraph"/>
        <w:numPr>
          <w:ilvl w:val="0"/>
          <w:numId w:val="63"/>
        </w:numPr>
        <w:spacing w:after="0" w:line="312" w:lineRule="auto"/>
        <w:jc w:val="both"/>
        <w:rPr>
          <w:rFonts w:cs="Helvetica"/>
          <w:color w:val="595959"/>
        </w:rPr>
      </w:pPr>
    </w:p>
    <w:p w14:paraId="626DD1F3" w14:textId="50D013EA" w:rsidR="00343530" w:rsidRDefault="00343530">
      <w:pPr>
        <w:spacing w:after="0"/>
        <w:rPr>
          <w:rFonts w:cs="Helvetica"/>
          <w:color w:val="595959"/>
        </w:rPr>
      </w:pPr>
    </w:p>
    <w:p w14:paraId="2A1C516A" w14:textId="77777777" w:rsidR="00315D1B" w:rsidRPr="000D0304" w:rsidRDefault="00315D1B" w:rsidP="00DA5301">
      <w:pPr>
        <w:pStyle w:val="Heading2"/>
      </w:pPr>
      <w:bookmarkStart w:id="65" w:name="_Toc480555201"/>
      <w:bookmarkStart w:id="66" w:name="_Toc480555287"/>
      <w:bookmarkStart w:id="67" w:name="_Toc480555373"/>
      <w:bookmarkStart w:id="68" w:name="_Toc480555455"/>
      <w:bookmarkStart w:id="69" w:name="_Toc480971396"/>
      <w:bookmarkStart w:id="70" w:name="_Toc120111921"/>
      <w:bookmarkEnd w:id="65"/>
      <w:bookmarkEnd w:id="66"/>
      <w:bookmarkEnd w:id="67"/>
      <w:bookmarkEnd w:id="68"/>
      <w:bookmarkEnd w:id="69"/>
      <w:r w:rsidRPr="000D0304">
        <w:t xml:space="preserve">Data </w:t>
      </w:r>
      <w:r w:rsidR="00D02D5D">
        <w:t>A</w:t>
      </w:r>
      <w:r w:rsidRPr="000D0304">
        <w:t>nalysis</w:t>
      </w:r>
      <w:bookmarkEnd w:id="64"/>
      <w:bookmarkEnd w:id="70"/>
    </w:p>
    <w:p w14:paraId="1B6C05D5" w14:textId="77777777" w:rsidR="00315D1B" w:rsidRPr="000D0304" w:rsidRDefault="00315D1B" w:rsidP="00DA5301">
      <w:pPr>
        <w:pStyle w:val="Heading3"/>
      </w:pPr>
      <w:bookmarkStart w:id="71" w:name="_Toc363829102"/>
      <w:bookmarkStart w:id="72" w:name="_Toc120111922"/>
      <w:r w:rsidRPr="000D0304">
        <w:t xml:space="preserve">Data </w:t>
      </w:r>
      <w:r w:rsidR="00D02D5D">
        <w:t>Q</w:t>
      </w:r>
      <w:r w:rsidRPr="000D0304">
        <w:t>uality</w:t>
      </w:r>
      <w:bookmarkEnd w:id="71"/>
      <w:bookmarkEnd w:id="72"/>
    </w:p>
    <w:p w14:paraId="1A288A4F" w14:textId="77777777" w:rsidR="00315D1B" w:rsidRPr="009F1382" w:rsidRDefault="00315D1B" w:rsidP="009E11C8">
      <w:pPr>
        <w:pStyle w:val="BodyText"/>
        <w:tabs>
          <w:tab w:val="left" w:pos="810"/>
        </w:tabs>
        <w:spacing w:line="312" w:lineRule="auto"/>
        <w:rPr>
          <w:rFonts w:ascii="Helvetica" w:hAnsi="Helvetica" w:cs="Helvetica"/>
          <w:color w:val="595959"/>
          <w:sz w:val="20"/>
          <w:szCs w:val="24"/>
        </w:rPr>
      </w:pPr>
      <w:r>
        <w:rPr>
          <w:rFonts w:ascii="Helvetica" w:hAnsi="Helvetica" w:cs="Helvetica"/>
          <w:color w:val="595959"/>
          <w:sz w:val="20"/>
          <w:szCs w:val="24"/>
        </w:rPr>
        <w:t>Q</w:t>
      </w:r>
      <w:r w:rsidRPr="009F1382">
        <w:rPr>
          <w:rFonts w:ascii="Helvetica" w:hAnsi="Helvetica" w:cs="Helvetica"/>
          <w:color w:val="595959"/>
          <w:sz w:val="20"/>
          <w:szCs w:val="24"/>
        </w:rPr>
        <w:t xml:space="preserve">uantitative </w:t>
      </w:r>
      <w:r>
        <w:rPr>
          <w:rFonts w:ascii="Helvetica" w:hAnsi="Helvetica" w:cs="Helvetica"/>
          <w:color w:val="595959"/>
          <w:sz w:val="20"/>
          <w:szCs w:val="24"/>
        </w:rPr>
        <w:t>d</w:t>
      </w:r>
      <w:r w:rsidRPr="009F1382">
        <w:rPr>
          <w:rFonts w:ascii="Helvetica" w:hAnsi="Helvetica" w:cs="Helvetica"/>
          <w:color w:val="595959"/>
          <w:sz w:val="20"/>
          <w:szCs w:val="24"/>
        </w:rPr>
        <w:t xml:space="preserve">ata </w:t>
      </w:r>
      <w:r>
        <w:rPr>
          <w:rFonts w:ascii="Helvetica" w:hAnsi="Helvetica" w:cs="Helvetica"/>
          <w:color w:val="595959"/>
          <w:sz w:val="20"/>
          <w:szCs w:val="24"/>
        </w:rPr>
        <w:t>q</w:t>
      </w:r>
      <w:r w:rsidRPr="009F1382">
        <w:rPr>
          <w:rFonts w:ascii="Helvetica" w:hAnsi="Helvetica" w:cs="Helvetica"/>
          <w:color w:val="595959"/>
          <w:sz w:val="20"/>
          <w:szCs w:val="24"/>
        </w:rPr>
        <w:t xml:space="preserve">uality </w:t>
      </w:r>
      <w:r>
        <w:rPr>
          <w:rFonts w:ascii="Helvetica" w:hAnsi="Helvetica" w:cs="Helvetica"/>
          <w:color w:val="595959"/>
          <w:sz w:val="20"/>
          <w:szCs w:val="24"/>
        </w:rPr>
        <w:t>i</w:t>
      </w:r>
      <w:r w:rsidRPr="009F1382">
        <w:rPr>
          <w:rFonts w:ascii="Helvetica" w:hAnsi="Helvetica" w:cs="Helvetica"/>
          <w:color w:val="595959"/>
          <w:sz w:val="20"/>
          <w:szCs w:val="24"/>
        </w:rPr>
        <w:t>ndicators (DQI)</w:t>
      </w:r>
      <w:r>
        <w:rPr>
          <w:rFonts w:ascii="Helvetica" w:hAnsi="Helvetica" w:cs="Helvetica"/>
          <w:color w:val="595959"/>
          <w:sz w:val="20"/>
          <w:szCs w:val="24"/>
        </w:rPr>
        <w:t xml:space="preserve"> are calculated against each </w:t>
      </w:r>
      <w:r w:rsidRPr="009F1382">
        <w:rPr>
          <w:rFonts w:ascii="Helvetica" w:hAnsi="Helvetica" w:cs="Helvetica"/>
          <w:color w:val="595959"/>
          <w:sz w:val="20"/>
          <w:szCs w:val="24"/>
        </w:rPr>
        <w:t xml:space="preserve">data </w:t>
      </w:r>
      <w:r>
        <w:rPr>
          <w:rFonts w:ascii="Helvetica" w:hAnsi="Helvetica" w:cs="Helvetica"/>
          <w:color w:val="595959"/>
          <w:sz w:val="20"/>
          <w:szCs w:val="24"/>
        </w:rPr>
        <w:t>point as follows</w:t>
      </w:r>
      <w:r w:rsidRPr="009F1382">
        <w:rPr>
          <w:rFonts w:ascii="Helvetica" w:hAnsi="Helvetica" w:cs="Helvetica"/>
          <w:color w:val="595959"/>
          <w:sz w:val="20"/>
          <w:szCs w:val="24"/>
        </w:rPr>
        <w:t>:</w:t>
      </w:r>
    </w:p>
    <w:p w14:paraId="204EA895" w14:textId="77777777" w:rsidR="00315D1B" w:rsidRPr="007028AC" w:rsidRDefault="0075372D" w:rsidP="00343530">
      <w:pPr>
        <w:pStyle w:val="BodyText"/>
        <w:widowControl w:val="0"/>
        <w:numPr>
          <w:ilvl w:val="0"/>
          <w:numId w:val="8"/>
        </w:numPr>
        <w:tabs>
          <w:tab w:val="left" w:pos="-1440"/>
          <w:tab w:val="left" w:pos="-720"/>
        </w:tabs>
        <w:spacing w:line="312" w:lineRule="auto"/>
        <w:ind w:left="714" w:hanging="357"/>
        <w:rPr>
          <w:rFonts w:ascii="Helvetica" w:hAnsi="Helvetica" w:cs="Helvetica"/>
          <w:color w:val="595959"/>
          <w:sz w:val="20"/>
          <w:szCs w:val="24"/>
        </w:rPr>
      </w:pPr>
      <w:r>
        <w:rPr>
          <w:rFonts w:ascii="Helvetica" w:hAnsi="Helvetica" w:cs="Helvetica"/>
          <w:color w:val="595959"/>
          <w:sz w:val="20"/>
          <w:szCs w:val="24"/>
        </w:rPr>
        <w:t>Representativeness</w:t>
      </w:r>
      <w:r w:rsidR="00315D1B" w:rsidRPr="007028AC">
        <w:rPr>
          <w:rFonts w:ascii="Helvetica" w:hAnsi="Helvetica" w:cs="Helvetica"/>
          <w:color w:val="595959"/>
          <w:sz w:val="20"/>
          <w:szCs w:val="24"/>
        </w:rPr>
        <w:t xml:space="preserve"> (weighted mean values)</w:t>
      </w:r>
      <w:r w:rsidR="00315D1B" w:rsidRPr="007028AC">
        <w:rPr>
          <w:rFonts w:ascii="Helvetica" w:hAnsi="Helvetica" w:cs="Helvetica"/>
          <w:color w:val="595959"/>
          <w:sz w:val="20"/>
        </w:rPr>
        <w:t>:</w:t>
      </w:r>
      <w:r w:rsidR="00315D1B" w:rsidRPr="007028AC">
        <w:rPr>
          <w:rFonts w:ascii="Helvetica" w:hAnsi="Helvetica" w:cs="Helvetica"/>
          <w:b/>
          <w:i/>
          <w:color w:val="595959"/>
          <w:sz w:val="20"/>
        </w:rPr>
        <w:t xml:space="preserve"> </w:t>
      </w:r>
      <w:r w:rsidR="00315D1B" w:rsidRPr="007028AC">
        <w:rPr>
          <w:rFonts w:ascii="Helvetica" w:hAnsi="Helvetica" w:cs="Helvetica"/>
          <w:color w:val="595959"/>
          <w:sz w:val="20"/>
        </w:rPr>
        <w:t>all values presented in the text of this report represent production weighted mean values fo</w:t>
      </w:r>
      <w:r w:rsidR="00315D1B">
        <w:rPr>
          <w:rFonts w:ascii="Helvetica" w:hAnsi="Helvetica" w:cs="Helvetica"/>
          <w:color w:val="595959"/>
          <w:sz w:val="20"/>
        </w:rPr>
        <w:t>r aluminium processes;</w:t>
      </w:r>
    </w:p>
    <w:p w14:paraId="04A6123B" w14:textId="77777777" w:rsidR="006020E9" w:rsidRDefault="006020E9">
      <w:pPr>
        <w:pStyle w:val="BodyText"/>
        <w:widowControl w:val="0"/>
        <w:numPr>
          <w:ilvl w:val="0"/>
          <w:numId w:val="8"/>
        </w:numPr>
        <w:tabs>
          <w:tab w:val="left" w:pos="-1440"/>
          <w:tab w:val="left" w:pos="-720"/>
        </w:tabs>
        <w:spacing w:line="312" w:lineRule="auto"/>
        <w:ind w:left="714" w:hanging="357"/>
        <w:rPr>
          <w:rFonts w:ascii="Helvetica" w:hAnsi="Helvetica" w:cs="Helvetica"/>
          <w:color w:val="595959"/>
          <w:sz w:val="20"/>
          <w:szCs w:val="24"/>
        </w:rPr>
      </w:pPr>
      <w:r>
        <w:rPr>
          <w:rFonts w:ascii="Helvetica" w:hAnsi="Helvetica" w:cs="Helvetica"/>
          <w:color w:val="595959"/>
          <w:sz w:val="20"/>
          <w:szCs w:val="24"/>
        </w:rPr>
        <w:t xml:space="preserve">Completeness: all values presented in this report have a % production coverage value calculated; and  </w:t>
      </w:r>
    </w:p>
    <w:p w14:paraId="72161A74" w14:textId="77777777" w:rsidR="00C91798" w:rsidRPr="006020E9" w:rsidRDefault="0075372D" w:rsidP="004D3FD8">
      <w:pPr>
        <w:pStyle w:val="BodyText"/>
        <w:widowControl w:val="0"/>
        <w:numPr>
          <w:ilvl w:val="0"/>
          <w:numId w:val="8"/>
        </w:numPr>
        <w:tabs>
          <w:tab w:val="left" w:pos="-1440"/>
          <w:tab w:val="left" w:pos="-720"/>
        </w:tabs>
        <w:spacing w:line="312" w:lineRule="auto"/>
        <w:ind w:left="714" w:hanging="357"/>
        <w:rPr>
          <w:rFonts w:ascii="Helvetica" w:hAnsi="Helvetica" w:cs="Helvetica"/>
          <w:color w:val="595959"/>
          <w:sz w:val="20"/>
          <w:szCs w:val="24"/>
        </w:rPr>
      </w:pPr>
      <w:r w:rsidRPr="006020E9">
        <w:rPr>
          <w:rFonts w:ascii="Helvetica" w:hAnsi="Helvetica" w:cs="Helvetica"/>
          <w:color w:val="595959"/>
          <w:sz w:val="20"/>
          <w:szCs w:val="24"/>
        </w:rPr>
        <w:t>Variance</w:t>
      </w:r>
      <w:r w:rsidR="006020E9">
        <w:rPr>
          <w:rFonts w:ascii="Helvetica" w:hAnsi="Helvetica" w:cs="Helvetica"/>
          <w:color w:val="595959"/>
          <w:sz w:val="20"/>
          <w:szCs w:val="24"/>
        </w:rPr>
        <w:t xml:space="preserve">: </w:t>
      </w:r>
      <w:r w:rsidRPr="006020E9">
        <w:rPr>
          <w:rFonts w:ascii="Helvetica" w:hAnsi="Helvetica" w:cs="Helvetica"/>
          <w:color w:val="595959"/>
          <w:sz w:val="20"/>
          <w:szCs w:val="24"/>
        </w:rPr>
        <w:t>s</w:t>
      </w:r>
      <w:r w:rsidR="004F1FEB" w:rsidRPr="006020E9">
        <w:rPr>
          <w:rFonts w:ascii="Helvetica" w:hAnsi="Helvetica" w:cs="Helvetica"/>
          <w:color w:val="595959"/>
          <w:sz w:val="20"/>
          <w:szCs w:val="24"/>
        </w:rPr>
        <w:t>tandard d</w:t>
      </w:r>
      <w:r w:rsidR="00315D1B" w:rsidRPr="006020E9">
        <w:rPr>
          <w:rFonts w:ascii="Helvetica" w:hAnsi="Helvetica" w:cs="Helvetica"/>
          <w:color w:val="595959"/>
          <w:sz w:val="20"/>
          <w:szCs w:val="24"/>
        </w:rPr>
        <w:t>eviation</w:t>
      </w:r>
      <w:r w:rsidR="006020E9">
        <w:rPr>
          <w:rFonts w:ascii="Helvetica" w:hAnsi="Helvetica" w:cs="Helvetica"/>
          <w:color w:val="595959"/>
          <w:sz w:val="20"/>
          <w:szCs w:val="24"/>
        </w:rPr>
        <w:t>, m</w:t>
      </w:r>
      <w:r w:rsidR="00FB4A5C" w:rsidRPr="006020E9">
        <w:rPr>
          <w:rFonts w:ascii="Helvetica" w:hAnsi="Helvetica" w:cs="Helvetica"/>
          <w:color w:val="595959"/>
          <w:sz w:val="20"/>
          <w:szCs w:val="24"/>
        </w:rPr>
        <w:t>inimum and maximum values</w:t>
      </w:r>
      <w:bookmarkStart w:id="73" w:name="_Toc363829103"/>
      <w:r w:rsidR="00935A71" w:rsidRPr="006020E9">
        <w:rPr>
          <w:rFonts w:ascii="Helvetica" w:hAnsi="Helvetica" w:cs="Helvetica"/>
          <w:color w:val="595959"/>
          <w:sz w:val="20"/>
          <w:szCs w:val="24"/>
        </w:rPr>
        <w:t>.</w:t>
      </w:r>
    </w:p>
    <w:p w14:paraId="5501B6BF" w14:textId="77777777" w:rsidR="00315D1B" w:rsidRPr="000D0304" w:rsidRDefault="00315D1B" w:rsidP="00DA5301">
      <w:pPr>
        <w:pStyle w:val="Heading3"/>
      </w:pPr>
      <w:bookmarkStart w:id="74" w:name="_Toc120111923"/>
      <w:r w:rsidRPr="000D0304">
        <w:t>Averaging</w:t>
      </w:r>
      <w:bookmarkEnd w:id="73"/>
      <w:bookmarkEnd w:id="74"/>
    </w:p>
    <w:p w14:paraId="3DCC98BA" w14:textId="77777777" w:rsidR="00315D1B" w:rsidRDefault="00315D1B" w:rsidP="009E11C8">
      <w:pPr>
        <w:tabs>
          <w:tab w:val="left" w:pos="-1440"/>
          <w:tab w:val="left" w:pos="-720"/>
        </w:tabs>
        <w:spacing w:after="0" w:line="312" w:lineRule="auto"/>
        <w:jc w:val="both"/>
        <w:rPr>
          <w:rFonts w:cs="Helvetica"/>
          <w:color w:val="595959"/>
        </w:rPr>
      </w:pPr>
      <w:r>
        <w:rPr>
          <w:rFonts w:cs="Helvetica"/>
          <w:color w:val="595959"/>
        </w:rPr>
        <w:t xml:space="preserve">A </w:t>
      </w:r>
      <w:r w:rsidRPr="009F1382">
        <w:rPr>
          <w:rFonts w:cs="Helvetica"/>
          <w:color w:val="595959"/>
        </w:rPr>
        <w:t xml:space="preserve">normal distribution of </w:t>
      </w:r>
      <w:r w:rsidR="00D936C7">
        <w:rPr>
          <w:rFonts w:cs="Helvetica"/>
          <w:color w:val="595959"/>
        </w:rPr>
        <w:t xml:space="preserve">data </w:t>
      </w:r>
      <w:r>
        <w:rPr>
          <w:rFonts w:cs="Helvetica"/>
          <w:color w:val="595959"/>
        </w:rPr>
        <w:t>is assumed</w:t>
      </w:r>
      <w:r w:rsidR="009831A3">
        <w:rPr>
          <w:rFonts w:cs="Helvetica"/>
          <w:color w:val="595959"/>
        </w:rPr>
        <w:t xml:space="preserve">.  </w:t>
      </w:r>
      <w:r w:rsidRPr="00B94736">
        <w:rPr>
          <w:rFonts w:cs="Helvetica"/>
          <w:color w:val="595959"/>
        </w:rPr>
        <w:t>The following is a</w:t>
      </w:r>
      <w:r w:rsidR="00E009AC">
        <w:rPr>
          <w:rFonts w:cs="Helvetica"/>
          <w:color w:val="595959"/>
        </w:rPr>
        <w:t xml:space="preserve"> summary</w:t>
      </w:r>
      <w:r>
        <w:rPr>
          <w:rFonts w:cs="Helvetica"/>
          <w:color w:val="595959"/>
        </w:rPr>
        <w:t xml:space="preserve"> of the methodologies used for averaging of inventory data</w:t>
      </w:r>
      <w:r w:rsidR="00E009AC">
        <w:rPr>
          <w:rFonts w:cs="Helvetica"/>
          <w:color w:val="595959"/>
        </w:rPr>
        <w:t>.</w:t>
      </w:r>
    </w:p>
    <w:p w14:paraId="6D0BDB27" w14:textId="77777777" w:rsidR="00315D1B" w:rsidRPr="000D0304" w:rsidRDefault="00E15EA1" w:rsidP="00DA5301">
      <w:pPr>
        <w:pStyle w:val="Heading4"/>
      </w:pPr>
      <w:bookmarkStart w:id="75" w:name="_Toc480971400"/>
      <w:bookmarkStart w:id="76" w:name="_Toc120111924"/>
      <w:bookmarkEnd w:id="75"/>
      <w:r w:rsidRPr="000D0304">
        <w:t xml:space="preserve">Production </w:t>
      </w:r>
      <w:r w:rsidR="00315D1B" w:rsidRPr="000D0304">
        <w:t>Weighted Mean</w:t>
      </w:r>
      <w:bookmarkEnd w:id="76"/>
    </w:p>
    <w:p w14:paraId="7AE36139" w14:textId="77777777" w:rsidR="00BD12CE" w:rsidRDefault="00315D1B" w:rsidP="009E11C8">
      <w:pPr>
        <w:widowControl w:val="0"/>
        <w:tabs>
          <w:tab w:val="left" w:pos="-1440"/>
          <w:tab w:val="left" w:pos="-720"/>
        </w:tabs>
        <w:spacing w:line="312" w:lineRule="auto"/>
        <w:jc w:val="both"/>
        <w:rPr>
          <w:rFonts w:cs="Helvetica"/>
          <w:color w:val="595959"/>
        </w:rPr>
      </w:pPr>
      <w:r>
        <w:rPr>
          <w:rFonts w:cs="Helvetica"/>
          <w:color w:val="595959"/>
        </w:rPr>
        <w:t>A p</w:t>
      </w:r>
      <w:r w:rsidRPr="00B94736">
        <w:rPr>
          <w:rFonts w:cs="Helvetica"/>
          <w:color w:val="595959"/>
        </w:rPr>
        <w:t>roduction weighted average is a reflection of given reported process input or output data normalised per tonne of product for those facilities that reported the relevant process input or output</w:t>
      </w:r>
      <w:r w:rsidR="009831A3">
        <w:rPr>
          <w:rFonts w:cs="Helvetica"/>
          <w:color w:val="595959"/>
        </w:rPr>
        <w:t xml:space="preserve">.  </w:t>
      </w:r>
      <w:r w:rsidRPr="00B94736">
        <w:rPr>
          <w:rFonts w:cs="Helvetica"/>
          <w:color w:val="595959"/>
        </w:rPr>
        <w:t>Reporting production is o</w:t>
      </w:r>
      <w:r w:rsidR="004F1FEB">
        <w:rPr>
          <w:rFonts w:cs="Helvetica"/>
          <w:color w:val="595959"/>
        </w:rPr>
        <w:t>nly included in the denominator</w:t>
      </w:r>
      <w:r w:rsidRPr="00B94736">
        <w:rPr>
          <w:rFonts w:cs="Helvetica"/>
          <w:color w:val="595959"/>
        </w:rPr>
        <w:t xml:space="preserve"> if data w</w:t>
      </w:r>
      <w:r w:rsidR="00236AAA">
        <w:rPr>
          <w:rFonts w:cs="Helvetica"/>
          <w:color w:val="595959"/>
        </w:rPr>
        <w:t>ere</w:t>
      </w:r>
      <w:r w:rsidRPr="00B94736">
        <w:rPr>
          <w:rFonts w:cs="Helvetica"/>
          <w:color w:val="595959"/>
        </w:rPr>
        <w:t xml:space="preserve"> reported (including zero values) for inclusion in the numerator</w:t>
      </w:r>
      <w:r w:rsidR="009831A3">
        <w:rPr>
          <w:rFonts w:cs="Helvetica"/>
          <w:color w:val="595959"/>
        </w:rPr>
        <w:t xml:space="preserve">.  </w:t>
      </w:r>
      <w:r>
        <w:rPr>
          <w:rFonts w:cs="Helvetica"/>
          <w:color w:val="595959"/>
        </w:rPr>
        <w:t>Non-reported or “blank” data</w:t>
      </w:r>
      <w:r w:rsidR="00236AAA">
        <w:rPr>
          <w:rFonts w:cs="Helvetica"/>
          <w:color w:val="595959"/>
        </w:rPr>
        <w:t xml:space="preserve"> points are</w:t>
      </w:r>
      <w:r w:rsidR="00E15EA1">
        <w:rPr>
          <w:rFonts w:cs="Helvetica"/>
          <w:color w:val="595959"/>
        </w:rPr>
        <w:t xml:space="preserve"> not</w:t>
      </w:r>
      <w:r>
        <w:rPr>
          <w:rFonts w:cs="Helvetica"/>
          <w:color w:val="595959"/>
        </w:rPr>
        <w:t xml:space="preserve"> included in the numerator </w:t>
      </w:r>
      <w:r w:rsidR="00E15EA1">
        <w:rPr>
          <w:rFonts w:cs="Helvetica"/>
          <w:color w:val="595959"/>
        </w:rPr>
        <w:t>or the relevant production</w:t>
      </w:r>
      <w:r>
        <w:rPr>
          <w:rFonts w:cs="Helvetica"/>
          <w:color w:val="595959"/>
        </w:rPr>
        <w:t xml:space="preserve"> denominator</w:t>
      </w:r>
      <w:r w:rsidR="001A20BE">
        <w:rPr>
          <w:rFonts w:cs="Helvetica"/>
          <w:color w:val="595959"/>
        </w:rPr>
        <w:t>.</w:t>
      </w:r>
    </w:p>
    <w:tbl>
      <w:tblPr>
        <w:tblStyle w:val="PlainTable1"/>
        <w:tblW w:w="5000" w:type="pct"/>
        <w:jc w:val="center"/>
        <w:tblLayout w:type="fixed"/>
        <w:tblLook w:val="04A0" w:firstRow="1" w:lastRow="0" w:firstColumn="1" w:lastColumn="0" w:noHBand="0" w:noVBand="1"/>
      </w:tblPr>
      <w:tblGrid>
        <w:gridCol w:w="554"/>
        <w:gridCol w:w="2218"/>
        <w:gridCol w:w="2419"/>
        <w:gridCol w:w="2219"/>
        <w:gridCol w:w="2219"/>
      </w:tblGrid>
      <w:tr w:rsidR="00A13421" w:rsidRPr="000914EE" w14:paraId="20D4061B" w14:textId="77777777" w:rsidTr="001A5B9F">
        <w:trPr>
          <w:cnfStyle w:val="100000000000" w:firstRow="1" w:lastRow="0" w:firstColumn="0" w:lastColumn="0" w:oddVBand="0" w:evenVBand="0" w:oddHBand="0" w:evenHBand="0" w:firstRowFirstColumn="0" w:firstRowLastColumn="0" w:lastRowFirstColumn="0" w:lastRowLastColumn="0"/>
          <w:trHeight w:val="13"/>
          <w:jc w:val="center"/>
        </w:trPr>
        <w:tc>
          <w:tcPr>
            <w:cnfStyle w:val="001000000000" w:firstRow="0" w:lastRow="0" w:firstColumn="1" w:lastColumn="0" w:oddVBand="0" w:evenVBand="0" w:oddHBand="0" w:evenHBand="0" w:firstRowFirstColumn="0" w:firstRowLastColumn="0" w:lastRowFirstColumn="0" w:lastRowLastColumn="0"/>
            <w:tcW w:w="288" w:type="pct"/>
          </w:tcPr>
          <w:p w14:paraId="0015C3DE" w14:textId="77777777" w:rsidR="00315D1B" w:rsidRPr="001A5B9F" w:rsidRDefault="00315D1B" w:rsidP="000D0304">
            <w:pPr>
              <w:widowControl w:val="0"/>
              <w:tabs>
                <w:tab w:val="left" w:pos="-1440"/>
                <w:tab w:val="left" w:pos="-720"/>
              </w:tabs>
              <w:spacing w:after="0" w:line="312" w:lineRule="auto"/>
              <w:jc w:val="center"/>
              <w:rPr>
                <w:rFonts w:cs="Helvetica"/>
                <w:b w:val="0"/>
                <w:color w:val="595959"/>
                <w:szCs w:val="20"/>
              </w:rPr>
            </w:pPr>
          </w:p>
        </w:tc>
        <w:tc>
          <w:tcPr>
            <w:tcW w:w="1152" w:type="pct"/>
          </w:tcPr>
          <w:p w14:paraId="5E07CE60" w14:textId="77777777" w:rsidR="00315D1B" w:rsidRPr="001A5B9F" w:rsidRDefault="00315D1B" w:rsidP="00B86E2D">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 w:val="0"/>
                <w:color w:val="595959"/>
                <w:szCs w:val="20"/>
              </w:rPr>
            </w:pPr>
            <w:r w:rsidRPr="001A5B9F">
              <w:rPr>
                <w:rFonts w:cs="Helvetica"/>
                <w:color w:val="595959"/>
                <w:szCs w:val="20"/>
              </w:rPr>
              <w:t>A</w:t>
            </w:r>
          </w:p>
        </w:tc>
        <w:tc>
          <w:tcPr>
            <w:tcW w:w="1256" w:type="pct"/>
          </w:tcPr>
          <w:p w14:paraId="6C851197" w14:textId="77777777" w:rsidR="00315D1B" w:rsidRPr="001A5B9F" w:rsidRDefault="00315D1B" w:rsidP="00B86E2D">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 w:val="0"/>
                <w:color w:val="595959"/>
                <w:szCs w:val="20"/>
              </w:rPr>
            </w:pPr>
            <w:r w:rsidRPr="001A5B9F">
              <w:rPr>
                <w:rFonts w:cs="Helvetica"/>
                <w:color w:val="595959"/>
                <w:szCs w:val="20"/>
              </w:rPr>
              <w:t>B</w:t>
            </w:r>
          </w:p>
        </w:tc>
        <w:tc>
          <w:tcPr>
            <w:tcW w:w="1152" w:type="pct"/>
          </w:tcPr>
          <w:p w14:paraId="4800B7BB" w14:textId="77777777" w:rsidR="00315D1B" w:rsidRPr="001A5B9F" w:rsidRDefault="00315D1B" w:rsidP="00B86E2D">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 w:val="0"/>
                <w:color w:val="595959"/>
                <w:szCs w:val="20"/>
              </w:rPr>
            </w:pPr>
            <w:r w:rsidRPr="001A5B9F">
              <w:rPr>
                <w:rFonts w:cs="Helvetica"/>
                <w:color w:val="595959"/>
                <w:szCs w:val="20"/>
              </w:rPr>
              <w:t>C</w:t>
            </w:r>
          </w:p>
        </w:tc>
        <w:tc>
          <w:tcPr>
            <w:tcW w:w="1152" w:type="pct"/>
          </w:tcPr>
          <w:p w14:paraId="5E954DBC" w14:textId="77777777" w:rsidR="00315D1B" w:rsidRPr="001A5B9F" w:rsidRDefault="00315D1B" w:rsidP="00B86E2D">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 w:val="0"/>
                <w:color w:val="595959"/>
                <w:szCs w:val="20"/>
              </w:rPr>
            </w:pPr>
            <w:r w:rsidRPr="001A5B9F">
              <w:rPr>
                <w:rFonts w:cs="Helvetica"/>
                <w:color w:val="595959"/>
                <w:szCs w:val="20"/>
              </w:rPr>
              <w:t>D</w:t>
            </w:r>
          </w:p>
        </w:tc>
      </w:tr>
      <w:tr w:rsidR="00A13421" w:rsidRPr="000914EE" w14:paraId="2FA17A4D" w14:textId="77777777" w:rsidTr="001A5B9F">
        <w:trPr>
          <w:cnfStyle w:val="000000100000" w:firstRow="0" w:lastRow="0" w:firstColumn="0" w:lastColumn="0" w:oddVBand="0" w:evenVBand="0" w:oddHBand="1" w:evenHBand="0" w:firstRowFirstColumn="0" w:firstRowLastColumn="0" w:lastRowFirstColumn="0" w:lastRowLastColumn="0"/>
          <w:trHeight w:val="16"/>
          <w:jc w:val="center"/>
        </w:trPr>
        <w:tc>
          <w:tcPr>
            <w:cnfStyle w:val="001000000000" w:firstRow="0" w:lastRow="0" w:firstColumn="1" w:lastColumn="0" w:oddVBand="0" w:evenVBand="0" w:oddHBand="0" w:evenHBand="0" w:firstRowFirstColumn="0" w:firstRowLastColumn="0" w:lastRowFirstColumn="0" w:lastRowLastColumn="0"/>
            <w:tcW w:w="288" w:type="pct"/>
          </w:tcPr>
          <w:p w14:paraId="00FB075D" w14:textId="77777777" w:rsidR="00315D1B" w:rsidRPr="001A5B9F" w:rsidRDefault="00315D1B" w:rsidP="000D0304">
            <w:pPr>
              <w:widowControl w:val="0"/>
              <w:tabs>
                <w:tab w:val="left" w:pos="-1440"/>
                <w:tab w:val="left" w:pos="-720"/>
              </w:tabs>
              <w:spacing w:after="0" w:line="312" w:lineRule="auto"/>
              <w:jc w:val="center"/>
              <w:rPr>
                <w:rFonts w:cs="Helvetica"/>
                <w:b w:val="0"/>
                <w:color w:val="595959"/>
                <w:szCs w:val="20"/>
              </w:rPr>
            </w:pPr>
            <w:r w:rsidRPr="001A5B9F">
              <w:rPr>
                <w:rFonts w:cs="Helvetica"/>
                <w:color w:val="595959"/>
                <w:szCs w:val="20"/>
              </w:rPr>
              <w:t>1</w:t>
            </w:r>
          </w:p>
        </w:tc>
        <w:tc>
          <w:tcPr>
            <w:tcW w:w="1152" w:type="pct"/>
          </w:tcPr>
          <w:p w14:paraId="39562E30" w14:textId="77777777" w:rsidR="00315D1B" w:rsidRPr="001A5B9F" w:rsidRDefault="00315D1B" w:rsidP="009E11C8">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color w:val="595959"/>
                <w:szCs w:val="20"/>
              </w:rPr>
            </w:pPr>
            <w:r w:rsidRPr="001A5B9F">
              <w:rPr>
                <w:rFonts w:cs="Helvetica"/>
                <w:b/>
                <w:color w:val="595959"/>
                <w:szCs w:val="20"/>
              </w:rPr>
              <w:t>Plant</w:t>
            </w:r>
          </w:p>
        </w:tc>
        <w:tc>
          <w:tcPr>
            <w:tcW w:w="1256" w:type="pct"/>
          </w:tcPr>
          <w:p w14:paraId="3A36B225" w14:textId="77777777" w:rsidR="00315D1B" w:rsidRPr="001A5B9F" w:rsidRDefault="00315D1B" w:rsidP="009E11C8">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color w:val="595959"/>
                <w:szCs w:val="20"/>
              </w:rPr>
            </w:pPr>
            <w:r w:rsidRPr="001A5B9F">
              <w:rPr>
                <w:rFonts w:cs="Helvetica"/>
                <w:b/>
                <w:color w:val="595959"/>
                <w:szCs w:val="20"/>
              </w:rPr>
              <w:t>Production tonnage (t)</w:t>
            </w:r>
          </w:p>
        </w:tc>
        <w:tc>
          <w:tcPr>
            <w:tcW w:w="1152" w:type="pct"/>
          </w:tcPr>
          <w:p w14:paraId="5F5CF80D" w14:textId="77777777" w:rsidR="00315D1B" w:rsidRPr="001A5B9F" w:rsidRDefault="00315D1B" w:rsidP="009E11C8">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color w:val="595959"/>
                <w:szCs w:val="20"/>
              </w:rPr>
            </w:pPr>
            <w:r w:rsidRPr="001A5B9F">
              <w:rPr>
                <w:rFonts w:cs="Helvetica"/>
                <w:b/>
                <w:color w:val="595959"/>
                <w:szCs w:val="20"/>
              </w:rPr>
              <w:t>Emission (kg)</w:t>
            </w:r>
          </w:p>
        </w:tc>
        <w:tc>
          <w:tcPr>
            <w:tcW w:w="1152" w:type="pct"/>
          </w:tcPr>
          <w:p w14:paraId="0CA4F6EC" w14:textId="77777777" w:rsidR="00315D1B" w:rsidRPr="001A5B9F" w:rsidRDefault="00315D1B" w:rsidP="00B86E2D">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color w:val="595959"/>
                <w:szCs w:val="20"/>
              </w:rPr>
            </w:pPr>
            <w:r w:rsidRPr="001A5B9F">
              <w:rPr>
                <w:rFonts w:cs="Helvetica"/>
                <w:b/>
                <w:color w:val="595959"/>
                <w:szCs w:val="20"/>
              </w:rPr>
              <w:t>Emission Rate (kg/t)</w:t>
            </w:r>
          </w:p>
        </w:tc>
      </w:tr>
      <w:tr w:rsidR="00A13421" w:rsidRPr="000914EE" w14:paraId="7402BB3F" w14:textId="77777777" w:rsidTr="001A5B9F">
        <w:trPr>
          <w:jc w:val="center"/>
        </w:trPr>
        <w:tc>
          <w:tcPr>
            <w:cnfStyle w:val="001000000000" w:firstRow="0" w:lastRow="0" w:firstColumn="1" w:lastColumn="0" w:oddVBand="0" w:evenVBand="0" w:oddHBand="0" w:evenHBand="0" w:firstRowFirstColumn="0" w:firstRowLastColumn="0" w:lastRowFirstColumn="0" w:lastRowLastColumn="0"/>
            <w:tcW w:w="288" w:type="pct"/>
          </w:tcPr>
          <w:p w14:paraId="60DDA926" w14:textId="77777777" w:rsidR="00315D1B" w:rsidRPr="001A5B9F" w:rsidRDefault="00315D1B" w:rsidP="000D0304">
            <w:pPr>
              <w:widowControl w:val="0"/>
              <w:tabs>
                <w:tab w:val="left" w:pos="-1440"/>
                <w:tab w:val="left" w:pos="-720"/>
              </w:tabs>
              <w:spacing w:after="0" w:line="312" w:lineRule="auto"/>
              <w:jc w:val="center"/>
              <w:rPr>
                <w:rFonts w:cs="Helvetica"/>
                <w:b w:val="0"/>
                <w:color w:val="595959"/>
                <w:szCs w:val="20"/>
              </w:rPr>
            </w:pPr>
            <w:r w:rsidRPr="001A5B9F">
              <w:rPr>
                <w:rFonts w:cs="Helvetica"/>
                <w:color w:val="595959"/>
                <w:szCs w:val="20"/>
              </w:rPr>
              <w:t>2</w:t>
            </w:r>
          </w:p>
        </w:tc>
        <w:tc>
          <w:tcPr>
            <w:tcW w:w="1152" w:type="pct"/>
          </w:tcPr>
          <w:p w14:paraId="32AEF417" w14:textId="77777777" w:rsidR="00315D1B" w:rsidRPr="001A5B9F" w:rsidRDefault="00315D1B" w:rsidP="009E11C8">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Cs w:val="20"/>
              </w:rPr>
            </w:pPr>
            <w:r w:rsidRPr="001A5B9F">
              <w:rPr>
                <w:rFonts w:cs="Helvetica"/>
                <w:b/>
                <w:color w:val="595959"/>
                <w:szCs w:val="20"/>
              </w:rPr>
              <w:t>U</w:t>
            </w:r>
          </w:p>
        </w:tc>
        <w:tc>
          <w:tcPr>
            <w:tcW w:w="1256" w:type="pct"/>
          </w:tcPr>
          <w:p w14:paraId="7CD6F5A9" w14:textId="77777777" w:rsidR="00315D1B" w:rsidRPr="001A5B9F" w:rsidRDefault="00315D1B" w:rsidP="009E11C8">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1A5B9F">
              <w:rPr>
                <w:rFonts w:cs="Helvetica"/>
                <w:color w:val="595959"/>
                <w:szCs w:val="20"/>
              </w:rPr>
              <w:t>10</w:t>
            </w:r>
          </w:p>
        </w:tc>
        <w:tc>
          <w:tcPr>
            <w:tcW w:w="1152" w:type="pct"/>
          </w:tcPr>
          <w:p w14:paraId="5D9B5665" w14:textId="77777777" w:rsidR="00315D1B" w:rsidRPr="001A5B9F" w:rsidRDefault="00315D1B" w:rsidP="009E11C8">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1A5B9F">
              <w:rPr>
                <w:rFonts w:cs="Helvetica"/>
                <w:color w:val="595959"/>
                <w:szCs w:val="20"/>
              </w:rPr>
              <w:t>30</w:t>
            </w:r>
          </w:p>
        </w:tc>
        <w:tc>
          <w:tcPr>
            <w:tcW w:w="1152" w:type="pct"/>
          </w:tcPr>
          <w:p w14:paraId="2B4E403A" w14:textId="77777777" w:rsidR="00315D1B" w:rsidRPr="001A5B9F" w:rsidRDefault="00315D1B" w:rsidP="00B86E2D">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1A5B9F">
              <w:rPr>
                <w:rFonts w:cs="Helvetica"/>
                <w:color w:val="595959"/>
                <w:szCs w:val="20"/>
              </w:rPr>
              <w:t>3</w:t>
            </w:r>
          </w:p>
        </w:tc>
      </w:tr>
      <w:tr w:rsidR="00A13421" w:rsidRPr="000914EE" w14:paraId="66B32016" w14:textId="77777777" w:rsidTr="001A5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 w:type="pct"/>
          </w:tcPr>
          <w:p w14:paraId="27D65959" w14:textId="77777777" w:rsidR="00315D1B" w:rsidRPr="001A5B9F" w:rsidRDefault="00315D1B" w:rsidP="000D0304">
            <w:pPr>
              <w:widowControl w:val="0"/>
              <w:tabs>
                <w:tab w:val="left" w:pos="-1440"/>
                <w:tab w:val="left" w:pos="-720"/>
              </w:tabs>
              <w:spacing w:after="0" w:line="312" w:lineRule="auto"/>
              <w:jc w:val="center"/>
              <w:rPr>
                <w:rFonts w:cs="Helvetica"/>
                <w:b w:val="0"/>
                <w:color w:val="595959"/>
                <w:szCs w:val="20"/>
              </w:rPr>
            </w:pPr>
            <w:r w:rsidRPr="001A5B9F">
              <w:rPr>
                <w:rFonts w:cs="Helvetica"/>
                <w:color w:val="595959"/>
                <w:szCs w:val="20"/>
              </w:rPr>
              <w:t>3</w:t>
            </w:r>
          </w:p>
        </w:tc>
        <w:tc>
          <w:tcPr>
            <w:tcW w:w="1152" w:type="pct"/>
          </w:tcPr>
          <w:p w14:paraId="652E6FBD" w14:textId="77777777" w:rsidR="00315D1B" w:rsidRPr="001A5B9F" w:rsidRDefault="00315D1B" w:rsidP="009E11C8">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color w:val="595959"/>
                <w:szCs w:val="20"/>
              </w:rPr>
            </w:pPr>
            <w:r w:rsidRPr="001A5B9F">
              <w:rPr>
                <w:rFonts w:cs="Helvetica"/>
                <w:b/>
                <w:color w:val="595959"/>
                <w:szCs w:val="20"/>
              </w:rPr>
              <w:t>V</w:t>
            </w:r>
          </w:p>
        </w:tc>
        <w:tc>
          <w:tcPr>
            <w:tcW w:w="1256" w:type="pct"/>
          </w:tcPr>
          <w:p w14:paraId="41819FA5" w14:textId="77777777" w:rsidR="00315D1B" w:rsidRPr="001A5B9F" w:rsidRDefault="00315D1B" w:rsidP="009E11C8">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1A5B9F">
              <w:rPr>
                <w:rFonts w:cs="Helvetica"/>
                <w:color w:val="595959"/>
                <w:szCs w:val="20"/>
              </w:rPr>
              <w:t>20</w:t>
            </w:r>
          </w:p>
        </w:tc>
        <w:tc>
          <w:tcPr>
            <w:tcW w:w="1152" w:type="pct"/>
          </w:tcPr>
          <w:p w14:paraId="24D64BB1" w14:textId="77777777" w:rsidR="00315D1B" w:rsidRPr="001A5B9F" w:rsidRDefault="00315D1B" w:rsidP="009E11C8">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1A5B9F">
              <w:rPr>
                <w:rFonts w:cs="Helvetica"/>
                <w:color w:val="595959"/>
                <w:szCs w:val="20"/>
              </w:rPr>
              <w:t>0</w:t>
            </w:r>
          </w:p>
        </w:tc>
        <w:tc>
          <w:tcPr>
            <w:tcW w:w="1152" w:type="pct"/>
          </w:tcPr>
          <w:p w14:paraId="4C229B78" w14:textId="77777777" w:rsidR="00315D1B" w:rsidRPr="001A5B9F" w:rsidRDefault="00315D1B" w:rsidP="00B86E2D">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1A5B9F">
              <w:rPr>
                <w:rFonts w:cs="Helvetica"/>
                <w:color w:val="595959"/>
                <w:szCs w:val="20"/>
              </w:rPr>
              <w:t>0</w:t>
            </w:r>
          </w:p>
        </w:tc>
      </w:tr>
      <w:tr w:rsidR="00A13421" w:rsidRPr="000914EE" w14:paraId="5F1D2C47" w14:textId="77777777" w:rsidTr="001A5B9F">
        <w:trPr>
          <w:jc w:val="center"/>
        </w:trPr>
        <w:tc>
          <w:tcPr>
            <w:cnfStyle w:val="001000000000" w:firstRow="0" w:lastRow="0" w:firstColumn="1" w:lastColumn="0" w:oddVBand="0" w:evenVBand="0" w:oddHBand="0" w:evenHBand="0" w:firstRowFirstColumn="0" w:firstRowLastColumn="0" w:lastRowFirstColumn="0" w:lastRowLastColumn="0"/>
            <w:tcW w:w="288" w:type="pct"/>
          </w:tcPr>
          <w:p w14:paraId="00E2CF80" w14:textId="77777777" w:rsidR="00315D1B" w:rsidRPr="001A5B9F" w:rsidRDefault="00315D1B" w:rsidP="000D0304">
            <w:pPr>
              <w:widowControl w:val="0"/>
              <w:tabs>
                <w:tab w:val="left" w:pos="-1440"/>
                <w:tab w:val="left" w:pos="-720"/>
              </w:tabs>
              <w:spacing w:after="0" w:line="312" w:lineRule="auto"/>
              <w:jc w:val="center"/>
              <w:rPr>
                <w:rFonts w:cs="Helvetica"/>
                <w:b w:val="0"/>
                <w:color w:val="595959"/>
                <w:szCs w:val="20"/>
              </w:rPr>
            </w:pPr>
            <w:r w:rsidRPr="001A5B9F">
              <w:rPr>
                <w:rFonts w:cs="Helvetica"/>
                <w:color w:val="595959"/>
                <w:szCs w:val="20"/>
              </w:rPr>
              <w:t>4</w:t>
            </w:r>
          </w:p>
        </w:tc>
        <w:tc>
          <w:tcPr>
            <w:tcW w:w="1152" w:type="pct"/>
          </w:tcPr>
          <w:p w14:paraId="183F1D5F" w14:textId="77777777" w:rsidR="00315D1B" w:rsidRPr="001A5B9F" w:rsidRDefault="00315D1B" w:rsidP="009E11C8">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Cs w:val="20"/>
              </w:rPr>
            </w:pPr>
            <w:r w:rsidRPr="001A5B9F">
              <w:rPr>
                <w:rFonts w:cs="Helvetica"/>
                <w:b/>
                <w:color w:val="595959"/>
                <w:szCs w:val="20"/>
              </w:rPr>
              <w:t>W</w:t>
            </w:r>
          </w:p>
        </w:tc>
        <w:tc>
          <w:tcPr>
            <w:tcW w:w="1256" w:type="pct"/>
          </w:tcPr>
          <w:p w14:paraId="48567E02" w14:textId="77777777" w:rsidR="00315D1B" w:rsidRPr="001A5B9F" w:rsidRDefault="00315D1B" w:rsidP="009E11C8">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1A5B9F">
              <w:rPr>
                <w:rFonts w:cs="Helvetica"/>
                <w:color w:val="595959"/>
                <w:szCs w:val="20"/>
              </w:rPr>
              <w:t>10</w:t>
            </w:r>
          </w:p>
        </w:tc>
        <w:tc>
          <w:tcPr>
            <w:tcW w:w="1152" w:type="pct"/>
          </w:tcPr>
          <w:p w14:paraId="392CF66B" w14:textId="77777777" w:rsidR="00315D1B" w:rsidRPr="001A5B9F" w:rsidRDefault="00315D1B" w:rsidP="009E11C8">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p>
        </w:tc>
        <w:tc>
          <w:tcPr>
            <w:tcW w:w="1152" w:type="pct"/>
          </w:tcPr>
          <w:p w14:paraId="0CF64762" w14:textId="77777777" w:rsidR="00315D1B" w:rsidRPr="001A5B9F" w:rsidRDefault="00315D1B" w:rsidP="00B86E2D">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p>
        </w:tc>
      </w:tr>
      <w:tr w:rsidR="00A13421" w:rsidRPr="000914EE" w14:paraId="73217E95" w14:textId="77777777" w:rsidTr="001A5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 w:type="pct"/>
          </w:tcPr>
          <w:p w14:paraId="7D388A0A" w14:textId="77777777" w:rsidR="00315D1B" w:rsidRPr="001A5B9F" w:rsidRDefault="00315D1B" w:rsidP="000D0304">
            <w:pPr>
              <w:widowControl w:val="0"/>
              <w:tabs>
                <w:tab w:val="left" w:pos="-1440"/>
                <w:tab w:val="left" w:pos="-720"/>
              </w:tabs>
              <w:spacing w:after="0" w:line="312" w:lineRule="auto"/>
              <w:jc w:val="center"/>
              <w:rPr>
                <w:rFonts w:cs="Helvetica"/>
                <w:b w:val="0"/>
                <w:color w:val="595959"/>
                <w:szCs w:val="20"/>
              </w:rPr>
            </w:pPr>
            <w:r w:rsidRPr="001A5B9F">
              <w:rPr>
                <w:rFonts w:cs="Helvetica"/>
                <w:color w:val="595959"/>
                <w:szCs w:val="20"/>
              </w:rPr>
              <w:t>5</w:t>
            </w:r>
          </w:p>
        </w:tc>
        <w:tc>
          <w:tcPr>
            <w:tcW w:w="1152" w:type="pct"/>
          </w:tcPr>
          <w:p w14:paraId="7D149133" w14:textId="77777777" w:rsidR="00315D1B" w:rsidRPr="001A5B9F" w:rsidRDefault="00315D1B" w:rsidP="009E11C8">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color w:val="595959"/>
                <w:szCs w:val="20"/>
              </w:rPr>
            </w:pPr>
            <w:r w:rsidRPr="001A5B9F">
              <w:rPr>
                <w:rFonts w:cs="Helvetica"/>
                <w:b/>
                <w:color w:val="595959"/>
                <w:szCs w:val="20"/>
              </w:rPr>
              <w:t>X</w:t>
            </w:r>
          </w:p>
        </w:tc>
        <w:tc>
          <w:tcPr>
            <w:tcW w:w="1256" w:type="pct"/>
          </w:tcPr>
          <w:p w14:paraId="19133D34" w14:textId="77777777" w:rsidR="00315D1B" w:rsidRPr="001A5B9F" w:rsidRDefault="00315D1B" w:rsidP="009E11C8">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1A5B9F">
              <w:rPr>
                <w:rFonts w:cs="Helvetica"/>
                <w:color w:val="595959"/>
                <w:szCs w:val="20"/>
              </w:rPr>
              <w:t>25</w:t>
            </w:r>
          </w:p>
        </w:tc>
        <w:tc>
          <w:tcPr>
            <w:tcW w:w="1152" w:type="pct"/>
          </w:tcPr>
          <w:p w14:paraId="121FA81E" w14:textId="77777777" w:rsidR="00315D1B" w:rsidRPr="001A5B9F" w:rsidRDefault="00315D1B" w:rsidP="009E11C8">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1A5B9F">
              <w:rPr>
                <w:rFonts w:cs="Helvetica"/>
                <w:color w:val="595959"/>
                <w:szCs w:val="20"/>
              </w:rPr>
              <w:t>42</w:t>
            </w:r>
          </w:p>
        </w:tc>
        <w:tc>
          <w:tcPr>
            <w:tcW w:w="1152" w:type="pct"/>
          </w:tcPr>
          <w:p w14:paraId="63815186" w14:textId="77777777" w:rsidR="00315D1B" w:rsidRPr="001A5B9F" w:rsidRDefault="00315D1B" w:rsidP="00B86E2D">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1A5B9F">
              <w:rPr>
                <w:rFonts w:cs="Helvetica"/>
                <w:color w:val="595959"/>
                <w:szCs w:val="20"/>
              </w:rPr>
              <w:t>1.68</w:t>
            </w:r>
          </w:p>
        </w:tc>
      </w:tr>
      <w:tr w:rsidR="00A13421" w:rsidRPr="000914EE" w14:paraId="1BBAFF43" w14:textId="77777777" w:rsidTr="001A5B9F">
        <w:trPr>
          <w:jc w:val="center"/>
        </w:trPr>
        <w:tc>
          <w:tcPr>
            <w:cnfStyle w:val="001000000000" w:firstRow="0" w:lastRow="0" w:firstColumn="1" w:lastColumn="0" w:oddVBand="0" w:evenVBand="0" w:oddHBand="0" w:evenHBand="0" w:firstRowFirstColumn="0" w:firstRowLastColumn="0" w:lastRowFirstColumn="0" w:lastRowLastColumn="0"/>
            <w:tcW w:w="288" w:type="pct"/>
          </w:tcPr>
          <w:p w14:paraId="67021276" w14:textId="77777777" w:rsidR="00315D1B" w:rsidRPr="001A5B9F" w:rsidRDefault="00315D1B" w:rsidP="000D0304">
            <w:pPr>
              <w:widowControl w:val="0"/>
              <w:tabs>
                <w:tab w:val="left" w:pos="-1440"/>
                <w:tab w:val="left" w:pos="-720"/>
              </w:tabs>
              <w:spacing w:after="0" w:line="312" w:lineRule="auto"/>
              <w:jc w:val="center"/>
              <w:rPr>
                <w:rFonts w:cs="Helvetica"/>
                <w:b w:val="0"/>
                <w:color w:val="595959"/>
                <w:szCs w:val="20"/>
              </w:rPr>
            </w:pPr>
            <w:r w:rsidRPr="001A5B9F">
              <w:rPr>
                <w:rFonts w:cs="Helvetica"/>
                <w:color w:val="595959"/>
                <w:szCs w:val="20"/>
              </w:rPr>
              <w:t>6</w:t>
            </w:r>
          </w:p>
        </w:tc>
        <w:tc>
          <w:tcPr>
            <w:tcW w:w="1152" w:type="pct"/>
          </w:tcPr>
          <w:p w14:paraId="558B2E47" w14:textId="77777777" w:rsidR="00315D1B" w:rsidRPr="001A5B9F" w:rsidRDefault="00315D1B" w:rsidP="009E11C8">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Cs w:val="20"/>
              </w:rPr>
            </w:pPr>
            <w:r w:rsidRPr="001A5B9F">
              <w:rPr>
                <w:rFonts w:cs="Helvetica"/>
                <w:b/>
                <w:color w:val="595959"/>
                <w:szCs w:val="20"/>
              </w:rPr>
              <w:t>Y</w:t>
            </w:r>
          </w:p>
        </w:tc>
        <w:tc>
          <w:tcPr>
            <w:tcW w:w="1256" w:type="pct"/>
          </w:tcPr>
          <w:p w14:paraId="577B4BD5" w14:textId="77777777" w:rsidR="00315D1B" w:rsidRPr="001A5B9F" w:rsidRDefault="00315D1B" w:rsidP="009E11C8">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1A5B9F">
              <w:rPr>
                <w:rFonts w:cs="Helvetica"/>
                <w:color w:val="595959"/>
                <w:szCs w:val="20"/>
              </w:rPr>
              <w:t>100</w:t>
            </w:r>
          </w:p>
        </w:tc>
        <w:tc>
          <w:tcPr>
            <w:tcW w:w="1152" w:type="pct"/>
          </w:tcPr>
          <w:p w14:paraId="301915C1" w14:textId="77777777" w:rsidR="00315D1B" w:rsidRPr="001A5B9F" w:rsidRDefault="00315D1B" w:rsidP="009E11C8">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p>
        </w:tc>
        <w:tc>
          <w:tcPr>
            <w:tcW w:w="1152" w:type="pct"/>
          </w:tcPr>
          <w:p w14:paraId="4D644BC1" w14:textId="77777777" w:rsidR="00315D1B" w:rsidRPr="001A5B9F" w:rsidRDefault="00315D1B" w:rsidP="00B86E2D">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p>
        </w:tc>
      </w:tr>
      <w:tr w:rsidR="00A13421" w:rsidRPr="000914EE" w14:paraId="51040889" w14:textId="77777777" w:rsidTr="001A5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 w:type="pct"/>
          </w:tcPr>
          <w:p w14:paraId="6FDF6023" w14:textId="77777777" w:rsidR="00315D1B" w:rsidRPr="001A5B9F" w:rsidRDefault="00315D1B" w:rsidP="000D0304">
            <w:pPr>
              <w:widowControl w:val="0"/>
              <w:tabs>
                <w:tab w:val="left" w:pos="-1440"/>
                <w:tab w:val="left" w:pos="-720"/>
              </w:tabs>
              <w:spacing w:after="0" w:line="312" w:lineRule="auto"/>
              <w:jc w:val="center"/>
              <w:rPr>
                <w:rFonts w:cs="Helvetica"/>
                <w:b w:val="0"/>
                <w:color w:val="595959"/>
                <w:szCs w:val="20"/>
              </w:rPr>
            </w:pPr>
            <w:r w:rsidRPr="001A5B9F">
              <w:rPr>
                <w:rFonts w:cs="Helvetica"/>
                <w:color w:val="595959"/>
                <w:szCs w:val="20"/>
              </w:rPr>
              <w:t>7</w:t>
            </w:r>
          </w:p>
        </w:tc>
        <w:tc>
          <w:tcPr>
            <w:tcW w:w="1152" w:type="pct"/>
          </w:tcPr>
          <w:p w14:paraId="677824C2" w14:textId="77777777" w:rsidR="00315D1B" w:rsidRPr="001A5B9F" w:rsidRDefault="00315D1B" w:rsidP="009E11C8">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color w:val="595959"/>
                <w:szCs w:val="20"/>
              </w:rPr>
            </w:pPr>
            <w:r w:rsidRPr="001A5B9F">
              <w:rPr>
                <w:rFonts w:cs="Helvetica"/>
                <w:b/>
                <w:color w:val="595959"/>
                <w:szCs w:val="20"/>
              </w:rPr>
              <w:t>Z</w:t>
            </w:r>
          </w:p>
        </w:tc>
        <w:tc>
          <w:tcPr>
            <w:tcW w:w="1256" w:type="pct"/>
          </w:tcPr>
          <w:p w14:paraId="07272509" w14:textId="77777777" w:rsidR="00315D1B" w:rsidRPr="001A5B9F" w:rsidRDefault="00315D1B" w:rsidP="009E11C8">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1A5B9F">
              <w:rPr>
                <w:rFonts w:cs="Helvetica"/>
                <w:color w:val="595959"/>
                <w:szCs w:val="20"/>
              </w:rPr>
              <w:t>300</w:t>
            </w:r>
          </w:p>
        </w:tc>
        <w:tc>
          <w:tcPr>
            <w:tcW w:w="1152" w:type="pct"/>
          </w:tcPr>
          <w:p w14:paraId="03C475BB" w14:textId="77777777" w:rsidR="00315D1B" w:rsidRPr="001A5B9F" w:rsidRDefault="00315D1B" w:rsidP="009E11C8">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1A5B9F">
              <w:rPr>
                <w:rFonts w:cs="Helvetica"/>
                <w:color w:val="595959"/>
                <w:szCs w:val="20"/>
              </w:rPr>
              <w:t>60</w:t>
            </w:r>
          </w:p>
        </w:tc>
        <w:tc>
          <w:tcPr>
            <w:tcW w:w="1152" w:type="pct"/>
          </w:tcPr>
          <w:p w14:paraId="22E547E6" w14:textId="77777777" w:rsidR="00315D1B" w:rsidRPr="001A5B9F" w:rsidRDefault="00315D1B" w:rsidP="00B86E2D">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1A5B9F">
              <w:rPr>
                <w:rFonts w:cs="Helvetica"/>
                <w:color w:val="595959"/>
                <w:szCs w:val="20"/>
              </w:rPr>
              <w:t>0.2</w:t>
            </w:r>
          </w:p>
        </w:tc>
      </w:tr>
      <w:tr w:rsidR="00A13421" w:rsidRPr="000914EE" w14:paraId="2E905F12" w14:textId="77777777" w:rsidTr="001A5B9F">
        <w:trPr>
          <w:jc w:val="center"/>
        </w:trPr>
        <w:tc>
          <w:tcPr>
            <w:cnfStyle w:val="001000000000" w:firstRow="0" w:lastRow="0" w:firstColumn="1" w:lastColumn="0" w:oddVBand="0" w:evenVBand="0" w:oddHBand="0" w:evenHBand="0" w:firstRowFirstColumn="0" w:firstRowLastColumn="0" w:lastRowFirstColumn="0" w:lastRowLastColumn="0"/>
            <w:tcW w:w="288" w:type="pct"/>
          </w:tcPr>
          <w:p w14:paraId="22C862A3" w14:textId="77777777" w:rsidR="00315D1B" w:rsidRPr="001A5B9F" w:rsidRDefault="00315D1B" w:rsidP="000D0304">
            <w:pPr>
              <w:widowControl w:val="0"/>
              <w:tabs>
                <w:tab w:val="left" w:pos="-1440"/>
                <w:tab w:val="left" w:pos="-720"/>
              </w:tabs>
              <w:spacing w:after="0" w:line="312" w:lineRule="auto"/>
              <w:jc w:val="center"/>
              <w:rPr>
                <w:rFonts w:cs="Helvetica"/>
                <w:b w:val="0"/>
                <w:color w:val="595959"/>
                <w:szCs w:val="20"/>
              </w:rPr>
            </w:pPr>
            <w:r w:rsidRPr="001A5B9F">
              <w:rPr>
                <w:rFonts w:cs="Helvetica"/>
                <w:color w:val="595959"/>
                <w:szCs w:val="20"/>
              </w:rPr>
              <w:t>8</w:t>
            </w:r>
          </w:p>
        </w:tc>
        <w:tc>
          <w:tcPr>
            <w:tcW w:w="1152" w:type="pct"/>
          </w:tcPr>
          <w:p w14:paraId="7C7CCC25" w14:textId="77777777" w:rsidR="00315D1B" w:rsidRPr="001A5B9F" w:rsidRDefault="00315D1B" w:rsidP="009E11C8">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Cs w:val="20"/>
              </w:rPr>
            </w:pPr>
            <w:r w:rsidRPr="001A5B9F">
              <w:rPr>
                <w:rFonts w:cs="Helvetica"/>
                <w:b/>
                <w:color w:val="595959"/>
                <w:szCs w:val="20"/>
              </w:rPr>
              <w:t>TOTAL</w:t>
            </w:r>
          </w:p>
        </w:tc>
        <w:tc>
          <w:tcPr>
            <w:tcW w:w="1256" w:type="pct"/>
          </w:tcPr>
          <w:p w14:paraId="5AB0ABD7" w14:textId="77777777" w:rsidR="00315D1B" w:rsidRPr="001A5B9F" w:rsidRDefault="00315D1B" w:rsidP="009E11C8">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1A5B9F">
              <w:rPr>
                <w:rFonts w:cs="Helvetica"/>
                <w:color w:val="595959"/>
                <w:szCs w:val="20"/>
              </w:rPr>
              <w:t>465</w:t>
            </w:r>
          </w:p>
        </w:tc>
        <w:tc>
          <w:tcPr>
            <w:tcW w:w="1152" w:type="pct"/>
          </w:tcPr>
          <w:p w14:paraId="46BD2F72" w14:textId="77777777" w:rsidR="00315D1B" w:rsidRPr="001A5B9F" w:rsidRDefault="00315D1B" w:rsidP="009E11C8">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1A5B9F">
              <w:rPr>
                <w:rFonts w:cs="Helvetica"/>
                <w:color w:val="595959"/>
                <w:szCs w:val="20"/>
              </w:rPr>
              <w:t>132</w:t>
            </w:r>
          </w:p>
        </w:tc>
        <w:tc>
          <w:tcPr>
            <w:tcW w:w="1152" w:type="pct"/>
          </w:tcPr>
          <w:p w14:paraId="62D2082C" w14:textId="0E3E9898" w:rsidR="00315D1B" w:rsidRPr="001A5B9F" w:rsidRDefault="0044588B" w:rsidP="00B86E2D">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cs="Helvetica"/>
                <w:color w:val="595959"/>
                <w:szCs w:val="20"/>
              </w:rPr>
              <w:t>0.37</w:t>
            </w:r>
          </w:p>
        </w:tc>
      </w:tr>
    </w:tbl>
    <w:p w14:paraId="4229CEE3" w14:textId="77777777" w:rsidR="00BD12CE" w:rsidRPr="001A20BE" w:rsidRDefault="001A20BE" w:rsidP="001A5B9F">
      <w:pPr>
        <w:spacing w:before="120" w:after="0" w:line="312" w:lineRule="auto"/>
        <w:jc w:val="right"/>
        <w:rPr>
          <w:rFonts w:cs="Helvetica"/>
          <w:color w:val="595959"/>
          <w:szCs w:val="20"/>
        </w:rPr>
      </w:pPr>
      <w:r>
        <w:rPr>
          <w:rFonts w:cs="Helvetica"/>
          <w:b/>
          <w:color w:val="595959"/>
        </w:rPr>
        <w:t xml:space="preserve">Table </w:t>
      </w:r>
      <w:r w:rsidR="00360851">
        <w:rPr>
          <w:rFonts w:cs="Helvetica"/>
          <w:b/>
          <w:color w:val="595959"/>
        </w:rPr>
        <w:t>3</w:t>
      </w:r>
      <w:r>
        <w:rPr>
          <w:rFonts w:cs="Helvetica"/>
          <w:b/>
          <w:color w:val="595959"/>
        </w:rPr>
        <w:t>:</w:t>
      </w:r>
      <w:r w:rsidR="00343530">
        <w:rPr>
          <w:rFonts w:cs="Helvetica"/>
          <w:color w:val="595959"/>
          <w:szCs w:val="20"/>
        </w:rPr>
        <w:tab/>
      </w:r>
      <w:r w:rsidR="00282F38" w:rsidRPr="00282F38">
        <w:rPr>
          <w:rFonts w:cs="Helvetica"/>
          <w:b/>
          <w:color w:val="595959"/>
          <w:szCs w:val="20"/>
        </w:rPr>
        <w:t>Example</w:t>
      </w:r>
      <w:r w:rsidR="00282F38">
        <w:rPr>
          <w:rFonts w:cs="Helvetica"/>
          <w:b/>
          <w:color w:val="595959"/>
          <w:szCs w:val="20"/>
        </w:rPr>
        <w:t xml:space="preserve"> data for explanation</w:t>
      </w:r>
      <w:r w:rsidR="00282F38" w:rsidRPr="00282F38">
        <w:rPr>
          <w:rFonts w:cs="Helvetica"/>
          <w:b/>
          <w:color w:val="595959"/>
          <w:szCs w:val="20"/>
        </w:rPr>
        <w:t xml:space="preserve"> of Weighted Mean</w:t>
      </w:r>
    </w:p>
    <w:p w14:paraId="58F2C2FD" w14:textId="77777777" w:rsidR="001A20BE" w:rsidRDefault="001A20BE" w:rsidP="009E11C8">
      <w:pPr>
        <w:widowControl w:val="0"/>
        <w:tabs>
          <w:tab w:val="left" w:pos="-1440"/>
          <w:tab w:val="left" w:pos="-720"/>
        </w:tabs>
        <w:spacing w:after="0" w:line="312" w:lineRule="auto"/>
        <w:ind w:left="1440"/>
        <w:jc w:val="both"/>
        <w:rPr>
          <w:rFonts w:cs="Helvetica"/>
          <w:color w:val="595959"/>
        </w:rPr>
      </w:pPr>
    </w:p>
    <w:p w14:paraId="742F4CA8" w14:textId="77777777" w:rsidR="00315D1B" w:rsidRPr="00B94736" w:rsidRDefault="00315D1B" w:rsidP="000D0304">
      <w:pPr>
        <w:widowControl w:val="0"/>
        <w:tabs>
          <w:tab w:val="left" w:pos="-1440"/>
          <w:tab w:val="left" w:pos="-720"/>
        </w:tabs>
        <w:spacing w:after="0" w:line="312" w:lineRule="auto"/>
        <w:ind w:left="720"/>
        <w:jc w:val="both"/>
        <w:rPr>
          <w:rFonts w:cs="Helvetica"/>
          <w:color w:val="595959"/>
        </w:rPr>
      </w:pPr>
      <w:r w:rsidRPr="00B94736">
        <w:rPr>
          <w:rFonts w:cs="Helvetica"/>
          <w:color w:val="595959"/>
        </w:rPr>
        <w:t>Weighted Mean</w:t>
      </w:r>
      <w:r w:rsidRPr="00B94736">
        <w:rPr>
          <w:rFonts w:cs="Helvetica"/>
          <w:color w:val="595959"/>
        </w:rPr>
        <w:tab/>
      </w:r>
      <w:r>
        <w:rPr>
          <w:rFonts w:cs="Helvetica"/>
          <w:color w:val="595959"/>
        </w:rPr>
        <w:tab/>
      </w:r>
      <w:r w:rsidR="00282F38">
        <w:rPr>
          <w:rFonts w:cs="Helvetica"/>
          <w:color w:val="595959"/>
        </w:rPr>
        <w:tab/>
      </w:r>
      <w:r w:rsidR="00282F38">
        <w:rPr>
          <w:rFonts w:cs="Helvetica"/>
          <w:color w:val="595959"/>
        </w:rPr>
        <w:tab/>
      </w:r>
      <w:r w:rsidRPr="00B94736">
        <w:rPr>
          <w:rFonts w:cs="Helvetica"/>
          <w:color w:val="595959"/>
        </w:rPr>
        <w:t>=</w:t>
      </w:r>
      <w:r>
        <w:rPr>
          <w:rFonts w:cs="Helvetica"/>
          <w:color w:val="595959"/>
        </w:rPr>
        <w:t xml:space="preserve"> </w:t>
      </w:r>
      <w:r w:rsidR="008711C6" w:rsidRPr="00B94736">
        <w:rPr>
          <w:rFonts w:cs="Helvetica"/>
          <w:color w:val="595959"/>
        </w:rPr>
        <w:t>SUM (</w:t>
      </w:r>
      <w:r w:rsidRPr="00B94736">
        <w:rPr>
          <w:rFonts w:cs="Helvetica"/>
          <w:color w:val="595959"/>
        </w:rPr>
        <w:t>C2:C7)/</w:t>
      </w:r>
      <w:r w:rsidR="008711C6" w:rsidRPr="00B94736">
        <w:rPr>
          <w:rFonts w:cs="Helvetica"/>
          <w:color w:val="595959"/>
        </w:rPr>
        <w:t>SUMIF (</w:t>
      </w:r>
      <w:r w:rsidRPr="00B94736">
        <w:rPr>
          <w:rFonts w:cs="Helvetica"/>
          <w:color w:val="595959"/>
        </w:rPr>
        <w:t>C2:C7</w:t>
      </w:r>
      <w:r w:rsidR="008711C6" w:rsidRPr="00B94736">
        <w:rPr>
          <w:rFonts w:cs="Helvetica"/>
          <w:color w:val="595959"/>
        </w:rPr>
        <w:t>,” &lt;&gt;” &amp;</w:t>
      </w:r>
      <w:r w:rsidRPr="00B94736">
        <w:rPr>
          <w:rFonts w:cs="Helvetica"/>
          <w:color w:val="595959"/>
        </w:rPr>
        <w:t>”</w:t>
      </w:r>
      <w:r w:rsidR="008711C6" w:rsidRPr="00B94736">
        <w:rPr>
          <w:rFonts w:cs="Helvetica"/>
          <w:color w:val="595959"/>
        </w:rPr>
        <w:t>”, B2:B7</w:t>
      </w:r>
      <w:r w:rsidRPr="00B94736">
        <w:rPr>
          <w:rFonts w:cs="Helvetica"/>
          <w:color w:val="595959"/>
        </w:rPr>
        <w:t>)</w:t>
      </w:r>
    </w:p>
    <w:p w14:paraId="559CC6AF" w14:textId="77777777" w:rsidR="00315D1B" w:rsidRPr="00B94736" w:rsidRDefault="00282F38" w:rsidP="000D0304">
      <w:pPr>
        <w:widowControl w:val="0"/>
        <w:tabs>
          <w:tab w:val="left" w:pos="-1440"/>
          <w:tab w:val="left" w:pos="-720"/>
        </w:tabs>
        <w:spacing w:after="0" w:line="312" w:lineRule="auto"/>
        <w:ind w:left="720"/>
        <w:jc w:val="both"/>
        <w:rPr>
          <w:rFonts w:cs="Helvetica"/>
          <w:color w:val="595959"/>
        </w:rPr>
      </w:pPr>
      <w:r>
        <w:rPr>
          <w:rFonts w:cs="Helvetica"/>
          <w:color w:val="595959"/>
        </w:rPr>
        <w:t>(</w:t>
      </w:r>
      <w:r w:rsidRPr="00282F38">
        <w:rPr>
          <w:rFonts w:cs="Helvetica"/>
          <w:color w:val="595959"/>
        </w:rPr>
        <w:t>using Microsoft Excel function syntax</w:t>
      </w:r>
      <w:r>
        <w:rPr>
          <w:rFonts w:cs="Helvetica"/>
          <w:color w:val="595959"/>
        </w:rPr>
        <w:t>)</w:t>
      </w:r>
      <w:r>
        <w:rPr>
          <w:rFonts w:cs="Helvetica"/>
          <w:color w:val="595959"/>
        </w:rPr>
        <w:tab/>
      </w:r>
      <w:r w:rsidR="00315D1B" w:rsidRPr="00B94736">
        <w:rPr>
          <w:rFonts w:cs="Helvetica"/>
          <w:color w:val="595959"/>
        </w:rPr>
        <w:t>=</w:t>
      </w:r>
      <w:r w:rsidR="00315D1B">
        <w:rPr>
          <w:rFonts w:cs="Helvetica"/>
          <w:color w:val="595959"/>
        </w:rPr>
        <w:t xml:space="preserve"> </w:t>
      </w:r>
      <w:r w:rsidR="00315D1B" w:rsidRPr="00B94736">
        <w:rPr>
          <w:rFonts w:cs="Helvetica"/>
          <w:color w:val="595959"/>
        </w:rPr>
        <w:t>(132)/(10+20+25+300)</w:t>
      </w:r>
    </w:p>
    <w:p w14:paraId="7A7F18F0" w14:textId="77777777" w:rsidR="00315D1B" w:rsidRPr="00B94736" w:rsidRDefault="00315D1B" w:rsidP="000D0304">
      <w:pPr>
        <w:widowControl w:val="0"/>
        <w:tabs>
          <w:tab w:val="left" w:pos="-1440"/>
          <w:tab w:val="left" w:pos="-720"/>
        </w:tabs>
        <w:spacing w:after="0" w:line="312" w:lineRule="auto"/>
        <w:ind w:left="2160"/>
        <w:jc w:val="both"/>
        <w:rPr>
          <w:rFonts w:cs="Helvetica"/>
          <w:b/>
          <w:color w:val="595959"/>
        </w:rPr>
      </w:pPr>
      <w:r w:rsidRPr="00B94736">
        <w:rPr>
          <w:rFonts w:cs="Helvetica"/>
          <w:color w:val="595959"/>
        </w:rPr>
        <w:tab/>
      </w:r>
      <w:r w:rsidRPr="00B94736">
        <w:rPr>
          <w:rFonts w:cs="Helvetica"/>
          <w:color w:val="595959"/>
        </w:rPr>
        <w:tab/>
      </w:r>
      <w:r w:rsidRPr="00B94736">
        <w:rPr>
          <w:rFonts w:cs="Helvetica"/>
          <w:color w:val="595959"/>
        </w:rPr>
        <w:tab/>
        <w:t>=</w:t>
      </w:r>
      <w:r>
        <w:rPr>
          <w:rFonts w:cs="Helvetica"/>
          <w:color w:val="595959"/>
        </w:rPr>
        <w:t xml:space="preserve"> </w:t>
      </w:r>
      <w:r w:rsidRPr="00B94736">
        <w:rPr>
          <w:rFonts w:cs="Helvetica"/>
          <w:color w:val="595959"/>
        </w:rPr>
        <w:t xml:space="preserve">132/355 = </w:t>
      </w:r>
      <w:r w:rsidRPr="00B94736">
        <w:rPr>
          <w:rFonts w:cs="Helvetica"/>
          <w:b/>
          <w:color w:val="595959"/>
        </w:rPr>
        <w:t>0.37 kg/t</w:t>
      </w:r>
    </w:p>
    <w:p w14:paraId="78ECA891" w14:textId="77777777" w:rsidR="00315D1B" w:rsidRPr="000D0304" w:rsidRDefault="00315D1B" w:rsidP="00DA5301">
      <w:pPr>
        <w:pStyle w:val="Heading4"/>
      </w:pPr>
      <w:bookmarkStart w:id="77" w:name="_Toc120111925"/>
      <w:r w:rsidRPr="000D0304">
        <w:t>Aluminium Weighted Mean</w:t>
      </w:r>
      <w:bookmarkEnd w:id="77"/>
    </w:p>
    <w:p w14:paraId="2A0BCCC5" w14:textId="77777777" w:rsidR="00315D1B" w:rsidRPr="00B94736" w:rsidRDefault="00315D1B" w:rsidP="00B86E2D">
      <w:pPr>
        <w:widowControl w:val="0"/>
        <w:tabs>
          <w:tab w:val="left" w:pos="-1440"/>
          <w:tab w:val="left" w:pos="-720"/>
        </w:tabs>
        <w:spacing w:after="0" w:line="312" w:lineRule="auto"/>
        <w:jc w:val="both"/>
        <w:rPr>
          <w:rFonts w:cs="Helvetica"/>
          <w:color w:val="595959"/>
        </w:rPr>
      </w:pPr>
      <w:r>
        <w:rPr>
          <w:rFonts w:cs="Helvetica"/>
          <w:color w:val="595959"/>
        </w:rPr>
        <w:t>The a</w:t>
      </w:r>
      <w:r w:rsidRPr="00B94736">
        <w:rPr>
          <w:rFonts w:cs="Helvetica"/>
          <w:color w:val="595959"/>
        </w:rPr>
        <w:t>bove weighted mean</w:t>
      </w:r>
      <w:r>
        <w:rPr>
          <w:rFonts w:cs="Helvetica"/>
          <w:color w:val="595959"/>
        </w:rPr>
        <w:t>, but</w:t>
      </w:r>
      <w:r w:rsidRPr="00B94736">
        <w:rPr>
          <w:rFonts w:cs="Helvetica"/>
          <w:color w:val="595959"/>
        </w:rPr>
        <w:t xml:space="preserve"> expressed per tonne of aluminium by multiplication by mass weighted factor</w:t>
      </w:r>
      <w:r w:rsidR="00D02080">
        <w:rPr>
          <w:rFonts w:cs="Helvetica"/>
          <w:color w:val="595959"/>
        </w:rPr>
        <w:t>.</w:t>
      </w:r>
    </w:p>
    <w:p w14:paraId="21BB726B" w14:textId="77777777" w:rsidR="00315D1B" w:rsidRDefault="00315D1B" w:rsidP="00B86E2D">
      <w:pPr>
        <w:widowControl w:val="0"/>
        <w:tabs>
          <w:tab w:val="left" w:pos="-1440"/>
          <w:tab w:val="left" w:pos="-720"/>
        </w:tabs>
        <w:spacing w:after="0" w:line="312" w:lineRule="auto"/>
        <w:jc w:val="both"/>
        <w:rPr>
          <w:rFonts w:cs="Helvetica"/>
          <w:i/>
          <w:color w:val="595959"/>
        </w:rPr>
      </w:pPr>
    </w:p>
    <w:p w14:paraId="2F2125F9" w14:textId="77777777" w:rsidR="00315D1B" w:rsidRPr="00B94736" w:rsidRDefault="00315D1B" w:rsidP="00B86E2D">
      <w:pPr>
        <w:widowControl w:val="0"/>
        <w:tabs>
          <w:tab w:val="left" w:pos="-1440"/>
          <w:tab w:val="left" w:pos="-720"/>
        </w:tabs>
        <w:spacing w:after="0" w:line="312" w:lineRule="auto"/>
        <w:ind w:left="720"/>
        <w:jc w:val="both"/>
        <w:rPr>
          <w:rFonts w:cs="Helvetica"/>
          <w:i/>
          <w:color w:val="595959"/>
        </w:rPr>
      </w:pPr>
      <w:r w:rsidRPr="00B94736">
        <w:rPr>
          <w:rFonts w:cs="Helvetica"/>
          <w:i/>
          <w:color w:val="595959"/>
        </w:rPr>
        <w:t>Example</w:t>
      </w:r>
      <w:r>
        <w:rPr>
          <w:rFonts w:cs="Helvetica"/>
          <w:i/>
          <w:color w:val="595959"/>
        </w:rPr>
        <w:t>:</w:t>
      </w:r>
    </w:p>
    <w:p w14:paraId="25BA96A7" w14:textId="77777777" w:rsidR="00315D1B" w:rsidRPr="00B94736" w:rsidRDefault="00315D1B" w:rsidP="00935A71">
      <w:pPr>
        <w:widowControl w:val="0"/>
        <w:tabs>
          <w:tab w:val="left" w:pos="-1440"/>
          <w:tab w:val="left" w:pos="-720"/>
        </w:tabs>
        <w:spacing w:after="0" w:line="312" w:lineRule="auto"/>
        <w:ind w:left="1440"/>
        <w:jc w:val="both"/>
        <w:rPr>
          <w:rFonts w:cs="Helvetica"/>
          <w:color w:val="595959"/>
        </w:rPr>
      </w:pPr>
      <w:r w:rsidRPr="00B94736">
        <w:rPr>
          <w:rFonts w:cs="Helvetica"/>
          <w:color w:val="595959"/>
        </w:rPr>
        <w:t>0.37 kg emissions per tonne of bauxite produced</w:t>
      </w:r>
    </w:p>
    <w:p w14:paraId="02324C4E" w14:textId="77777777" w:rsidR="00343530" w:rsidRDefault="00315D1B" w:rsidP="000D0304">
      <w:pPr>
        <w:widowControl w:val="0"/>
        <w:tabs>
          <w:tab w:val="left" w:pos="-1440"/>
          <w:tab w:val="left" w:pos="-720"/>
        </w:tabs>
        <w:spacing w:after="0" w:line="312" w:lineRule="auto"/>
        <w:ind w:left="1440"/>
        <w:jc w:val="both"/>
      </w:pPr>
      <w:r w:rsidRPr="00B94736">
        <w:rPr>
          <w:rFonts w:cs="Helvetica"/>
          <w:color w:val="595959"/>
        </w:rPr>
        <w:t>5</w:t>
      </w:r>
      <w:r>
        <w:rPr>
          <w:rFonts w:cs="Helvetica"/>
          <w:color w:val="595959"/>
        </w:rPr>
        <w:t>.6</w:t>
      </w:r>
      <w:r w:rsidRPr="00B94736">
        <w:rPr>
          <w:rFonts w:cs="Helvetica"/>
          <w:color w:val="595959"/>
        </w:rPr>
        <w:t xml:space="preserve"> tonnes of bauxite required per tonne of aluminium produced</w:t>
      </w:r>
    </w:p>
    <w:p w14:paraId="5EA5F253" w14:textId="50149A38" w:rsidR="006B2006" w:rsidRDefault="00343530" w:rsidP="000D0304">
      <w:pPr>
        <w:widowControl w:val="0"/>
        <w:tabs>
          <w:tab w:val="left" w:pos="-1440"/>
          <w:tab w:val="left" w:pos="-720"/>
        </w:tabs>
        <w:spacing w:after="0" w:line="312" w:lineRule="auto"/>
        <w:ind w:left="1440"/>
        <w:jc w:val="both"/>
        <w:rPr>
          <w:rFonts w:cs="Helvetica"/>
          <w:color w:val="595959"/>
          <w:szCs w:val="20"/>
        </w:rPr>
      </w:pPr>
      <w:r w:rsidRPr="000D0304">
        <w:rPr>
          <w:rFonts w:cs="Helvetica"/>
          <w:color w:val="595959"/>
          <w:szCs w:val="20"/>
        </w:rPr>
        <w:t xml:space="preserve">0.37 </w:t>
      </w:r>
      <w:r w:rsidR="002B28BA" w:rsidRPr="000D0304">
        <w:rPr>
          <w:rFonts w:cs="Helvetica"/>
          <w:color w:val="595959"/>
          <w:szCs w:val="20"/>
        </w:rPr>
        <w:t>*</w:t>
      </w:r>
      <w:r w:rsidR="00315D1B" w:rsidRPr="000D0304">
        <w:rPr>
          <w:rFonts w:cs="Helvetica"/>
          <w:color w:val="595959"/>
          <w:szCs w:val="20"/>
        </w:rPr>
        <w:t xml:space="preserve"> 5.6 = </w:t>
      </w:r>
      <w:r w:rsidR="00315D1B" w:rsidRPr="000D0304">
        <w:rPr>
          <w:rFonts w:cs="Helvetica"/>
          <w:b/>
          <w:color w:val="595959"/>
          <w:szCs w:val="20"/>
        </w:rPr>
        <w:t>2.07 kg</w:t>
      </w:r>
      <w:r w:rsidR="00315D1B" w:rsidRPr="000D0304">
        <w:rPr>
          <w:rFonts w:cs="Helvetica"/>
          <w:color w:val="595959"/>
          <w:szCs w:val="20"/>
        </w:rPr>
        <w:t xml:space="preserve"> bauxite related emissions per tonne of aluminium produced</w:t>
      </w:r>
    </w:p>
    <w:p w14:paraId="1F4E3785" w14:textId="35F15E0F" w:rsidR="00C66603" w:rsidRPr="000D0304" w:rsidRDefault="008B4BBD" w:rsidP="00DA5301">
      <w:pPr>
        <w:pStyle w:val="Heading2"/>
      </w:pPr>
      <w:bookmarkStart w:id="78" w:name="_Toc480555205"/>
      <w:bookmarkStart w:id="79" w:name="_Toc480555291"/>
      <w:bookmarkStart w:id="80" w:name="_Toc480555377"/>
      <w:bookmarkStart w:id="81" w:name="_Toc480555459"/>
      <w:bookmarkStart w:id="82" w:name="_Toc480971403"/>
      <w:bookmarkStart w:id="83" w:name="_Toc480555206"/>
      <w:bookmarkStart w:id="84" w:name="_Toc480555292"/>
      <w:bookmarkStart w:id="85" w:name="_Toc480555378"/>
      <w:bookmarkStart w:id="86" w:name="_Toc480555460"/>
      <w:bookmarkStart w:id="87" w:name="_Toc480971404"/>
      <w:bookmarkStart w:id="88" w:name="_Toc363829104"/>
      <w:bookmarkStart w:id="89" w:name="_Toc120111926"/>
      <w:bookmarkEnd w:id="78"/>
      <w:bookmarkEnd w:id="79"/>
      <w:bookmarkEnd w:id="80"/>
      <w:bookmarkEnd w:id="81"/>
      <w:bookmarkEnd w:id="82"/>
      <w:bookmarkEnd w:id="83"/>
      <w:bookmarkEnd w:id="84"/>
      <w:bookmarkEnd w:id="85"/>
      <w:bookmarkEnd w:id="86"/>
      <w:bookmarkEnd w:id="87"/>
      <w:r w:rsidRPr="000D0304">
        <w:t>Changes in Inventory Data</w:t>
      </w:r>
      <w:r w:rsidR="00C66603" w:rsidRPr="000D0304">
        <w:t xml:space="preserve"> from </w:t>
      </w:r>
      <w:r w:rsidR="008A790B" w:rsidRPr="000D0304">
        <w:t>201</w:t>
      </w:r>
      <w:r w:rsidR="008A790B">
        <w:t>5</w:t>
      </w:r>
      <w:r w:rsidR="008A790B" w:rsidRPr="000D0304">
        <w:t xml:space="preserve"> </w:t>
      </w:r>
      <w:r w:rsidR="00C66603" w:rsidRPr="000D0304">
        <w:t xml:space="preserve">to </w:t>
      </w:r>
      <w:bookmarkEnd w:id="88"/>
      <w:r w:rsidR="008A790B" w:rsidRPr="000D0304">
        <w:t>201</w:t>
      </w:r>
      <w:r w:rsidR="008A790B">
        <w:t>9</w:t>
      </w:r>
      <w:bookmarkEnd w:id="89"/>
    </w:p>
    <w:p w14:paraId="16B499DF" w14:textId="1E4781BA" w:rsidR="00C66603" w:rsidRDefault="00C66603" w:rsidP="009E11C8">
      <w:pPr>
        <w:spacing w:after="0" w:line="312" w:lineRule="auto"/>
        <w:jc w:val="both"/>
        <w:rPr>
          <w:rFonts w:cs="Helvetica"/>
          <w:color w:val="595959"/>
        </w:rPr>
      </w:pPr>
      <w:r>
        <w:rPr>
          <w:rFonts w:cs="Helvetica"/>
          <w:color w:val="595959"/>
        </w:rPr>
        <w:t>Changes (</w:t>
      </w:r>
      <w:r w:rsidR="00693DF0">
        <w:rPr>
          <w:rFonts w:cs="Helvetica"/>
          <w:color w:val="595959"/>
        </w:rPr>
        <w:t>or lack thereof</w:t>
      </w:r>
      <w:r>
        <w:rPr>
          <w:rFonts w:cs="Helvetica"/>
          <w:color w:val="595959"/>
        </w:rPr>
        <w:t>) i</w:t>
      </w:r>
      <w:r w:rsidR="00CF4C91">
        <w:rPr>
          <w:rFonts w:cs="Helvetica"/>
          <w:color w:val="595959"/>
        </w:rPr>
        <w:t>n inventory data between the 201</w:t>
      </w:r>
      <w:r w:rsidR="008A790B">
        <w:rPr>
          <w:rFonts w:cs="Helvetica"/>
          <w:color w:val="595959"/>
        </w:rPr>
        <w:t>5</w:t>
      </w:r>
      <w:r>
        <w:rPr>
          <w:rFonts w:cs="Helvetica"/>
          <w:color w:val="595959"/>
        </w:rPr>
        <w:t xml:space="preserve"> a</w:t>
      </w:r>
      <w:r w:rsidR="00CF4C91">
        <w:rPr>
          <w:rFonts w:cs="Helvetica"/>
          <w:color w:val="595959"/>
        </w:rPr>
        <w:t>nd 201</w:t>
      </w:r>
      <w:r w:rsidR="008A790B">
        <w:rPr>
          <w:rFonts w:cs="Helvetica"/>
          <w:color w:val="595959"/>
        </w:rPr>
        <w:t>9</w:t>
      </w:r>
      <w:r>
        <w:rPr>
          <w:rFonts w:cs="Helvetica"/>
          <w:color w:val="595959"/>
        </w:rPr>
        <w:t xml:space="preserve"> datasets can</w:t>
      </w:r>
      <w:r w:rsidR="00C80442">
        <w:rPr>
          <w:rFonts w:cs="Helvetica"/>
          <w:color w:val="595959"/>
        </w:rPr>
        <w:t xml:space="preserve"> be broadly </w:t>
      </w:r>
      <w:r w:rsidR="007936BD">
        <w:rPr>
          <w:rFonts w:cs="Helvetica"/>
          <w:color w:val="595959"/>
        </w:rPr>
        <w:t xml:space="preserve">accounted for </w:t>
      </w:r>
      <w:r w:rsidR="00C80442">
        <w:rPr>
          <w:rFonts w:cs="Helvetica"/>
          <w:color w:val="595959"/>
        </w:rPr>
        <w:t>by the factors outlined below</w:t>
      </w:r>
      <w:r>
        <w:rPr>
          <w:rFonts w:cs="Helvetica"/>
          <w:color w:val="595959"/>
        </w:rPr>
        <w:t>:</w:t>
      </w:r>
    </w:p>
    <w:p w14:paraId="297FCE77" w14:textId="18800CD2" w:rsidR="00754B6E" w:rsidRPr="008B4BBD" w:rsidRDefault="00CF4C91" w:rsidP="009E11C8">
      <w:pPr>
        <w:pStyle w:val="ListParagraph"/>
        <w:numPr>
          <w:ilvl w:val="0"/>
          <w:numId w:val="20"/>
        </w:numPr>
        <w:spacing w:after="0" w:line="312" w:lineRule="auto"/>
        <w:jc w:val="both"/>
        <w:rPr>
          <w:rFonts w:cs="Helvetica"/>
          <w:color w:val="595959"/>
        </w:rPr>
      </w:pPr>
      <w:r w:rsidRPr="008B4BBD">
        <w:rPr>
          <w:rFonts w:cs="Helvetica"/>
          <w:b/>
          <w:color w:val="595959"/>
        </w:rPr>
        <w:t xml:space="preserve">Data Driven </w:t>
      </w:r>
      <w:r w:rsidR="00C66603" w:rsidRPr="008B4BBD">
        <w:rPr>
          <w:rFonts w:cs="Helvetica"/>
          <w:b/>
          <w:color w:val="595959"/>
        </w:rPr>
        <w:t>Differences</w:t>
      </w:r>
      <w:r w:rsidRPr="008B4BBD">
        <w:rPr>
          <w:rFonts w:cs="Helvetica"/>
          <w:b/>
          <w:color w:val="595959"/>
        </w:rPr>
        <w:t>:</w:t>
      </w:r>
      <w:r w:rsidRPr="008B4BBD">
        <w:rPr>
          <w:rFonts w:cs="Helvetica"/>
          <w:color w:val="595959"/>
        </w:rPr>
        <w:t xml:space="preserve"> changes </w:t>
      </w:r>
      <w:r w:rsidR="00C66603" w:rsidRPr="008B4BBD">
        <w:rPr>
          <w:rFonts w:cs="Helvetica"/>
          <w:color w:val="595959"/>
        </w:rPr>
        <w:t xml:space="preserve">in the </w:t>
      </w:r>
      <w:r w:rsidR="00DC73CB" w:rsidRPr="008B4BBD">
        <w:rPr>
          <w:rFonts w:cs="Helvetica"/>
          <w:color w:val="595959"/>
        </w:rPr>
        <w:t>composition of</w:t>
      </w:r>
      <w:r w:rsidR="00063621">
        <w:rPr>
          <w:rFonts w:cs="Helvetica"/>
          <w:color w:val="595959"/>
        </w:rPr>
        <w:t xml:space="preserve"> the</w:t>
      </w:r>
      <w:r w:rsidR="00D640A7" w:rsidRPr="008B4BBD">
        <w:rPr>
          <w:rFonts w:cs="Helvetica"/>
          <w:color w:val="595959"/>
        </w:rPr>
        <w:t xml:space="preserve"> </w:t>
      </w:r>
      <w:r w:rsidR="00C66603" w:rsidRPr="008B4BBD">
        <w:rPr>
          <w:rFonts w:cs="Helvetica"/>
          <w:color w:val="595959"/>
        </w:rPr>
        <w:t xml:space="preserve">reporting </w:t>
      </w:r>
      <w:r w:rsidRPr="008B4BBD">
        <w:rPr>
          <w:rFonts w:cs="Helvetica"/>
          <w:color w:val="595959"/>
        </w:rPr>
        <w:t>cohort</w:t>
      </w:r>
      <w:r w:rsidR="00DC73CB" w:rsidRPr="008B4BBD">
        <w:rPr>
          <w:rFonts w:cs="Helvetica"/>
          <w:color w:val="595959"/>
        </w:rPr>
        <w:t>,</w:t>
      </w:r>
      <w:r w:rsidR="00D640A7" w:rsidRPr="008B4BBD">
        <w:rPr>
          <w:rFonts w:cs="Helvetica"/>
          <w:color w:val="595959"/>
        </w:rPr>
        <w:t xml:space="preserve"> </w:t>
      </w:r>
      <w:r w:rsidR="00063621">
        <w:rPr>
          <w:rFonts w:cs="Helvetica"/>
          <w:color w:val="595959"/>
        </w:rPr>
        <w:t xml:space="preserve">the </w:t>
      </w:r>
      <w:r w:rsidR="00C66603" w:rsidRPr="008B4BBD">
        <w:rPr>
          <w:rFonts w:cs="Helvetica"/>
          <w:color w:val="595959"/>
        </w:rPr>
        <w:t xml:space="preserve">quality of survey </w:t>
      </w:r>
      <w:r w:rsidR="00A267A8">
        <w:rPr>
          <w:rFonts w:cs="Helvetica"/>
          <w:color w:val="595959"/>
        </w:rPr>
        <w:t>responses</w:t>
      </w:r>
      <w:r w:rsidR="00DC73CB" w:rsidRPr="008B4BBD">
        <w:rPr>
          <w:rFonts w:cs="Helvetica"/>
          <w:color w:val="595959"/>
        </w:rPr>
        <w:t xml:space="preserve"> </w:t>
      </w:r>
      <w:r w:rsidR="008B4BBD">
        <w:rPr>
          <w:rFonts w:cs="Helvetica"/>
          <w:color w:val="595959"/>
        </w:rPr>
        <w:t xml:space="preserve">or reporting rates can contribute to differences </w:t>
      </w:r>
      <w:r w:rsidR="00C80442">
        <w:rPr>
          <w:rFonts w:cs="Helvetica"/>
          <w:color w:val="595959"/>
        </w:rPr>
        <w:t>between</w:t>
      </w:r>
      <w:r w:rsidR="008B4BBD">
        <w:rPr>
          <w:rFonts w:cs="Helvetica"/>
          <w:color w:val="595959"/>
        </w:rPr>
        <w:t xml:space="preserve"> the </w:t>
      </w:r>
      <w:r w:rsidR="00C80442">
        <w:rPr>
          <w:rFonts w:cs="Helvetica"/>
          <w:color w:val="595959"/>
        </w:rPr>
        <w:t>201</w:t>
      </w:r>
      <w:r w:rsidR="008A790B">
        <w:rPr>
          <w:rFonts w:cs="Helvetica"/>
          <w:color w:val="595959"/>
        </w:rPr>
        <w:t>5</w:t>
      </w:r>
      <w:r w:rsidR="00C80442">
        <w:rPr>
          <w:rFonts w:cs="Helvetica"/>
          <w:color w:val="595959"/>
        </w:rPr>
        <w:t xml:space="preserve"> and 201</w:t>
      </w:r>
      <w:r w:rsidR="008A790B">
        <w:rPr>
          <w:rFonts w:cs="Helvetica"/>
          <w:color w:val="595959"/>
        </w:rPr>
        <w:t>9</w:t>
      </w:r>
      <w:r w:rsidR="00C80442">
        <w:rPr>
          <w:rFonts w:cs="Helvetica"/>
          <w:color w:val="595959"/>
        </w:rPr>
        <w:t xml:space="preserve"> </w:t>
      </w:r>
      <w:r w:rsidR="008B4BBD">
        <w:rPr>
          <w:rFonts w:cs="Helvetica"/>
          <w:color w:val="595959"/>
        </w:rPr>
        <w:t>inventory</w:t>
      </w:r>
      <w:r w:rsidR="009831A3">
        <w:rPr>
          <w:rFonts w:cs="Helvetica"/>
          <w:color w:val="595959"/>
        </w:rPr>
        <w:t xml:space="preserve">.  </w:t>
      </w:r>
      <w:r w:rsidR="00C80442">
        <w:rPr>
          <w:rFonts w:cs="Helvetica"/>
          <w:color w:val="595959"/>
        </w:rPr>
        <w:t>Such occurrences should mean that users of the inventory should be aware that</w:t>
      </w:r>
      <w:r w:rsidR="008B4BBD" w:rsidRPr="008B4BBD">
        <w:rPr>
          <w:rFonts w:cs="Helvetica"/>
          <w:color w:val="595959"/>
        </w:rPr>
        <w:t xml:space="preserve"> apparent trends over this period are not definitive and can sometimes be considered unreliable</w:t>
      </w:r>
      <w:r w:rsidR="009831A3">
        <w:rPr>
          <w:rFonts w:cs="Helvetica"/>
          <w:color w:val="595959"/>
        </w:rPr>
        <w:t xml:space="preserve">.  </w:t>
      </w:r>
    </w:p>
    <w:p w14:paraId="27206587" w14:textId="226D6705" w:rsidR="00C66603" w:rsidRDefault="00CF4C91" w:rsidP="009E11C8">
      <w:pPr>
        <w:pStyle w:val="ListParagraph"/>
        <w:numPr>
          <w:ilvl w:val="0"/>
          <w:numId w:val="10"/>
        </w:numPr>
        <w:spacing w:after="0" w:line="312" w:lineRule="auto"/>
        <w:jc w:val="both"/>
        <w:rPr>
          <w:rFonts w:cs="Helvetica"/>
          <w:color w:val="595959"/>
        </w:rPr>
      </w:pPr>
      <w:r w:rsidRPr="008B4BBD">
        <w:rPr>
          <w:rFonts w:cs="Helvetica"/>
          <w:b/>
          <w:color w:val="595959"/>
        </w:rPr>
        <w:t>Performance Driven Differences:</w:t>
      </w:r>
      <w:r w:rsidRPr="008B4BBD">
        <w:rPr>
          <w:rFonts w:cs="Helvetica"/>
          <w:color w:val="595959"/>
        </w:rPr>
        <w:t xml:space="preserve"> r</w:t>
      </w:r>
      <w:r w:rsidR="00D640A7" w:rsidRPr="008B4BBD">
        <w:rPr>
          <w:rFonts w:cs="Helvetica"/>
          <w:color w:val="595959"/>
        </w:rPr>
        <w:t>eal c</w:t>
      </w:r>
      <w:r w:rsidR="00C66603" w:rsidRPr="008B4BBD">
        <w:rPr>
          <w:rFonts w:cs="Helvetica"/>
          <w:color w:val="595959"/>
        </w:rPr>
        <w:t>hanges in global and/or reporting in</w:t>
      </w:r>
      <w:r w:rsidRPr="008B4BBD">
        <w:rPr>
          <w:rFonts w:cs="Helvetica"/>
          <w:color w:val="595959"/>
        </w:rPr>
        <w:t>dustry performance over the</w:t>
      </w:r>
      <w:r w:rsidR="00C66603" w:rsidRPr="008B4BBD">
        <w:rPr>
          <w:rFonts w:cs="Helvetica"/>
          <w:color w:val="595959"/>
        </w:rPr>
        <w:t xml:space="preserve"> period</w:t>
      </w:r>
      <w:r w:rsidR="009831A3">
        <w:rPr>
          <w:rFonts w:cs="Helvetica"/>
          <w:color w:val="595959"/>
        </w:rPr>
        <w:t xml:space="preserve">.  </w:t>
      </w:r>
      <w:r w:rsidR="00063621">
        <w:rPr>
          <w:rFonts w:cs="Helvetica"/>
          <w:color w:val="595959"/>
        </w:rPr>
        <w:t>Such differences</w:t>
      </w:r>
      <w:r w:rsidR="008B4BBD" w:rsidRPr="008B4BBD">
        <w:rPr>
          <w:rFonts w:cs="Helvetica"/>
          <w:color w:val="595959"/>
        </w:rPr>
        <w:t xml:space="preserve"> tend to be driven by incremental improvements in process management, the addition of new capacity, retrofitting of existing capacity and/or closure of older facilities as well as changes in raw material quality.</w:t>
      </w:r>
    </w:p>
    <w:p w14:paraId="5A15DCF1" w14:textId="43D5C695" w:rsidR="008A790B" w:rsidRPr="00FD4D41" w:rsidRDefault="008A790B" w:rsidP="008A790B">
      <w:pPr>
        <w:pStyle w:val="ListParagraph"/>
        <w:numPr>
          <w:ilvl w:val="0"/>
          <w:numId w:val="10"/>
        </w:numPr>
        <w:spacing w:after="0" w:line="312" w:lineRule="auto"/>
        <w:jc w:val="both"/>
        <w:rPr>
          <w:rFonts w:cs="Helvetica"/>
          <w:color w:val="595959"/>
        </w:rPr>
      </w:pPr>
      <w:r>
        <w:rPr>
          <w:rFonts w:cs="Helvetica"/>
          <w:b/>
          <w:color w:val="595959"/>
        </w:rPr>
        <w:t>Methodology Differences:</w:t>
      </w:r>
      <w:r>
        <w:rPr>
          <w:rFonts w:cs="Helvetica"/>
          <w:color w:val="595959"/>
        </w:rPr>
        <w:t xml:space="preserve"> changes in correspondence to the methodology development. Such as </w:t>
      </w:r>
      <w:r w:rsidRPr="008A790B">
        <w:rPr>
          <w:rFonts w:cs="Helvetica"/>
          <w:color w:val="595959"/>
        </w:rPr>
        <w:t>account</w:t>
      </w:r>
      <w:r>
        <w:rPr>
          <w:rFonts w:cs="Helvetica"/>
          <w:color w:val="595959"/>
        </w:rPr>
        <w:t>ing</w:t>
      </w:r>
      <w:r w:rsidRPr="008A790B">
        <w:rPr>
          <w:rFonts w:cs="Helvetica"/>
          <w:color w:val="595959"/>
        </w:rPr>
        <w:t xml:space="preserve"> </w:t>
      </w:r>
      <w:r>
        <w:rPr>
          <w:rFonts w:cs="Helvetica"/>
          <w:color w:val="595959"/>
        </w:rPr>
        <w:t xml:space="preserve">for </w:t>
      </w:r>
      <w:r w:rsidRPr="008A790B">
        <w:rPr>
          <w:rFonts w:cs="Helvetica"/>
          <w:color w:val="595959"/>
        </w:rPr>
        <w:t xml:space="preserve">emissions from anode effects at both </w:t>
      </w:r>
      <w:r w:rsidRPr="00FD4D41">
        <w:rPr>
          <w:rFonts w:cs="Helvetica"/>
          <w:color w:val="595959"/>
        </w:rPr>
        <w:t>high and low voltages</w:t>
      </w:r>
      <w:r>
        <w:rPr>
          <w:rFonts w:cs="Helvetica"/>
          <w:color w:val="595959"/>
        </w:rPr>
        <w:t xml:space="preserve"> by following the latest </w:t>
      </w:r>
      <w:r w:rsidRPr="008A790B">
        <w:rPr>
          <w:rFonts w:cs="Helvetica"/>
          <w:color w:val="595959"/>
        </w:rPr>
        <w:t>IPCC Guidelines</w:t>
      </w:r>
      <w:r>
        <w:rPr>
          <w:rFonts w:cs="Helvetica"/>
          <w:color w:val="595959"/>
        </w:rPr>
        <w:t xml:space="preserve"> development.</w:t>
      </w:r>
    </w:p>
    <w:p w14:paraId="20E3ABA9" w14:textId="77777777" w:rsidR="00C66603" w:rsidRPr="0069734C" w:rsidRDefault="00C66603" w:rsidP="00DA5301">
      <w:pPr>
        <w:pStyle w:val="Heading3"/>
        <w:numPr>
          <w:ilvl w:val="2"/>
          <w:numId w:val="57"/>
        </w:numPr>
      </w:pPr>
      <w:bookmarkStart w:id="90" w:name="_Toc480555208"/>
      <w:bookmarkStart w:id="91" w:name="_Toc480555294"/>
      <w:bookmarkStart w:id="92" w:name="_Toc480555380"/>
      <w:bookmarkStart w:id="93" w:name="_Toc480555462"/>
      <w:bookmarkStart w:id="94" w:name="_Toc480971406"/>
      <w:bookmarkStart w:id="95" w:name="_Toc363829106"/>
      <w:bookmarkStart w:id="96" w:name="_Toc120111927"/>
      <w:bookmarkEnd w:id="90"/>
      <w:bookmarkEnd w:id="91"/>
      <w:bookmarkEnd w:id="92"/>
      <w:bookmarkEnd w:id="93"/>
      <w:bookmarkEnd w:id="94"/>
      <w:r w:rsidRPr="0069734C">
        <w:lastRenderedPageBreak/>
        <w:t>Bauxite Mining</w:t>
      </w:r>
      <w:bookmarkEnd w:id="95"/>
      <w:bookmarkEnd w:id="96"/>
    </w:p>
    <w:p w14:paraId="593D2E09" w14:textId="77777777" w:rsidR="00CD78B4" w:rsidRPr="000D0304" w:rsidRDefault="00CD78B4" w:rsidP="00DA5301">
      <w:pPr>
        <w:pStyle w:val="Heading4"/>
      </w:pPr>
      <w:bookmarkStart w:id="97" w:name="_Toc120111928"/>
      <w:r w:rsidRPr="000D0304">
        <w:t>Data Driven Differences</w:t>
      </w:r>
      <w:bookmarkEnd w:id="97"/>
      <w:r w:rsidRPr="000D0304">
        <w:t xml:space="preserve"> </w:t>
      </w:r>
    </w:p>
    <w:p w14:paraId="6F544015" w14:textId="4C3603D1" w:rsidR="005D79BA" w:rsidRDefault="005D79BA" w:rsidP="009E11C8">
      <w:pPr>
        <w:spacing w:after="0" w:line="312" w:lineRule="auto"/>
        <w:jc w:val="both"/>
        <w:rPr>
          <w:rFonts w:cs="Helvetica"/>
          <w:color w:val="595959"/>
        </w:rPr>
      </w:pPr>
      <w:r>
        <w:rPr>
          <w:rFonts w:cs="Helvetica"/>
          <w:b/>
          <w:i/>
          <w:color w:val="595959"/>
        </w:rPr>
        <w:t>Fresh</w:t>
      </w:r>
      <w:r w:rsidRPr="00A27C9B">
        <w:rPr>
          <w:rFonts w:cs="Helvetica"/>
          <w:b/>
          <w:i/>
          <w:color w:val="595959"/>
        </w:rPr>
        <w:t xml:space="preserve">water input and </w:t>
      </w:r>
      <w:r w:rsidRPr="00693DF0">
        <w:rPr>
          <w:rFonts w:cs="Helvetica"/>
          <w:b/>
          <w:i/>
          <w:color w:val="595959"/>
        </w:rPr>
        <w:t>output</w:t>
      </w:r>
      <w:r w:rsidR="002272CE">
        <w:rPr>
          <w:rFonts w:cs="Helvetica"/>
          <w:color w:val="595959"/>
        </w:rPr>
        <w:t xml:space="preserve"> </w:t>
      </w:r>
      <w:r w:rsidR="004E0969">
        <w:rPr>
          <w:rFonts w:cs="Helvetica"/>
          <w:color w:val="595959"/>
        </w:rPr>
        <w:t xml:space="preserve">is </w:t>
      </w:r>
      <w:r w:rsidR="00340C06">
        <w:rPr>
          <w:rFonts w:cs="Helvetica"/>
          <w:color w:val="595959"/>
        </w:rPr>
        <w:t xml:space="preserve">collected from 12 </w:t>
      </w:r>
      <w:r w:rsidR="00101400">
        <w:rPr>
          <w:rFonts w:cs="Helvetica"/>
          <w:color w:val="595959"/>
        </w:rPr>
        <w:t>facilities</w:t>
      </w:r>
      <w:r w:rsidR="00340C06">
        <w:rPr>
          <w:rFonts w:cs="Helvetica"/>
          <w:color w:val="595959"/>
        </w:rPr>
        <w:t xml:space="preserve"> across 5 countries, whilst the 2015 </w:t>
      </w:r>
      <w:r w:rsidR="00C1233C">
        <w:rPr>
          <w:rFonts w:cs="Helvetica"/>
          <w:color w:val="595959"/>
        </w:rPr>
        <w:t>data</w:t>
      </w:r>
      <w:r w:rsidR="00340C06">
        <w:rPr>
          <w:rFonts w:cs="Helvetica"/>
          <w:color w:val="595959"/>
        </w:rPr>
        <w:t xml:space="preserve"> was collected from </w:t>
      </w:r>
      <w:r w:rsidR="00465D5E">
        <w:rPr>
          <w:rFonts w:cs="Helvetica"/>
          <w:color w:val="595959"/>
        </w:rPr>
        <w:t xml:space="preserve">11 </w:t>
      </w:r>
      <w:r w:rsidR="00101400">
        <w:rPr>
          <w:rFonts w:cs="Helvetica"/>
          <w:color w:val="595959"/>
        </w:rPr>
        <w:t>facilities</w:t>
      </w:r>
      <w:r w:rsidR="00465D5E">
        <w:rPr>
          <w:rFonts w:cs="Helvetica"/>
          <w:color w:val="595959"/>
        </w:rPr>
        <w:t xml:space="preserve"> from 3 different countries. </w:t>
      </w:r>
      <w:r w:rsidR="00A733F8">
        <w:rPr>
          <w:rFonts w:cs="Helvetica"/>
          <w:color w:val="595959"/>
        </w:rPr>
        <w:t xml:space="preserve">The </w:t>
      </w:r>
      <w:r w:rsidR="00CE55D7">
        <w:rPr>
          <w:rFonts w:cs="Helvetica"/>
          <w:color w:val="595959"/>
        </w:rPr>
        <w:t xml:space="preserve">average </w:t>
      </w:r>
      <w:r w:rsidR="00C1233C">
        <w:rPr>
          <w:rFonts w:cs="Helvetica"/>
          <w:color w:val="595959"/>
        </w:rPr>
        <w:t>freshwater</w:t>
      </w:r>
      <w:r w:rsidR="00CE55D7">
        <w:rPr>
          <w:rFonts w:cs="Helvetica"/>
          <w:color w:val="595959"/>
        </w:rPr>
        <w:t xml:space="preserve"> consumption has increased from </w:t>
      </w:r>
      <w:r w:rsidR="007F06CC">
        <w:rPr>
          <w:rFonts w:cs="Helvetica"/>
          <w:color w:val="595959"/>
        </w:rPr>
        <w:t>2.5</w:t>
      </w:r>
      <w:r w:rsidR="0066059A">
        <w:rPr>
          <w:rFonts w:cs="Helvetica"/>
          <w:color w:val="595959"/>
        </w:rPr>
        <w:t xml:space="preserve"> </w:t>
      </w:r>
      <w:r w:rsidR="007F06CC" w:rsidRPr="00A27C9B">
        <w:rPr>
          <w:rFonts w:cs="Helvetica"/>
          <w:color w:val="595959"/>
        </w:rPr>
        <w:t>m</w:t>
      </w:r>
      <w:r w:rsidR="007F06CC" w:rsidRPr="00273927">
        <w:rPr>
          <w:rFonts w:cs="Helvetica"/>
          <w:color w:val="595959"/>
          <w:vertAlign w:val="superscript"/>
        </w:rPr>
        <w:t>3</w:t>
      </w:r>
      <w:r w:rsidR="007F06CC" w:rsidRPr="00A27C9B">
        <w:rPr>
          <w:rFonts w:cs="Helvetica"/>
          <w:color w:val="595959"/>
        </w:rPr>
        <w:t>/t Al ingot</w:t>
      </w:r>
      <w:r w:rsidR="007F06CC">
        <w:rPr>
          <w:rFonts w:cs="Helvetica"/>
          <w:color w:val="595959"/>
        </w:rPr>
        <w:t xml:space="preserve"> to 3.4 </w:t>
      </w:r>
      <w:r w:rsidR="007F06CC" w:rsidRPr="00A27C9B">
        <w:rPr>
          <w:rFonts w:cs="Helvetica"/>
          <w:color w:val="595959"/>
        </w:rPr>
        <w:t>m</w:t>
      </w:r>
      <w:r w:rsidR="007F06CC" w:rsidRPr="00273927">
        <w:rPr>
          <w:rFonts w:cs="Helvetica"/>
          <w:color w:val="595959"/>
          <w:vertAlign w:val="superscript"/>
        </w:rPr>
        <w:t>3</w:t>
      </w:r>
      <w:r w:rsidR="007F06CC" w:rsidRPr="00A27C9B">
        <w:rPr>
          <w:rFonts w:cs="Helvetica"/>
          <w:color w:val="595959"/>
        </w:rPr>
        <w:t>/t Al ingot</w:t>
      </w:r>
      <w:r w:rsidR="008A32E0">
        <w:rPr>
          <w:rFonts w:cs="Helvetica"/>
          <w:color w:val="595959"/>
        </w:rPr>
        <w:t xml:space="preserve">, although </w:t>
      </w:r>
      <w:r w:rsidR="00415549">
        <w:rPr>
          <w:rFonts w:cs="Helvetica"/>
          <w:color w:val="595959"/>
        </w:rPr>
        <w:t>some</w:t>
      </w:r>
      <w:r w:rsidR="008A32E0">
        <w:rPr>
          <w:rFonts w:cs="Helvetica"/>
          <w:color w:val="595959"/>
        </w:rPr>
        <w:t xml:space="preserve"> mines reported for both 2015 and 2019 decreased freshwater consumption.</w:t>
      </w:r>
    </w:p>
    <w:p w14:paraId="15C2D156" w14:textId="77777777" w:rsidR="003B0554" w:rsidRDefault="003B0554" w:rsidP="009E11C8">
      <w:pPr>
        <w:spacing w:after="0" w:line="312" w:lineRule="auto"/>
        <w:jc w:val="both"/>
        <w:rPr>
          <w:rFonts w:cs="Helvetica"/>
          <w:b/>
          <w:i/>
          <w:color w:val="595959"/>
        </w:rPr>
      </w:pPr>
    </w:p>
    <w:p w14:paraId="1B1BFF97" w14:textId="20FF1522" w:rsidR="00C66603" w:rsidRPr="00A27C9B" w:rsidRDefault="00E050B7" w:rsidP="009E11C8">
      <w:pPr>
        <w:spacing w:after="0" w:line="312" w:lineRule="auto"/>
        <w:jc w:val="both"/>
        <w:rPr>
          <w:rFonts w:cs="Helvetica"/>
          <w:b/>
          <w:i/>
          <w:color w:val="595959"/>
        </w:rPr>
      </w:pPr>
      <w:r w:rsidRPr="00A27C9B">
        <w:rPr>
          <w:rFonts w:cs="Helvetica"/>
          <w:b/>
          <w:i/>
          <w:color w:val="595959"/>
        </w:rPr>
        <w:t xml:space="preserve">Sea water </w:t>
      </w:r>
      <w:r w:rsidR="00C0506E" w:rsidRPr="00A27C9B">
        <w:rPr>
          <w:rFonts w:cs="Helvetica"/>
          <w:b/>
          <w:i/>
          <w:color w:val="595959"/>
        </w:rPr>
        <w:t xml:space="preserve">input </w:t>
      </w:r>
      <w:r w:rsidR="00D5144A" w:rsidRPr="00A27C9B">
        <w:rPr>
          <w:rFonts w:cs="Helvetica"/>
          <w:b/>
          <w:i/>
          <w:color w:val="595959"/>
        </w:rPr>
        <w:t xml:space="preserve">and </w:t>
      </w:r>
      <w:r w:rsidR="00D5144A" w:rsidRPr="00693DF0">
        <w:rPr>
          <w:rFonts w:cs="Helvetica"/>
          <w:b/>
          <w:i/>
          <w:color w:val="595959"/>
        </w:rPr>
        <w:t>output</w:t>
      </w:r>
      <w:r w:rsidR="00C66603" w:rsidRPr="00A27C9B">
        <w:rPr>
          <w:rFonts w:cs="Helvetica"/>
          <w:b/>
          <w:color w:val="595959"/>
        </w:rPr>
        <w:t xml:space="preserve"> </w:t>
      </w:r>
      <w:r w:rsidR="00C66603" w:rsidRPr="00A27C9B">
        <w:rPr>
          <w:rFonts w:cs="Helvetica"/>
          <w:color w:val="595959"/>
        </w:rPr>
        <w:t>is</w:t>
      </w:r>
      <w:r w:rsidR="00A27C9B" w:rsidRPr="00A27C9B">
        <w:rPr>
          <w:rFonts w:cs="Helvetica"/>
          <w:color w:val="595959"/>
        </w:rPr>
        <w:t xml:space="preserve"> </w:t>
      </w:r>
      <w:r w:rsidR="00095226">
        <w:rPr>
          <w:rFonts w:cs="Helvetica"/>
          <w:color w:val="595959"/>
        </w:rPr>
        <w:t>respectively 1.3</w:t>
      </w:r>
      <w:r w:rsidR="006200E8">
        <w:rPr>
          <w:rFonts w:cs="Helvetica"/>
          <w:color w:val="595959"/>
        </w:rPr>
        <w:t xml:space="preserve"> </w:t>
      </w:r>
      <w:r w:rsidR="006200E8" w:rsidRPr="00A27C9B">
        <w:rPr>
          <w:rFonts w:cs="Helvetica"/>
          <w:color w:val="595959"/>
        </w:rPr>
        <w:t>m</w:t>
      </w:r>
      <w:r w:rsidR="006200E8" w:rsidRPr="00273927">
        <w:rPr>
          <w:rFonts w:cs="Helvetica"/>
          <w:color w:val="595959"/>
          <w:vertAlign w:val="superscript"/>
        </w:rPr>
        <w:t>3</w:t>
      </w:r>
      <w:r w:rsidR="006200E8" w:rsidRPr="00A27C9B">
        <w:rPr>
          <w:rFonts w:cs="Helvetica"/>
          <w:color w:val="595959"/>
        </w:rPr>
        <w:t>/t Al ingot</w:t>
      </w:r>
      <w:r w:rsidR="00095226">
        <w:rPr>
          <w:rFonts w:cs="Helvetica"/>
          <w:color w:val="595959"/>
        </w:rPr>
        <w:t xml:space="preserve"> and </w:t>
      </w:r>
      <w:r w:rsidR="00A733F8">
        <w:rPr>
          <w:rFonts w:cs="Helvetica"/>
          <w:color w:val="595959"/>
        </w:rPr>
        <w:t xml:space="preserve">1.2 </w:t>
      </w:r>
      <w:r w:rsidR="00A733F8" w:rsidRPr="00A27C9B">
        <w:rPr>
          <w:rFonts w:cs="Helvetica"/>
          <w:color w:val="595959"/>
        </w:rPr>
        <w:t>m</w:t>
      </w:r>
      <w:r w:rsidR="00A733F8" w:rsidRPr="00273927">
        <w:rPr>
          <w:rFonts w:cs="Helvetica"/>
          <w:color w:val="595959"/>
          <w:vertAlign w:val="superscript"/>
        </w:rPr>
        <w:t>3</w:t>
      </w:r>
      <w:r w:rsidR="00A733F8" w:rsidRPr="00A27C9B">
        <w:rPr>
          <w:rFonts w:cs="Helvetica"/>
          <w:color w:val="595959"/>
        </w:rPr>
        <w:t>/t Al ingot</w:t>
      </w:r>
      <w:r w:rsidR="00A733F8">
        <w:rPr>
          <w:rFonts w:cs="Helvetica"/>
          <w:color w:val="595959"/>
        </w:rPr>
        <w:t xml:space="preserve"> </w:t>
      </w:r>
      <w:r w:rsidR="00A27C9B" w:rsidRPr="00A27C9B">
        <w:rPr>
          <w:rFonts w:cs="Helvetica"/>
          <w:color w:val="595959"/>
        </w:rPr>
        <w:t xml:space="preserve">compared to </w:t>
      </w:r>
      <w:r w:rsidR="006200E8">
        <w:rPr>
          <w:rFonts w:cs="Helvetica"/>
          <w:color w:val="595959"/>
        </w:rPr>
        <w:t xml:space="preserve">zero </w:t>
      </w:r>
      <w:r w:rsidR="00A27C9B" w:rsidRPr="00A27C9B">
        <w:rPr>
          <w:rFonts w:cs="Helvetica"/>
          <w:color w:val="595959"/>
        </w:rPr>
        <w:t xml:space="preserve">in </w:t>
      </w:r>
      <w:r w:rsidR="006200E8" w:rsidRPr="00A27C9B">
        <w:rPr>
          <w:rFonts w:cs="Helvetica"/>
          <w:color w:val="595959"/>
        </w:rPr>
        <w:t>201</w:t>
      </w:r>
      <w:r w:rsidR="006200E8">
        <w:rPr>
          <w:rFonts w:cs="Helvetica"/>
          <w:color w:val="595959"/>
        </w:rPr>
        <w:t>5</w:t>
      </w:r>
      <w:r w:rsidR="009831A3">
        <w:rPr>
          <w:rFonts w:cs="Helvetica"/>
          <w:color w:val="595959"/>
        </w:rPr>
        <w:t xml:space="preserve">.  </w:t>
      </w:r>
      <w:r w:rsidR="00084A68">
        <w:rPr>
          <w:rFonts w:cs="Helvetica"/>
          <w:color w:val="595959"/>
        </w:rPr>
        <w:t>No</w:t>
      </w:r>
      <w:r w:rsidR="00101C34" w:rsidRPr="00A27C9B">
        <w:rPr>
          <w:rFonts w:cs="Helvetica"/>
          <w:color w:val="595959"/>
        </w:rPr>
        <w:t xml:space="preserve"> facility reported</w:t>
      </w:r>
      <w:r w:rsidR="00A27C9B" w:rsidRPr="00A27C9B">
        <w:rPr>
          <w:rFonts w:cs="Helvetica"/>
          <w:color w:val="595959"/>
        </w:rPr>
        <w:t xml:space="preserve"> sea water input and output </w:t>
      </w:r>
      <w:r w:rsidR="00101C34" w:rsidRPr="00A27C9B">
        <w:rPr>
          <w:rFonts w:cs="Helvetica"/>
          <w:color w:val="595959"/>
        </w:rPr>
        <w:t xml:space="preserve">in </w:t>
      </w:r>
      <w:r w:rsidR="00A267A8">
        <w:rPr>
          <w:rFonts w:cs="Helvetica"/>
          <w:color w:val="595959"/>
        </w:rPr>
        <w:t xml:space="preserve">the </w:t>
      </w:r>
      <w:r w:rsidR="00084A68" w:rsidRPr="00A27C9B">
        <w:rPr>
          <w:rFonts w:cs="Helvetica"/>
          <w:color w:val="595959"/>
        </w:rPr>
        <w:t>201</w:t>
      </w:r>
      <w:r w:rsidR="00084A68">
        <w:rPr>
          <w:rFonts w:cs="Helvetica"/>
          <w:color w:val="595959"/>
        </w:rPr>
        <w:t xml:space="preserve">5 </w:t>
      </w:r>
      <w:r w:rsidR="00A267A8">
        <w:rPr>
          <w:rFonts w:cs="Helvetica"/>
          <w:color w:val="595959"/>
        </w:rPr>
        <w:t>survey.</w:t>
      </w:r>
      <w:r w:rsidR="003A6511">
        <w:rPr>
          <w:rFonts w:cs="Helvetica"/>
          <w:color w:val="595959"/>
        </w:rPr>
        <w:t xml:space="preserve"> But two </w:t>
      </w:r>
      <w:r w:rsidR="00101400">
        <w:rPr>
          <w:rFonts w:cs="Helvetica"/>
          <w:color w:val="595959"/>
        </w:rPr>
        <w:t>facilities</w:t>
      </w:r>
      <w:r w:rsidR="00642749">
        <w:rPr>
          <w:rFonts w:cs="Helvetica"/>
          <w:color w:val="595959"/>
        </w:rPr>
        <w:t xml:space="preserve"> reported for 2019.</w:t>
      </w:r>
      <w:r w:rsidR="00101400">
        <w:rPr>
          <w:rFonts w:cs="Helvetica"/>
          <w:color w:val="595959"/>
        </w:rPr>
        <w:t xml:space="preserve"> </w:t>
      </w:r>
      <w:r w:rsidR="0069734C">
        <w:rPr>
          <w:rFonts w:cs="Helvetica"/>
          <w:color w:val="595959"/>
        </w:rPr>
        <w:t>These data are only of minor environmental relevance and do not contribute to the water footprint.</w:t>
      </w:r>
    </w:p>
    <w:p w14:paraId="1C29020C" w14:textId="77777777" w:rsidR="00C66603" w:rsidRDefault="00C66603" w:rsidP="009E11C8">
      <w:pPr>
        <w:spacing w:after="0" w:line="312" w:lineRule="auto"/>
        <w:jc w:val="both"/>
        <w:rPr>
          <w:rFonts w:cs="Helvetica"/>
          <w:b/>
          <w:bCs/>
          <w:color w:val="595959"/>
          <w:szCs w:val="22"/>
        </w:rPr>
      </w:pPr>
    </w:p>
    <w:p w14:paraId="6C40570E" w14:textId="2C4B58FD" w:rsidR="00C66603" w:rsidRDefault="00E050B7" w:rsidP="009E11C8">
      <w:pPr>
        <w:spacing w:after="0" w:line="312" w:lineRule="auto"/>
        <w:jc w:val="both"/>
        <w:rPr>
          <w:rFonts w:cs="Helvetica"/>
          <w:color w:val="595959"/>
        </w:rPr>
      </w:pPr>
      <w:r w:rsidRPr="00E050B7">
        <w:rPr>
          <w:rFonts w:cs="Helvetica"/>
          <w:b/>
          <w:i/>
          <w:color w:val="595959"/>
        </w:rPr>
        <w:t>Fuels and electricity consumption</w:t>
      </w:r>
      <w:r w:rsidR="00C66603" w:rsidRPr="006C65FC">
        <w:rPr>
          <w:rFonts w:cs="Helvetica"/>
          <w:color w:val="595959"/>
        </w:rPr>
        <w:t xml:space="preserve"> </w:t>
      </w:r>
      <w:r w:rsidR="00075718">
        <w:rPr>
          <w:rFonts w:cs="Helvetica"/>
          <w:color w:val="595959"/>
        </w:rPr>
        <w:t>are</w:t>
      </w:r>
      <w:r w:rsidR="00C66603">
        <w:rPr>
          <w:rFonts w:cs="Helvetica"/>
          <w:color w:val="595959"/>
        </w:rPr>
        <w:t xml:space="preserve"> different from </w:t>
      </w:r>
      <w:r w:rsidR="000F0A0A">
        <w:rPr>
          <w:rFonts w:cs="Helvetica"/>
          <w:color w:val="595959"/>
        </w:rPr>
        <w:t>2015</w:t>
      </w:r>
      <w:r w:rsidR="008D33FF">
        <w:rPr>
          <w:rFonts w:cs="Helvetica"/>
          <w:color w:val="595959"/>
        </w:rPr>
        <w:t>,</w:t>
      </w:r>
      <w:r w:rsidR="0073451A">
        <w:rPr>
          <w:rFonts w:cs="Helvetica"/>
          <w:color w:val="595959"/>
        </w:rPr>
        <w:t xml:space="preserve"> with an increase in </w:t>
      </w:r>
      <w:r w:rsidR="008F0409">
        <w:rPr>
          <w:rFonts w:cs="Helvetica"/>
          <w:color w:val="595959"/>
        </w:rPr>
        <w:t>coal and electricity</w:t>
      </w:r>
      <w:r w:rsidR="0073451A">
        <w:rPr>
          <w:rFonts w:cs="Helvetica"/>
          <w:color w:val="595959"/>
        </w:rPr>
        <w:t xml:space="preserve"> input and </w:t>
      </w:r>
      <w:r w:rsidR="00572353">
        <w:rPr>
          <w:rFonts w:cs="Helvetica"/>
          <w:color w:val="595959"/>
        </w:rPr>
        <w:t xml:space="preserve">a decrease in </w:t>
      </w:r>
      <w:r w:rsidR="008F0409">
        <w:rPr>
          <w:rFonts w:cs="Helvetica"/>
          <w:color w:val="595959"/>
        </w:rPr>
        <w:t xml:space="preserve">heavy oil </w:t>
      </w:r>
      <w:r w:rsidR="00572353">
        <w:rPr>
          <w:rFonts w:cs="Helvetica"/>
          <w:color w:val="595959"/>
        </w:rPr>
        <w:t>input</w:t>
      </w:r>
      <w:r w:rsidR="009831A3">
        <w:rPr>
          <w:rFonts w:cs="Helvetica"/>
          <w:color w:val="595959"/>
        </w:rPr>
        <w:t xml:space="preserve">.  </w:t>
      </w:r>
      <w:r w:rsidR="00572353">
        <w:rPr>
          <w:rFonts w:cs="Helvetica"/>
          <w:color w:val="595959"/>
        </w:rPr>
        <w:t xml:space="preserve">These changes are a </w:t>
      </w:r>
      <w:r w:rsidR="0073451A">
        <w:rPr>
          <w:rFonts w:cs="Helvetica"/>
          <w:color w:val="595959"/>
        </w:rPr>
        <w:t xml:space="preserve">consequence of </w:t>
      </w:r>
      <w:r w:rsidR="00572353">
        <w:rPr>
          <w:rFonts w:cs="Helvetica"/>
          <w:color w:val="595959"/>
        </w:rPr>
        <w:t xml:space="preserve">increased reporting coverage for </w:t>
      </w:r>
      <w:r w:rsidR="009B136B">
        <w:rPr>
          <w:rFonts w:cs="Helvetica"/>
          <w:color w:val="595959"/>
        </w:rPr>
        <w:t>coal</w:t>
      </w:r>
      <w:r w:rsidR="009831A3">
        <w:rPr>
          <w:rFonts w:cs="Helvetica"/>
          <w:color w:val="595959"/>
        </w:rPr>
        <w:t>.</w:t>
      </w:r>
      <w:r w:rsidR="002827FA">
        <w:rPr>
          <w:rFonts w:cs="Helvetica"/>
          <w:color w:val="595959"/>
        </w:rPr>
        <w:t xml:space="preserve"> 17 facilities from 7 countries responded to the 2019 survey, whilst </w:t>
      </w:r>
      <w:r w:rsidR="00864B1D">
        <w:rPr>
          <w:rFonts w:cs="Helvetica"/>
          <w:color w:val="595959"/>
        </w:rPr>
        <w:t>11 facilities from 3 countries reported for 2015 survey.</w:t>
      </w:r>
      <w:r w:rsidR="009831A3">
        <w:rPr>
          <w:rFonts w:cs="Helvetica"/>
          <w:color w:val="595959"/>
        </w:rPr>
        <w:t xml:space="preserve">  </w:t>
      </w:r>
      <w:r w:rsidR="007A17F6">
        <w:rPr>
          <w:rFonts w:cs="Helvetica"/>
          <w:color w:val="595959"/>
        </w:rPr>
        <w:t>It should be noted that energy</w:t>
      </w:r>
      <w:r w:rsidR="00C66603">
        <w:rPr>
          <w:rFonts w:cs="Helvetica"/>
          <w:color w:val="595959"/>
        </w:rPr>
        <w:t xml:space="preserve"> consumption is very small </w:t>
      </w:r>
      <w:r w:rsidR="007A17F6">
        <w:rPr>
          <w:rFonts w:cs="Helvetica"/>
          <w:color w:val="595959"/>
        </w:rPr>
        <w:t>in th</w:t>
      </w:r>
      <w:r w:rsidR="00693DF0">
        <w:rPr>
          <w:rFonts w:cs="Helvetica"/>
          <w:color w:val="595959"/>
        </w:rPr>
        <w:t>e mining</w:t>
      </w:r>
      <w:r w:rsidR="007A17F6">
        <w:rPr>
          <w:rFonts w:cs="Helvetica"/>
          <w:color w:val="595959"/>
        </w:rPr>
        <w:t xml:space="preserve"> process </w:t>
      </w:r>
      <w:r w:rsidR="00C66603">
        <w:rPr>
          <w:rFonts w:cs="Helvetica"/>
          <w:color w:val="595959"/>
        </w:rPr>
        <w:t>compared to subsequent thermal and electrochemical</w:t>
      </w:r>
      <w:r w:rsidR="008D33FF">
        <w:rPr>
          <w:rFonts w:cs="Helvetica"/>
          <w:color w:val="595959"/>
        </w:rPr>
        <w:t xml:space="preserve"> unit</w:t>
      </w:r>
      <w:r w:rsidR="00C66603">
        <w:rPr>
          <w:rFonts w:cs="Helvetica"/>
          <w:color w:val="595959"/>
        </w:rPr>
        <w:t xml:space="preserve"> processes.</w:t>
      </w:r>
    </w:p>
    <w:p w14:paraId="7B58A5F9" w14:textId="77777777" w:rsidR="00F77DC7" w:rsidRDefault="00F77DC7" w:rsidP="009E11C8">
      <w:pPr>
        <w:spacing w:after="0" w:line="312" w:lineRule="auto"/>
        <w:jc w:val="both"/>
        <w:rPr>
          <w:rFonts w:cs="Helvetica"/>
          <w:color w:val="595959"/>
        </w:rPr>
      </w:pPr>
    </w:p>
    <w:p w14:paraId="33E0AD71" w14:textId="62163953" w:rsidR="00BA56EC" w:rsidDel="00FC3C90" w:rsidRDefault="00BA56EC" w:rsidP="009E11C8">
      <w:pPr>
        <w:spacing w:after="0" w:line="312" w:lineRule="auto"/>
        <w:jc w:val="both"/>
        <w:rPr>
          <w:rFonts w:cs="Helvetica"/>
          <w:color w:val="595959"/>
        </w:rPr>
      </w:pPr>
      <w:r w:rsidRPr="00FD4D41">
        <w:rPr>
          <w:rFonts w:cs="Helvetica"/>
          <w:b/>
          <w:bCs/>
          <w:color w:val="595959"/>
        </w:rPr>
        <w:t xml:space="preserve">Air emissions </w:t>
      </w:r>
      <w:r w:rsidRPr="0069734C">
        <w:rPr>
          <w:rFonts w:cs="Helvetica"/>
          <w:color w:val="595959"/>
        </w:rPr>
        <w:t>of</w:t>
      </w:r>
      <w:r>
        <w:rPr>
          <w:rFonts w:cs="Helvetica"/>
          <w:color w:val="595959"/>
        </w:rPr>
        <w:t xml:space="preserve"> </w:t>
      </w:r>
      <w:proofErr w:type="spellStart"/>
      <w:r w:rsidR="009D46EF" w:rsidRPr="00FD4D41">
        <w:rPr>
          <w:rFonts w:cs="Helvetica"/>
          <w:b/>
          <w:bCs/>
          <w:color w:val="595959"/>
        </w:rPr>
        <w:t>s</w:t>
      </w:r>
      <w:r w:rsidRPr="00FD4D41">
        <w:rPr>
          <w:rFonts w:cs="Helvetica"/>
          <w:b/>
          <w:bCs/>
          <w:color w:val="595959"/>
        </w:rPr>
        <w:t>ulfur</w:t>
      </w:r>
      <w:proofErr w:type="spellEnd"/>
      <w:r w:rsidRPr="00FD4D41">
        <w:rPr>
          <w:rFonts w:cs="Helvetica"/>
          <w:b/>
          <w:bCs/>
          <w:color w:val="595959"/>
        </w:rPr>
        <w:t xml:space="preserve"> dioxide</w:t>
      </w:r>
      <w:r w:rsidR="009D46EF">
        <w:rPr>
          <w:rFonts w:cs="Helvetica"/>
          <w:color w:val="595959"/>
        </w:rPr>
        <w:t xml:space="preserve"> and </w:t>
      </w:r>
      <w:r w:rsidR="009D46EF" w:rsidRPr="00FD4D41">
        <w:rPr>
          <w:rFonts w:cs="Helvetica"/>
          <w:b/>
          <w:bCs/>
          <w:color w:val="595959"/>
        </w:rPr>
        <w:t>nitrous oxides</w:t>
      </w:r>
      <w:r w:rsidR="009D46EF">
        <w:rPr>
          <w:rFonts w:cs="Helvetica"/>
          <w:color w:val="595959"/>
        </w:rPr>
        <w:t xml:space="preserve">, as well as </w:t>
      </w:r>
      <w:proofErr w:type="spellStart"/>
      <w:r w:rsidR="009D46EF" w:rsidRPr="00FD4D41">
        <w:rPr>
          <w:rFonts w:cs="Helvetica"/>
          <w:b/>
          <w:bCs/>
          <w:color w:val="595959"/>
        </w:rPr>
        <w:t>overburnden</w:t>
      </w:r>
      <w:proofErr w:type="spellEnd"/>
      <w:r w:rsidR="009D46EF">
        <w:rPr>
          <w:rFonts w:cs="Helvetica"/>
          <w:color w:val="595959"/>
        </w:rPr>
        <w:t xml:space="preserve"> </w:t>
      </w:r>
      <w:r w:rsidR="00795566">
        <w:rPr>
          <w:rFonts w:cs="Helvetica"/>
          <w:color w:val="595959"/>
        </w:rPr>
        <w:t xml:space="preserve">are </w:t>
      </w:r>
      <w:r w:rsidR="0069734C" w:rsidRPr="0069734C">
        <w:rPr>
          <w:rFonts w:cs="Helvetica"/>
          <w:color w:val="595959"/>
        </w:rPr>
        <w:t>included in the inventory for the first time for 2019 reference year</w:t>
      </w:r>
      <w:r w:rsidR="00795566">
        <w:rPr>
          <w:rFonts w:cs="Helvetica"/>
          <w:color w:val="595959"/>
        </w:rPr>
        <w:t>.</w:t>
      </w:r>
    </w:p>
    <w:p w14:paraId="5A41BBEF" w14:textId="77777777" w:rsidR="00CD78B4" w:rsidRPr="000D0304" w:rsidRDefault="00CD78B4" w:rsidP="00DA5301">
      <w:pPr>
        <w:pStyle w:val="Heading4"/>
      </w:pPr>
      <w:bookmarkStart w:id="98" w:name="_Toc120111929"/>
      <w:r w:rsidRPr="000D0304">
        <w:t>Performance Driven Differences</w:t>
      </w:r>
      <w:bookmarkEnd w:id="98"/>
      <w:r w:rsidRPr="000D0304">
        <w:t xml:space="preserve"> </w:t>
      </w:r>
    </w:p>
    <w:p w14:paraId="2690C904" w14:textId="33E368CA" w:rsidR="00FC3C90" w:rsidRDefault="00FC3C90" w:rsidP="00FC3C90">
      <w:pPr>
        <w:spacing w:after="0" w:line="312" w:lineRule="auto"/>
        <w:jc w:val="both"/>
        <w:rPr>
          <w:rFonts w:cs="Helvetica"/>
          <w:color w:val="595959"/>
        </w:rPr>
      </w:pPr>
      <w:r w:rsidRPr="00F77DC7">
        <w:rPr>
          <w:rFonts w:cs="Helvetica"/>
          <w:b/>
          <w:i/>
          <w:color w:val="595959"/>
        </w:rPr>
        <w:t>Land occupation</w:t>
      </w:r>
      <w:r>
        <w:rPr>
          <w:rFonts w:cs="Helvetica"/>
          <w:b/>
          <w:i/>
          <w:color w:val="595959"/>
        </w:rPr>
        <w:t xml:space="preserve"> </w:t>
      </w:r>
      <w:r w:rsidRPr="00F77DC7">
        <w:rPr>
          <w:rFonts w:cs="Helvetica"/>
          <w:color w:val="595959"/>
        </w:rPr>
        <w:t>related to bauxite mining</w:t>
      </w:r>
      <w:r>
        <w:rPr>
          <w:rFonts w:cs="Helvetica"/>
          <w:color w:val="595959"/>
        </w:rPr>
        <w:t xml:space="preserve"> have been included for the first time in the 2015 inventory. </w:t>
      </w:r>
      <w:r w:rsidR="007D5BCA">
        <w:rPr>
          <w:rFonts w:cs="Helvetica"/>
          <w:color w:val="595959"/>
        </w:rPr>
        <w:t>Land o</w:t>
      </w:r>
      <w:r w:rsidR="000677E6">
        <w:rPr>
          <w:rFonts w:cs="Helvetica"/>
          <w:color w:val="595959"/>
        </w:rPr>
        <w:t>cc</w:t>
      </w:r>
      <w:r w:rsidR="007D5BCA">
        <w:rPr>
          <w:rFonts w:cs="Helvetica"/>
          <w:color w:val="595959"/>
        </w:rPr>
        <w:t>u</w:t>
      </w:r>
      <w:r w:rsidR="000677E6">
        <w:rPr>
          <w:rFonts w:cs="Helvetica"/>
          <w:color w:val="595959"/>
        </w:rPr>
        <w:t>p</w:t>
      </w:r>
      <w:r w:rsidR="007D5BCA">
        <w:rPr>
          <w:rFonts w:cs="Helvetica"/>
          <w:color w:val="595959"/>
        </w:rPr>
        <w:t xml:space="preserve">ation </w:t>
      </w:r>
      <w:r w:rsidR="000677E6">
        <w:rPr>
          <w:rFonts w:cs="Helvetica"/>
          <w:color w:val="595959"/>
        </w:rPr>
        <w:t>is doubled from 2015 to 2019</w:t>
      </w:r>
      <w:r w:rsidR="00DD57DE">
        <w:rPr>
          <w:rFonts w:cs="Helvetica"/>
          <w:color w:val="595959"/>
        </w:rPr>
        <w:t xml:space="preserve">, although the average occupation time is </w:t>
      </w:r>
      <w:r w:rsidR="00D91FB9">
        <w:rPr>
          <w:rFonts w:cs="Helvetica"/>
          <w:color w:val="595959"/>
        </w:rPr>
        <w:t>dropped by 37%.</w:t>
      </w:r>
    </w:p>
    <w:p w14:paraId="071E0ACB" w14:textId="77777777" w:rsidR="00FC3C90" w:rsidRDefault="00FC3C90" w:rsidP="009E11C8">
      <w:pPr>
        <w:spacing w:after="0" w:line="312" w:lineRule="auto"/>
        <w:jc w:val="both"/>
        <w:rPr>
          <w:rFonts w:cs="Helvetica"/>
          <w:b/>
          <w:i/>
          <w:color w:val="595959"/>
        </w:rPr>
      </w:pPr>
    </w:p>
    <w:p w14:paraId="26D39A31" w14:textId="6B5D3DE1" w:rsidR="008B4BBD" w:rsidRPr="003479F0" w:rsidRDefault="008B4BBD" w:rsidP="009E11C8">
      <w:pPr>
        <w:spacing w:after="0" w:line="312" w:lineRule="auto"/>
        <w:jc w:val="both"/>
        <w:rPr>
          <w:rFonts w:cs="Helvetica"/>
          <w:color w:val="595959"/>
        </w:rPr>
      </w:pPr>
      <w:r w:rsidRPr="006D3DDD">
        <w:rPr>
          <w:rFonts w:cs="Helvetica"/>
          <w:b/>
          <w:i/>
          <w:color w:val="595959"/>
        </w:rPr>
        <w:t>Particulate air emissions</w:t>
      </w:r>
      <w:r w:rsidRPr="006D3DDD">
        <w:rPr>
          <w:rFonts w:cs="Helvetica"/>
          <w:color w:val="595959"/>
        </w:rPr>
        <w:t xml:space="preserve"> appear to be </w:t>
      </w:r>
      <w:r w:rsidR="00387D80">
        <w:rPr>
          <w:rFonts w:cs="Helvetica"/>
          <w:color w:val="595959"/>
        </w:rPr>
        <w:t>up</w:t>
      </w:r>
      <w:r w:rsidR="00387D80" w:rsidRPr="006D3DDD">
        <w:rPr>
          <w:rFonts w:cs="Helvetica"/>
          <w:color w:val="595959"/>
        </w:rPr>
        <w:t xml:space="preserve"> </w:t>
      </w:r>
      <w:r w:rsidRPr="006D3DDD">
        <w:rPr>
          <w:rFonts w:cs="Helvetica"/>
          <w:color w:val="595959"/>
        </w:rPr>
        <w:t xml:space="preserve">by </w:t>
      </w:r>
      <w:r w:rsidR="00387D80">
        <w:rPr>
          <w:rFonts w:cs="Helvetica"/>
          <w:color w:val="595959"/>
        </w:rPr>
        <w:t>6</w:t>
      </w:r>
      <w:r w:rsidR="00AC442E">
        <w:rPr>
          <w:rFonts w:cs="Helvetica"/>
          <w:color w:val="595959"/>
        </w:rPr>
        <w:t>2</w:t>
      </w:r>
      <w:r w:rsidRPr="006D3DDD">
        <w:rPr>
          <w:rFonts w:cs="Helvetica"/>
          <w:color w:val="595959"/>
        </w:rPr>
        <w:t>%</w:t>
      </w:r>
      <w:r w:rsidR="009831A3">
        <w:rPr>
          <w:rFonts w:cs="Helvetica"/>
          <w:color w:val="595959"/>
        </w:rPr>
        <w:t xml:space="preserve">.  </w:t>
      </w:r>
      <w:r w:rsidR="00E06E57">
        <w:rPr>
          <w:rFonts w:cs="Helvetica"/>
          <w:color w:val="595959"/>
        </w:rPr>
        <w:t>The rise is mainly caused by the sites in Oceania. Also a new site joined the 2019 survey reported high particulate emission rate.</w:t>
      </w:r>
    </w:p>
    <w:p w14:paraId="1ECEFF87" w14:textId="77777777" w:rsidR="00A82C56" w:rsidRDefault="00A82C56" w:rsidP="009E11C8">
      <w:pPr>
        <w:spacing w:after="0" w:line="312" w:lineRule="auto"/>
        <w:jc w:val="both"/>
        <w:rPr>
          <w:rFonts w:cs="Helvetica"/>
          <w:b/>
          <w:i/>
          <w:color w:val="595959"/>
        </w:rPr>
      </w:pPr>
    </w:p>
    <w:p w14:paraId="1E903D58" w14:textId="1694DE96" w:rsidR="006B2006" w:rsidRDefault="00A82C56" w:rsidP="0069734C">
      <w:pPr>
        <w:spacing w:after="0" w:line="312" w:lineRule="auto"/>
        <w:jc w:val="both"/>
        <w:rPr>
          <w:rFonts w:cs="Helvetica"/>
          <w:color w:val="595959"/>
        </w:rPr>
      </w:pPr>
      <w:r w:rsidRPr="00A82C56">
        <w:rPr>
          <w:rFonts w:cs="Helvetica"/>
          <w:b/>
          <w:i/>
          <w:color w:val="595959"/>
        </w:rPr>
        <w:t>Mine solid waste</w:t>
      </w:r>
      <w:r w:rsidRPr="00A82C56">
        <w:rPr>
          <w:rFonts w:cs="Helvetica"/>
          <w:i/>
          <w:color w:val="595959"/>
        </w:rPr>
        <w:t xml:space="preserve"> </w:t>
      </w:r>
      <w:r w:rsidRPr="00A90430">
        <w:rPr>
          <w:rFonts w:cs="Helvetica"/>
          <w:color w:val="595959"/>
        </w:rPr>
        <w:t xml:space="preserve">has </w:t>
      </w:r>
      <w:r w:rsidR="00E00354">
        <w:rPr>
          <w:rFonts w:cs="Helvetica"/>
          <w:color w:val="595959"/>
        </w:rPr>
        <w:t>decrease</w:t>
      </w:r>
      <w:r w:rsidR="00E00354" w:rsidRPr="00A90430">
        <w:rPr>
          <w:rFonts w:cs="Helvetica"/>
          <w:color w:val="595959"/>
        </w:rPr>
        <w:t xml:space="preserve">d </w:t>
      </w:r>
      <w:r w:rsidRPr="00A90430">
        <w:rPr>
          <w:rFonts w:cs="Helvetica"/>
          <w:color w:val="595959"/>
        </w:rPr>
        <w:t xml:space="preserve">since </w:t>
      </w:r>
      <w:r w:rsidR="00E00354" w:rsidRPr="00A90430">
        <w:rPr>
          <w:rFonts w:cs="Helvetica"/>
          <w:color w:val="595959"/>
        </w:rPr>
        <w:t>201</w:t>
      </w:r>
      <w:r w:rsidR="00E00354">
        <w:rPr>
          <w:rFonts w:cs="Helvetica"/>
          <w:color w:val="595959"/>
        </w:rPr>
        <w:t>5</w:t>
      </w:r>
      <w:r w:rsidR="00E00354" w:rsidRPr="00A90430">
        <w:rPr>
          <w:rFonts w:cs="Helvetica"/>
          <w:color w:val="595959"/>
        </w:rPr>
        <w:t xml:space="preserve"> </w:t>
      </w:r>
      <w:r w:rsidR="00E00354">
        <w:rPr>
          <w:rFonts w:cs="Helvetica"/>
          <w:color w:val="595959"/>
        </w:rPr>
        <w:t xml:space="preserve">by </w:t>
      </w:r>
      <w:r w:rsidR="00D806D6">
        <w:rPr>
          <w:rFonts w:cs="Helvetica"/>
          <w:color w:val="595959"/>
        </w:rPr>
        <w:t>23%</w:t>
      </w:r>
      <w:r w:rsidR="0069734C">
        <w:rPr>
          <w:rFonts w:cs="Helvetica"/>
          <w:color w:val="595959"/>
        </w:rPr>
        <w:t xml:space="preserve">, </w:t>
      </w:r>
      <w:r w:rsidR="003737A8">
        <w:rPr>
          <w:rFonts w:cs="Helvetica"/>
          <w:color w:val="595959"/>
        </w:rPr>
        <w:t>which is also driven by the sites in Oceania. The rest sites that reported to both 2015 and 2019 surveys maintained a stable performance.</w:t>
      </w:r>
      <w:bookmarkStart w:id="99" w:name="_Toc480555212"/>
      <w:bookmarkStart w:id="100" w:name="_Toc480555298"/>
      <w:bookmarkStart w:id="101" w:name="_Toc480555384"/>
      <w:bookmarkStart w:id="102" w:name="_Toc480555466"/>
      <w:bookmarkEnd w:id="99"/>
      <w:bookmarkEnd w:id="100"/>
      <w:bookmarkEnd w:id="101"/>
      <w:bookmarkEnd w:id="102"/>
    </w:p>
    <w:p w14:paraId="682BCE0C" w14:textId="77777777" w:rsidR="00634F72" w:rsidRPr="0069734C" w:rsidRDefault="00634F72" w:rsidP="0069734C">
      <w:pPr>
        <w:spacing w:after="0" w:line="312" w:lineRule="auto"/>
        <w:jc w:val="both"/>
        <w:rPr>
          <w:rFonts w:cs="Helvetica"/>
          <w:b/>
          <w:bCs/>
          <w:i/>
          <w:color w:val="595959"/>
          <w:szCs w:val="22"/>
        </w:rPr>
      </w:pPr>
    </w:p>
    <w:p w14:paraId="1E8E0C12" w14:textId="77777777" w:rsidR="00C66603" w:rsidRPr="000D0304" w:rsidRDefault="00C66603" w:rsidP="00DA5301">
      <w:pPr>
        <w:pStyle w:val="Heading3"/>
      </w:pPr>
      <w:bookmarkStart w:id="103" w:name="_Toc480971410"/>
      <w:bookmarkStart w:id="104" w:name="_Toc363829107"/>
      <w:bookmarkStart w:id="105" w:name="_Toc120111930"/>
      <w:bookmarkEnd w:id="103"/>
      <w:r w:rsidRPr="000D0304">
        <w:t>Alumina Production</w:t>
      </w:r>
      <w:bookmarkEnd w:id="104"/>
      <w:bookmarkEnd w:id="105"/>
    </w:p>
    <w:p w14:paraId="4A71E3BB" w14:textId="77777777" w:rsidR="003506FA" w:rsidRDefault="003506FA" w:rsidP="00DA5301">
      <w:pPr>
        <w:pStyle w:val="Heading4"/>
        <w:numPr>
          <w:ilvl w:val="3"/>
          <w:numId w:val="61"/>
        </w:numPr>
      </w:pPr>
      <w:bookmarkStart w:id="106" w:name="_Toc120111931"/>
      <w:r w:rsidRPr="000D0304">
        <w:t>Data Driven Differences</w:t>
      </w:r>
      <w:bookmarkEnd w:id="106"/>
      <w:r w:rsidRPr="000D0304">
        <w:t xml:space="preserve"> </w:t>
      </w:r>
    </w:p>
    <w:p w14:paraId="610E4191" w14:textId="0D8049AB" w:rsidR="00A267A8" w:rsidRPr="0089487D" w:rsidRDefault="00A267A8" w:rsidP="001A5B9F">
      <w:pPr>
        <w:spacing w:before="120" w:after="0" w:line="312" w:lineRule="auto"/>
        <w:jc w:val="right"/>
        <w:rPr>
          <w:rFonts w:cs="Helvetica"/>
          <w:b/>
          <w:color w:val="595959"/>
        </w:rPr>
      </w:pPr>
    </w:p>
    <w:p w14:paraId="6E03DB89" w14:textId="31E33C9E" w:rsidR="00670568" w:rsidRDefault="00670568" w:rsidP="00670568">
      <w:pPr>
        <w:spacing w:after="0" w:line="312" w:lineRule="auto"/>
        <w:jc w:val="both"/>
        <w:rPr>
          <w:rFonts w:cs="Helvetica"/>
          <w:color w:val="595959"/>
        </w:rPr>
      </w:pPr>
      <w:r>
        <w:rPr>
          <w:rFonts w:cs="Helvetica"/>
          <w:b/>
          <w:i/>
          <w:color w:val="595959"/>
        </w:rPr>
        <w:t xml:space="preserve">Particulate emissions </w:t>
      </w:r>
      <w:r w:rsidRPr="0064195B">
        <w:rPr>
          <w:rFonts w:cs="Helvetica"/>
          <w:color w:val="595959"/>
        </w:rPr>
        <w:t>have decreased</w:t>
      </w:r>
      <w:r w:rsidRPr="0064195B">
        <w:rPr>
          <w:rFonts w:cs="Helvetica"/>
          <w:b/>
          <w:color w:val="595959"/>
        </w:rPr>
        <w:t xml:space="preserve"> </w:t>
      </w:r>
      <w:r w:rsidR="00DE70CD">
        <w:rPr>
          <w:rFonts w:cs="Helvetica"/>
          <w:color w:val="595959"/>
        </w:rPr>
        <w:t>due to</w:t>
      </w:r>
      <w:r w:rsidRPr="0064195B">
        <w:rPr>
          <w:rFonts w:cs="Helvetica"/>
          <w:color w:val="595959"/>
        </w:rPr>
        <w:t xml:space="preserve"> </w:t>
      </w:r>
      <w:r w:rsidR="0032050D">
        <w:rPr>
          <w:rFonts w:cs="Helvetica"/>
          <w:color w:val="595959"/>
        </w:rPr>
        <w:t xml:space="preserve">increased </w:t>
      </w:r>
      <w:r w:rsidR="00A83416">
        <w:rPr>
          <w:rFonts w:cs="Helvetica"/>
          <w:color w:val="595959"/>
        </w:rPr>
        <w:t xml:space="preserve">reporting facilities, from 15 refineries in 8 countries to 22 refineries in </w:t>
      </w:r>
      <w:r w:rsidR="0007581D">
        <w:rPr>
          <w:rFonts w:cs="Helvetica"/>
          <w:color w:val="595959"/>
        </w:rPr>
        <w:t xml:space="preserve">11 countries. </w:t>
      </w:r>
      <w:r w:rsidR="00FF6AF5">
        <w:rPr>
          <w:rFonts w:cs="Helvetica"/>
          <w:color w:val="595959"/>
        </w:rPr>
        <w:t>F</w:t>
      </w:r>
      <w:r w:rsidR="00845C79">
        <w:rPr>
          <w:rFonts w:cs="Helvetica"/>
          <w:color w:val="595959"/>
        </w:rPr>
        <w:t xml:space="preserve">acilities </w:t>
      </w:r>
      <w:r w:rsidR="00FF6AF5">
        <w:rPr>
          <w:rFonts w:cs="Helvetica"/>
          <w:color w:val="595959"/>
        </w:rPr>
        <w:t xml:space="preserve">that </w:t>
      </w:r>
      <w:r w:rsidR="00845C79">
        <w:rPr>
          <w:rFonts w:cs="Helvetica"/>
          <w:color w:val="595959"/>
        </w:rPr>
        <w:t xml:space="preserve">reported to both 2015 and 2019 </w:t>
      </w:r>
      <w:r w:rsidR="00C15968">
        <w:rPr>
          <w:rFonts w:cs="Helvetica"/>
          <w:color w:val="595959"/>
        </w:rPr>
        <w:t>surveys</w:t>
      </w:r>
      <w:r w:rsidR="00FF6AF5">
        <w:rPr>
          <w:rFonts w:cs="Helvetica"/>
          <w:color w:val="595959"/>
        </w:rPr>
        <w:t xml:space="preserve">, some have </w:t>
      </w:r>
      <w:r w:rsidR="00F91D7B">
        <w:rPr>
          <w:rFonts w:cs="Helvetica"/>
          <w:color w:val="595959"/>
        </w:rPr>
        <w:t xml:space="preserve">reported </w:t>
      </w:r>
      <w:r w:rsidR="00155824">
        <w:rPr>
          <w:rFonts w:cs="Helvetica"/>
          <w:color w:val="595959"/>
        </w:rPr>
        <w:t>increased</w:t>
      </w:r>
      <w:r w:rsidR="00FF6AF5">
        <w:rPr>
          <w:rFonts w:cs="Helvetica"/>
          <w:color w:val="595959"/>
        </w:rPr>
        <w:t xml:space="preserve"> particulate emission</w:t>
      </w:r>
      <w:r w:rsidR="00155824">
        <w:rPr>
          <w:rFonts w:cs="Helvetica"/>
          <w:color w:val="595959"/>
        </w:rPr>
        <w:t>s.</w:t>
      </w:r>
      <w:r w:rsidR="00C15968">
        <w:rPr>
          <w:rFonts w:cs="Helvetica"/>
          <w:color w:val="595959"/>
        </w:rPr>
        <w:t xml:space="preserve"> </w:t>
      </w:r>
    </w:p>
    <w:p w14:paraId="180FD235" w14:textId="77777777" w:rsidR="00B0783D" w:rsidRPr="0064195B" w:rsidRDefault="00B0783D" w:rsidP="00670568">
      <w:pPr>
        <w:spacing w:after="0" w:line="312" w:lineRule="auto"/>
        <w:jc w:val="both"/>
        <w:rPr>
          <w:rFonts w:cs="Helvetica"/>
          <w:color w:val="595959"/>
        </w:rPr>
      </w:pPr>
    </w:p>
    <w:p w14:paraId="574C16A5" w14:textId="147911DE" w:rsidR="006F502F" w:rsidRDefault="006F502F" w:rsidP="006F502F">
      <w:pPr>
        <w:spacing w:after="0" w:line="312" w:lineRule="auto"/>
        <w:jc w:val="both"/>
        <w:rPr>
          <w:rFonts w:cs="Helvetica"/>
          <w:color w:val="595959"/>
        </w:rPr>
      </w:pPr>
      <w:r>
        <w:rPr>
          <w:rFonts w:cs="Helvetica"/>
          <w:b/>
          <w:i/>
          <w:color w:val="595959"/>
        </w:rPr>
        <w:lastRenderedPageBreak/>
        <w:t>Fresh</w:t>
      </w:r>
      <w:r w:rsidRPr="00A27C9B">
        <w:rPr>
          <w:rFonts w:cs="Helvetica"/>
          <w:b/>
          <w:i/>
          <w:color w:val="595959"/>
        </w:rPr>
        <w:t xml:space="preserve">water input and </w:t>
      </w:r>
      <w:r w:rsidRPr="00693DF0">
        <w:rPr>
          <w:rFonts w:cs="Helvetica"/>
          <w:b/>
          <w:i/>
          <w:color w:val="595959"/>
        </w:rPr>
        <w:t>output</w:t>
      </w:r>
      <w:r>
        <w:rPr>
          <w:rFonts w:cs="Helvetica"/>
          <w:color w:val="595959"/>
        </w:rPr>
        <w:t xml:space="preserve"> is collected from </w:t>
      </w:r>
      <w:r w:rsidR="00C76127">
        <w:rPr>
          <w:rFonts w:cs="Helvetica"/>
          <w:color w:val="595959"/>
        </w:rPr>
        <w:t>23</w:t>
      </w:r>
      <w:r>
        <w:rPr>
          <w:rFonts w:cs="Helvetica"/>
          <w:color w:val="595959"/>
        </w:rPr>
        <w:t xml:space="preserve"> facilities across </w:t>
      </w:r>
      <w:r w:rsidR="00C76127">
        <w:rPr>
          <w:rFonts w:cs="Helvetica"/>
          <w:color w:val="595959"/>
        </w:rPr>
        <w:t>12</w:t>
      </w:r>
      <w:r>
        <w:rPr>
          <w:rFonts w:cs="Helvetica"/>
          <w:color w:val="595959"/>
        </w:rPr>
        <w:t xml:space="preserve"> countries, whilst the 2015 data was collected from 1</w:t>
      </w:r>
      <w:r w:rsidR="00817BCC">
        <w:rPr>
          <w:rFonts w:cs="Helvetica"/>
          <w:color w:val="595959"/>
        </w:rPr>
        <w:t>6</w:t>
      </w:r>
      <w:r>
        <w:rPr>
          <w:rFonts w:cs="Helvetica"/>
          <w:color w:val="595959"/>
        </w:rPr>
        <w:t xml:space="preserve"> facilities from </w:t>
      </w:r>
      <w:r w:rsidR="00817BCC">
        <w:rPr>
          <w:rFonts w:cs="Helvetica"/>
          <w:color w:val="595959"/>
        </w:rPr>
        <w:t>8</w:t>
      </w:r>
      <w:r>
        <w:rPr>
          <w:rFonts w:cs="Helvetica"/>
          <w:color w:val="595959"/>
        </w:rPr>
        <w:t xml:space="preserve"> different countries. The average freshwater consumption has increased from </w:t>
      </w:r>
      <w:r w:rsidR="002A1D40">
        <w:rPr>
          <w:rFonts w:cs="Helvetica"/>
          <w:color w:val="595959"/>
        </w:rPr>
        <w:t>1.2</w:t>
      </w:r>
      <w:r>
        <w:rPr>
          <w:rFonts w:cs="Helvetica"/>
          <w:color w:val="595959"/>
        </w:rPr>
        <w:t xml:space="preserve"> </w:t>
      </w:r>
      <w:r w:rsidRPr="00A27C9B">
        <w:rPr>
          <w:rFonts w:cs="Helvetica"/>
          <w:color w:val="595959"/>
        </w:rPr>
        <w:t>m</w:t>
      </w:r>
      <w:r w:rsidRPr="00273927">
        <w:rPr>
          <w:rFonts w:cs="Helvetica"/>
          <w:color w:val="595959"/>
          <w:vertAlign w:val="superscript"/>
        </w:rPr>
        <w:t>3</w:t>
      </w:r>
      <w:r w:rsidRPr="00A27C9B">
        <w:rPr>
          <w:rFonts w:cs="Helvetica"/>
          <w:color w:val="595959"/>
        </w:rPr>
        <w:t>/t Al ingot</w:t>
      </w:r>
      <w:r>
        <w:rPr>
          <w:rFonts w:cs="Helvetica"/>
          <w:color w:val="595959"/>
        </w:rPr>
        <w:t xml:space="preserve"> to </w:t>
      </w:r>
      <w:r w:rsidR="002A1D40">
        <w:rPr>
          <w:rFonts w:cs="Helvetica"/>
          <w:color w:val="595959"/>
        </w:rPr>
        <w:t>5</w:t>
      </w:r>
      <w:r>
        <w:rPr>
          <w:rFonts w:cs="Helvetica"/>
          <w:color w:val="595959"/>
        </w:rPr>
        <w:t xml:space="preserve">.4 </w:t>
      </w:r>
      <w:r w:rsidRPr="00A27C9B">
        <w:rPr>
          <w:rFonts w:cs="Helvetica"/>
          <w:color w:val="595959"/>
        </w:rPr>
        <w:t>m</w:t>
      </w:r>
      <w:r w:rsidRPr="00273927">
        <w:rPr>
          <w:rFonts w:cs="Helvetica"/>
          <w:color w:val="595959"/>
          <w:vertAlign w:val="superscript"/>
        </w:rPr>
        <w:t>3</w:t>
      </w:r>
      <w:r w:rsidRPr="00A27C9B">
        <w:rPr>
          <w:rFonts w:cs="Helvetica"/>
          <w:color w:val="595959"/>
        </w:rPr>
        <w:t>/t Al ingot</w:t>
      </w:r>
      <w:r w:rsidR="002A1D40">
        <w:rPr>
          <w:rFonts w:cs="Helvetica"/>
          <w:color w:val="595959"/>
        </w:rPr>
        <w:t>.</w:t>
      </w:r>
    </w:p>
    <w:p w14:paraId="1D0D912F" w14:textId="77777777" w:rsidR="006F502F" w:rsidRDefault="006F502F" w:rsidP="006F502F">
      <w:pPr>
        <w:spacing w:after="0" w:line="312" w:lineRule="auto"/>
        <w:jc w:val="both"/>
        <w:rPr>
          <w:rFonts w:cs="Helvetica"/>
          <w:b/>
          <w:i/>
          <w:color w:val="595959"/>
        </w:rPr>
      </w:pPr>
    </w:p>
    <w:p w14:paraId="5A9D156F" w14:textId="491D2E36" w:rsidR="006F502F" w:rsidRDefault="006F502F" w:rsidP="006F502F">
      <w:pPr>
        <w:spacing w:after="0" w:line="312" w:lineRule="auto"/>
        <w:jc w:val="both"/>
        <w:rPr>
          <w:rFonts w:cs="Helvetica"/>
          <w:color w:val="595959"/>
        </w:rPr>
      </w:pPr>
      <w:r w:rsidRPr="00A27C9B">
        <w:rPr>
          <w:rFonts w:cs="Helvetica"/>
          <w:b/>
          <w:i/>
          <w:color w:val="595959"/>
        </w:rPr>
        <w:t xml:space="preserve">Sea water input and </w:t>
      </w:r>
      <w:r w:rsidRPr="00693DF0">
        <w:rPr>
          <w:rFonts w:cs="Helvetica"/>
          <w:b/>
          <w:i/>
          <w:color w:val="595959"/>
        </w:rPr>
        <w:t>output</w:t>
      </w:r>
      <w:r w:rsidRPr="00A27C9B">
        <w:rPr>
          <w:rFonts w:cs="Helvetica"/>
          <w:b/>
          <w:color w:val="595959"/>
        </w:rPr>
        <w:t xml:space="preserve"> </w:t>
      </w:r>
      <w:r w:rsidRPr="00A27C9B">
        <w:rPr>
          <w:rFonts w:cs="Helvetica"/>
          <w:color w:val="595959"/>
        </w:rPr>
        <w:t xml:space="preserve">is </w:t>
      </w:r>
      <w:r w:rsidR="00B13788">
        <w:rPr>
          <w:rFonts w:cs="Helvetica"/>
          <w:color w:val="595959"/>
        </w:rPr>
        <w:t>reported by more facilities for 2019</w:t>
      </w:r>
      <w:r w:rsidR="00085ED3">
        <w:rPr>
          <w:rFonts w:cs="Helvetica"/>
          <w:color w:val="595959"/>
        </w:rPr>
        <w:t xml:space="preserve"> as there was only one</w:t>
      </w:r>
      <w:r w:rsidRPr="00A27C9B">
        <w:rPr>
          <w:rFonts w:cs="Helvetica"/>
          <w:color w:val="595959"/>
        </w:rPr>
        <w:t xml:space="preserve"> facility reported sea water input and output in </w:t>
      </w:r>
      <w:r>
        <w:rPr>
          <w:rFonts w:cs="Helvetica"/>
          <w:color w:val="595959"/>
        </w:rPr>
        <w:t xml:space="preserve">the </w:t>
      </w:r>
      <w:r w:rsidRPr="00A27C9B">
        <w:rPr>
          <w:rFonts w:cs="Helvetica"/>
          <w:color w:val="595959"/>
        </w:rPr>
        <w:t>201</w:t>
      </w:r>
      <w:r>
        <w:rPr>
          <w:rFonts w:cs="Helvetica"/>
          <w:color w:val="595959"/>
        </w:rPr>
        <w:t xml:space="preserve">5 survey. </w:t>
      </w:r>
    </w:p>
    <w:p w14:paraId="56945F49" w14:textId="77777777" w:rsidR="00670568" w:rsidRDefault="00670568" w:rsidP="006F502F">
      <w:pPr>
        <w:spacing w:after="0" w:line="312" w:lineRule="auto"/>
        <w:jc w:val="both"/>
        <w:rPr>
          <w:rFonts w:cs="Helvetica"/>
          <w:color w:val="595959"/>
        </w:rPr>
      </w:pPr>
    </w:p>
    <w:p w14:paraId="13A4C091" w14:textId="36C9829D" w:rsidR="00670568" w:rsidRDefault="00BA2E65" w:rsidP="00670568">
      <w:pPr>
        <w:spacing w:after="0" w:line="312" w:lineRule="auto"/>
        <w:jc w:val="both"/>
        <w:rPr>
          <w:rFonts w:cs="Helvetica"/>
          <w:color w:val="595959"/>
        </w:rPr>
      </w:pPr>
      <w:r w:rsidRPr="00BA2E65">
        <w:rPr>
          <w:rFonts w:cs="Helvetica"/>
          <w:b/>
          <w:i/>
          <w:color w:val="595959"/>
        </w:rPr>
        <w:t>SF</w:t>
      </w:r>
      <w:r w:rsidRPr="00BA2E65">
        <w:rPr>
          <w:rFonts w:cs="Helvetica"/>
          <w:b/>
          <w:i/>
          <w:color w:val="595959"/>
          <w:vertAlign w:val="subscript"/>
        </w:rPr>
        <w:t>6</w:t>
      </w:r>
      <w:r w:rsidR="00670568">
        <w:rPr>
          <w:rFonts w:cs="Helvetica"/>
          <w:b/>
          <w:i/>
          <w:color w:val="595959"/>
        </w:rPr>
        <w:t xml:space="preserve"> </w:t>
      </w:r>
      <w:r>
        <w:rPr>
          <w:rFonts w:cs="Helvetica"/>
          <w:b/>
          <w:i/>
          <w:color w:val="595959"/>
        </w:rPr>
        <w:t xml:space="preserve">emissions into the air </w:t>
      </w:r>
      <w:r>
        <w:rPr>
          <w:rFonts w:cs="Helvetica"/>
          <w:color w:val="595959"/>
        </w:rPr>
        <w:t>h</w:t>
      </w:r>
      <w:r w:rsidR="00670568">
        <w:rPr>
          <w:rFonts w:cs="Helvetica"/>
          <w:color w:val="595959"/>
        </w:rPr>
        <w:t>ave been included for the first time in the 201</w:t>
      </w:r>
      <w:r>
        <w:rPr>
          <w:rFonts w:cs="Helvetica"/>
          <w:color w:val="595959"/>
        </w:rPr>
        <w:t>9</w:t>
      </w:r>
      <w:r w:rsidR="00670568">
        <w:rPr>
          <w:rFonts w:cs="Helvetica"/>
          <w:color w:val="595959"/>
        </w:rPr>
        <w:t xml:space="preserve"> inventory</w:t>
      </w:r>
      <w:r>
        <w:rPr>
          <w:rFonts w:cs="Helvetica"/>
          <w:color w:val="595959"/>
        </w:rPr>
        <w:t>.</w:t>
      </w:r>
    </w:p>
    <w:p w14:paraId="36334F95" w14:textId="77777777" w:rsidR="008E5F10" w:rsidRDefault="008E5F10" w:rsidP="00670568">
      <w:pPr>
        <w:spacing w:after="0" w:line="312" w:lineRule="auto"/>
        <w:jc w:val="both"/>
        <w:rPr>
          <w:rFonts w:cs="Helvetica"/>
          <w:color w:val="595959"/>
        </w:rPr>
      </w:pPr>
    </w:p>
    <w:p w14:paraId="0AB24F49" w14:textId="3A6D2353" w:rsidR="008E5F10" w:rsidRDefault="008E5F10" w:rsidP="008E5F10">
      <w:pPr>
        <w:spacing w:after="0" w:line="312" w:lineRule="auto"/>
        <w:jc w:val="both"/>
        <w:rPr>
          <w:rFonts w:cs="Helvetica"/>
          <w:color w:val="595959"/>
        </w:rPr>
      </w:pPr>
      <w:r w:rsidRPr="00F83C2A">
        <w:rPr>
          <w:rFonts w:cs="Helvetica"/>
          <w:b/>
          <w:i/>
          <w:color w:val="595959"/>
        </w:rPr>
        <w:t>Bauxite residue recycled</w:t>
      </w:r>
      <w:r w:rsidRPr="00F83C2A">
        <w:rPr>
          <w:rFonts w:cs="Helvetica"/>
          <w:color w:val="454545" w:themeColor="text1"/>
        </w:rPr>
        <w:t xml:space="preserve"> </w:t>
      </w:r>
      <w:r w:rsidR="00652D02">
        <w:rPr>
          <w:rFonts w:cs="Helvetica"/>
          <w:color w:val="595959"/>
        </w:rPr>
        <w:t>decreased between 2015 and 2019.  There is ongoing research of bauxite residue utilisation, but mass application of bauxite residue in commercial applications (e.g.</w:t>
      </w:r>
      <w:r w:rsidR="00443F19">
        <w:rPr>
          <w:rFonts w:cs="Helvetica"/>
          <w:color w:val="595959"/>
        </w:rPr>
        <w:t xml:space="preserve"> </w:t>
      </w:r>
      <w:r w:rsidR="00652D02">
        <w:rPr>
          <w:rFonts w:cs="Helvetica"/>
          <w:color w:val="595959"/>
        </w:rPr>
        <w:t xml:space="preserve">cement production, refractories and landfill covering) takes time.  Further details on bauxite residue management are available on the </w:t>
      </w:r>
      <w:r w:rsidR="00652D02" w:rsidRPr="006C7F49">
        <w:rPr>
          <w:rFonts w:cs="Helvetica"/>
          <w:color w:val="595959"/>
        </w:rPr>
        <w:t xml:space="preserve">IAI’s </w:t>
      </w:r>
      <w:r w:rsidR="00652D02">
        <w:rPr>
          <w:rFonts w:cs="Helvetica"/>
          <w:color w:val="595959"/>
        </w:rPr>
        <w:t>website.</w:t>
      </w:r>
    </w:p>
    <w:p w14:paraId="2A065D4D" w14:textId="77777777" w:rsidR="007A4FF4" w:rsidRPr="00036C96" w:rsidRDefault="007A4FF4" w:rsidP="00DE37A7">
      <w:pPr>
        <w:pStyle w:val="Heading4"/>
        <w:numPr>
          <w:ilvl w:val="3"/>
          <w:numId w:val="61"/>
        </w:numPr>
      </w:pPr>
      <w:bookmarkStart w:id="107" w:name="_Toc120111932"/>
      <w:r w:rsidRPr="000D0304">
        <w:t>Performance Driven Differences</w:t>
      </w:r>
      <w:bookmarkEnd w:id="107"/>
    </w:p>
    <w:p w14:paraId="36922DC2" w14:textId="78866994" w:rsidR="002D17B9" w:rsidRPr="00F83C2A" w:rsidRDefault="0069734C" w:rsidP="00B86E2D">
      <w:pPr>
        <w:spacing w:after="0" w:line="312" w:lineRule="auto"/>
        <w:jc w:val="both"/>
        <w:rPr>
          <w:rFonts w:cs="Helvetica"/>
          <w:b/>
          <w:i/>
          <w:color w:val="595959"/>
        </w:rPr>
      </w:pPr>
      <w:r>
        <w:rPr>
          <w:rFonts w:cs="Helvetica"/>
          <w:b/>
          <w:i/>
          <w:color w:val="595959"/>
        </w:rPr>
        <w:t xml:space="preserve">Energy </w:t>
      </w:r>
      <w:r w:rsidR="002A3F14">
        <w:rPr>
          <w:rFonts w:cs="Helvetica"/>
          <w:b/>
          <w:i/>
          <w:color w:val="595959"/>
        </w:rPr>
        <w:t>m</w:t>
      </w:r>
      <w:r w:rsidR="002D17B9" w:rsidRPr="00F83C2A">
        <w:rPr>
          <w:rFonts w:cs="Helvetica"/>
          <w:b/>
          <w:i/>
          <w:color w:val="595959"/>
        </w:rPr>
        <w:t>ix</w:t>
      </w:r>
    </w:p>
    <w:p w14:paraId="0A56FAB8" w14:textId="5B5E7D13" w:rsidR="002D17B9" w:rsidRDefault="002D17B9" w:rsidP="00343530">
      <w:pPr>
        <w:spacing w:after="0" w:line="312" w:lineRule="auto"/>
        <w:jc w:val="both"/>
        <w:rPr>
          <w:rFonts w:cs="Helvetica"/>
          <w:color w:val="595959"/>
        </w:rPr>
      </w:pPr>
      <w:r>
        <w:rPr>
          <w:rFonts w:cs="Helvetica"/>
          <w:color w:val="595959"/>
        </w:rPr>
        <w:t xml:space="preserve">Differences in </w:t>
      </w:r>
      <w:r w:rsidR="0069734C">
        <w:rPr>
          <w:rFonts w:cs="Helvetica"/>
          <w:color w:val="595959"/>
        </w:rPr>
        <w:t>energy</w:t>
      </w:r>
      <w:r>
        <w:rPr>
          <w:rFonts w:cs="Helvetica"/>
          <w:color w:val="595959"/>
        </w:rPr>
        <w:t xml:space="preserve"> mix between </w:t>
      </w:r>
      <w:r w:rsidR="002C1CCC">
        <w:rPr>
          <w:rFonts w:cs="Helvetica"/>
          <w:color w:val="595959"/>
        </w:rPr>
        <w:t xml:space="preserve">2015 </w:t>
      </w:r>
      <w:r>
        <w:rPr>
          <w:rFonts w:cs="Helvetica"/>
          <w:color w:val="595959"/>
        </w:rPr>
        <w:t xml:space="preserve">and </w:t>
      </w:r>
      <w:r w:rsidR="002C1CCC">
        <w:rPr>
          <w:rFonts w:cs="Helvetica"/>
          <w:color w:val="595959"/>
        </w:rPr>
        <w:t xml:space="preserve">2019 </w:t>
      </w:r>
      <w:r>
        <w:rPr>
          <w:rFonts w:cs="Helvetica"/>
          <w:color w:val="595959"/>
        </w:rPr>
        <w:t xml:space="preserve">data are summarised in </w:t>
      </w:r>
      <w:r w:rsidR="00360851">
        <w:rPr>
          <w:rFonts w:cs="Helvetica"/>
          <w:color w:val="595959"/>
        </w:rPr>
        <w:t xml:space="preserve">Table </w:t>
      </w:r>
      <w:r w:rsidR="00B63273">
        <w:rPr>
          <w:rFonts w:cs="Helvetica"/>
          <w:color w:val="595959"/>
        </w:rPr>
        <w:t>4</w:t>
      </w:r>
      <w:r w:rsidR="009831A3">
        <w:rPr>
          <w:rFonts w:cs="Helvetica"/>
          <w:color w:val="595959"/>
        </w:rPr>
        <w:t xml:space="preserve">.  </w:t>
      </w:r>
      <w:r>
        <w:rPr>
          <w:rFonts w:cs="Helvetica"/>
          <w:color w:val="595959"/>
        </w:rPr>
        <w:t xml:space="preserve">The data </w:t>
      </w:r>
      <w:r w:rsidR="00693DF0">
        <w:rPr>
          <w:rFonts w:cs="Helvetica"/>
          <w:color w:val="595959"/>
        </w:rPr>
        <w:t>indicate</w:t>
      </w:r>
      <w:r>
        <w:rPr>
          <w:rFonts w:cs="Helvetica"/>
          <w:color w:val="595959"/>
        </w:rPr>
        <w:t xml:space="preserve"> a </w:t>
      </w:r>
      <w:r w:rsidR="0069734C">
        <w:rPr>
          <w:rFonts w:cs="Helvetica"/>
          <w:color w:val="595959"/>
        </w:rPr>
        <w:t>reduction in energy consumption of each type of energy</w:t>
      </w:r>
      <w:r w:rsidR="009831A3">
        <w:rPr>
          <w:rFonts w:cs="Helvetica"/>
          <w:color w:val="595959"/>
        </w:rPr>
        <w:t xml:space="preserve">.  </w:t>
      </w:r>
      <w:r w:rsidR="00340C37">
        <w:rPr>
          <w:rFonts w:cs="Helvetica"/>
          <w:color w:val="595959"/>
        </w:rPr>
        <w:t>The change is largely driven by the region of Asia and North America.</w:t>
      </w:r>
    </w:p>
    <w:p w14:paraId="7DC86DD4" w14:textId="77777777" w:rsidR="00634F72" w:rsidRDefault="00634F72" w:rsidP="00343530">
      <w:pPr>
        <w:spacing w:after="0" w:line="312" w:lineRule="auto"/>
        <w:jc w:val="both"/>
        <w:rPr>
          <w:rFonts w:cs="Helvetica"/>
          <w:color w:val="595959"/>
        </w:rPr>
      </w:pPr>
    </w:p>
    <w:tbl>
      <w:tblPr>
        <w:tblStyle w:val="PlainTable1"/>
        <w:tblW w:w="0" w:type="auto"/>
        <w:jc w:val="center"/>
        <w:tblLayout w:type="fixed"/>
        <w:tblLook w:val="04A0" w:firstRow="1" w:lastRow="0" w:firstColumn="1" w:lastColumn="0" w:noHBand="0" w:noVBand="1"/>
      </w:tblPr>
      <w:tblGrid>
        <w:gridCol w:w="1630"/>
        <w:gridCol w:w="1630"/>
        <w:gridCol w:w="1630"/>
        <w:gridCol w:w="1631"/>
      </w:tblGrid>
      <w:tr w:rsidR="002D17B9" w:rsidRPr="000914EE" w14:paraId="1A04AAC0" w14:textId="77777777" w:rsidTr="002023E0">
        <w:trPr>
          <w:cnfStyle w:val="100000000000" w:firstRow="1" w:lastRow="0" w:firstColumn="0" w:lastColumn="0" w:oddVBand="0" w:evenVBand="0" w:oddHBand="0"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1630" w:type="dxa"/>
            <w:noWrap/>
            <w:hideMark/>
          </w:tcPr>
          <w:p w14:paraId="45DD2CDA" w14:textId="18541C0A" w:rsidR="002D17B9" w:rsidRPr="0069734C" w:rsidRDefault="000914EE" w:rsidP="000D0304">
            <w:pPr>
              <w:spacing w:before="120" w:after="0" w:line="312" w:lineRule="auto"/>
              <w:jc w:val="center"/>
              <w:rPr>
                <w:color w:val="595959"/>
                <w:szCs w:val="18"/>
                <w:lang w:eastAsia="en-GB"/>
              </w:rPr>
            </w:pPr>
            <w:r w:rsidRPr="0069734C">
              <w:rPr>
                <w:color w:val="595959"/>
                <w:szCs w:val="18"/>
                <w:lang w:eastAsia="en-GB"/>
              </w:rPr>
              <w:t>Fuel Type</w:t>
            </w:r>
          </w:p>
        </w:tc>
        <w:tc>
          <w:tcPr>
            <w:tcW w:w="1630" w:type="dxa"/>
            <w:noWrap/>
            <w:hideMark/>
          </w:tcPr>
          <w:p w14:paraId="510E7006" w14:textId="67686D26" w:rsidR="002D17B9" w:rsidRPr="0069734C" w:rsidRDefault="000914EE" w:rsidP="000D0304">
            <w:pPr>
              <w:spacing w:before="120" w:after="0" w:line="312" w:lineRule="auto"/>
              <w:jc w:val="center"/>
              <w:cnfStyle w:val="100000000000" w:firstRow="1" w:lastRow="0" w:firstColumn="0" w:lastColumn="0" w:oddVBand="0" w:evenVBand="0" w:oddHBand="0" w:evenHBand="0" w:firstRowFirstColumn="0" w:firstRowLastColumn="0" w:lastRowFirstColumn="0" w:lastRowLastColumn="0"/>
              <w:rPr>
                <w:color w:val="595959"/>
                <w:szCs w:val="18"/>
                <w:lang w:eastAsia="en-GB"/>
              </w:rPr>
            </w:pPr>
            <w:r w:rsidRPr="0069734C">
              <w:rPr>
                <w:color w:val="595959"/>
                <w:szCs w:val="18"/>
                <w:lang w:eastAsia="en-GB"/>
              </w:rPr>
              <w:t>Unit</w:t>
            </w:r>
          </w:p>
        </w:tc>
        <w:tc>
          <w:tcPr>
            <w:tcW w:w="1630" w:type="dxa"/>
            <w:noWrap/>
            <w:hideMark/>
          </w:tcPr>
          <w:p w14:paraId="31EC854D" w14:textId="3C03D344" w:rsidR="002D17B9" w:rsidRPr="001A5B9F" w:rsidRDefault="003C7987" w:rsidP="000D0304">
            <w:pPr>
              <w:widowControl w:val="0"/>
              <w:tabs>
                <w:tab w:val="left" w:pos="-1440"/>
                <w:tab w:val="left" w:pos="-720"/>
              </w:tabs>
              <w:spacing w:before="120"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Cs w:val="18"/>
              </w:rPr>
            </w:pPr>
            <w:r w:rsidRPr="001A5B9F">
              <w:rPr>
                <w:rFonts w:cs="Helvetica"/>
                <w:color w:val="595959"/>
                <w:szCs w:val="18"/>
              </w:rPr>
              <w:t>201</w:t>
            </w:r>
            <w:r>
              <w:rPr>
                <w:rFonts w:cs="Helvetica"/>
                <w:color w:val="595959"/>
                <w:szCs w:val="18"/>
              </w:rPr>
              <w:t>9</w:t>
            </w:r>
          </w:p>
        </w:tc>
        <w:tc>
          <w:tcPr>
            <w:tcW w:w="1631" w:type="dxa"/>
          </w:tcPr>
          <w:p w14:paraId="59C29CC2" w14:textId="77777777" w:rsidR="002D17B9" w:rsidRPr="001A5B9F" w:rsidRDefault="002D17B9" w:rsidP="000D0304">
            <w:pPr>
              <w:widowControl w:val="0"/>
              <w:tabs>
                <w:tab w:val="left" w:pos="-1440"/>
                <w:tab w:val="left" w:pos="-720"/>
              </w:tabs>
              <w:spacing w:before="120"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Cs w:val="18"/>
              </w:rPr>
            </w:pPr>
            <w:r w:rsidRPr="001A5B9F">
              <w:rPr>
                <w:rFonts w:cs="Helvetica"/>
                <w:color w:val="595959"/>
                <w:szCs w:val="18"/>
              </w:rPr>
              <w:t>2015</w:t>
            </w:r>
          </w:p>
        </w:tc>
      </w:tr>
      <w:tr w:rsidR="002D17B9" w:rsidRPr="000914EE" w14:paraId="7DCABF0C" w14:textId="77777777" w:rsidTr="002023E0">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1630" w:type="dxa"/>
            <w:noWrap/>
            <w:hideMark/>
          </w:tcPr>
          <w:p w14:paraId="40174D49" w14:textId="77777777" w:rsidR="002D17B9" w:rsidRPr="001A5B9F" w:rsidRDefault="002D17B9" w:rsidP="000D0304">
            <w:pPr>
              <w:widowControl w:val="0"/>
              <w:tabs>
                <w:tab w:val="left" w:pos="-1440"/>
                <w:tab w:val="left" w:pos="-720"/>
              </w:tabs>
              <w:spacing w:before="120" w:after="0" w:line="312" w:lineRule="auto"/>
              <w:jc w:val="center"/>
              <w:rPr>
                <w:rFonts w:cs="Helvetica"/>
                <w:color w:val="595959"/>
                <w:szCs w:val="18"/>
              </w:rPr>
            </w:pPr>
            <w:r w:rsidRPr="001A5B9F">
              <w:rPr>
                <w:rFonts w:cs="Helvetica"/>
                <w:color w:val="595959"/>
                <w:szCs w:val="18"/>
              </w:rPr>
              <w:t>Heavy oil</w:t>
            </w:r>
          </w:p>
        </w:tc>
        <w:tc>
          <w:tcPr>
            <w:tcW w:w="1630" w:type="dxa"/>
            <w:noWrap/>
            <w:hideMark/>
          </w:tcPr>
          <w:p w14:paraId="58FCB293" w14:textId="79CC98F6" w:rsidR="002D17B9" w:rsidRPr="001A5B9F" w:rsidRDefault="003C7987" w:rsidP="000D0304">
            <w:pPr>
              <w:widowControl w:val="0"/>
              <w:tabs>
                <w:tab w:val="left" w:pos="-1440"/>
                <w:tab w:val="left" w:pos="-720"/>
              </w:tabs>
              <w:spacing w:before="120"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rPr>
            </w:pPr>
            <w:r>
              <w:rPr>
                <w:rFonts w:cs="Helvetica"/>
                <w:color w:val="595959"/>
                <w:szCs w:val="18"/>
              </w:rPr>
              <w:t>MJ</w:t>
            </w:r>
            <w:r w:rsidR="002D17B9" w:rsidRPr="001A5B9F">
              <w:rPr>
                <w:rFonts w:cs="Helvetica"/>
                <w:color w:val="595959"/>
                <w:szCs w:val="18"/>
              </w:rPr>
              <w:t>/t Al</w:t>
            </w:r>
            <w:r w:rsidR="002D17B9" w:rsidRPr="001A5B9F">
              <w:rPr>
                <w:rFonts w:cs="Helvetica"/>
                <w:color w:val="595959"/>
                <w:szCs w:val="18"/>
                <w:vertAlign w:val="subscript"/>
              </w:rPr>
              <w:t>2</w:t>
            </w:r>
            <w:r w:rsidR="002D17B9" w:rsidRPr="001A5B9F">
              <w:rPr>
                <w:rFonts w:cs="Helvetica"/>
                <w:color w:val="595959"/>
                <w:szCs w:val="18"/>
              </w:rPr>
              <w:t>O</w:t>
            </w:r>
            <w:r w:rsidR="002D17B9" w:rsidRPr="001A5B9F">
              <w:rPr>
                <w:rFonts w:cs="Helvetica"/>
                <w:color w:val="595959"/>
                <w:szCs w:val="18"/>
                <w:vertAlign w:val="subscript"/>
              </w:rPr>
              <w:t>3</w:t>
            </w:r>
          </w:p>
        </w:tc>
        <w:tc>
          <w:tcPr>
            <w:tcW w:w="1630" w:type="dxa"/>
            <w:noWrap/>
            <w:hideMark/>
          </w:tcPr>
          <w:p w14:paraId="715B8F0F" w14:textId="39151D96" w:rsidR="002D17B9" w:rsidRPr="001A5B9F" w:rsidRDefault="00C728EE" w:rsidP="000D0304">
            <w:pPr>
              <w:widowControl w:val="0"/>
              <w:tabs>
                <w:tab w:val="left" w:pos="-1440"/>
                <w:tab w:val="left" w:pos="-720"/>
              </w:tabs>
              <w:spacing w:before="120"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rPr>
            </w:pPr>
            <w:r w:rsidRPr="001A5B9F">
              <w:rPr>
                <w:rFonts w:cs="Helvetica"/>
                <w:color w:val="595959"/>
                <w:szCs w:val="18"/>
              </w:rPr>
              <w:t>8</w:t>
            </w:r>
            <w:r>
              <w:rPr>
                <w:rFonts w:cs="Helvetica"/>
                <w:color w:val="595959"/>
                <w:szCs w:val="18"/>
              </w:rPr>
              <w:t>42</w:t>
            </w:r>
          </w:p>
        </w:tc>
        <w:tc>
          <w:tcPr>
            <w:tcW w:w="1631" w:type="dxa"/>
          </w:tcPr>
          <w:p w14:paraId="608C3499" w14:textId="7A1CE605" w:rsidR="002D17B9" w:rsidRPr="001A5B9F" w:rsidRDefault="00C728EE" w:rsidP="000D0304">
            <w:pPr>
              <w:widowControl w:val="0"/>
              <w:tabs>
                <w:tab w:val="left" w:pos="-1440"/>
                <w:tab w:val="left" w:pos="-720"/>
              </w:tabs>
              <w:spacing w:before="120"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rPr>
            </w:pPr>
            <w:r>
              <w:rPr>
                <w:rFonts w:cs="Helvetica"/>
                <w:color w:val="595959"/>
                <w:szCs w:val="18"/>
              </w:rPr>
              <w:t>1,063</w:t>
            </w:r>
          </w:p>
        </w:tc>
      </w:tr>
      <w:tr w:rsidR="002D17B9" w:rsidRPr="000914EE" w14:paraId="2FF0717A" w14:textId="77777777" w:rsidTr="002023E0">
        <w:trPr>
          <w:trHeight w:val="219"/>
          <w:jc w:val="center"/>
        </w:trPr>
        <w:tc>
          <w:tcPr>
            <w:cnfStyle w:val="001000000000" w:firstRow="0" w:lastRow="0" w:firstColumn="1" w:lastColumn="0" w:oddVBand="0" w:evenVBand="0" w:oddHBand="0" w:evenHBand="0" w:firstRowFirstColumn="0" w:firstRowLastColumn="0" w:lastRowFirstColumn="0" w:lastRowLastColumn="0"/>
            <w:tcW w:w="1630" w:type="dxa"/>
            <w:noWrap/>
            <w:hideMark/>
          </w:tcPr>
          <w:p w14:paraId="66103E05" w14:textId="77777777" w:rsidR="002D17B9" w:rsidRPr="001A5B9F" w:rsidRDefault="002D17B9" w:rsidP="000D0304">
            <w:pPr>
              <w:widowControl w:val="0"/>
              <w:tabs>
                <w:tab w:val="left" w:pos="-1440"/>
                <w:tab w:val="left" w:pos="-720"/>
              </w:tabs>
              <w:spacing w:before="120" w:after="0" w:line="312" w:lineRule="auto"/>
              <w:jc w:val="center"/>
              <w:rPr>
                <w:rFonts w:cs="Helvetica"/>
                <w:color w:val="595959"/>
                <w:szCs w:val="18"/>
              </w:rPr>
            </w:pPr>
            <w:r w:rsidRPr="001A5B9F">
              <w:rPr>
                <w:rFonts w:cs="Helvetica"/>
                <w:color w:val="595959"/>
                <w:szCs w:val="18"/>
              </w:rPr>
              <w:t>Diesel oil</w:t>
            </w:r>
          </w:p>
        </w:tc>
        <w:tc>
          <w:tcPr>
            <w:tcW w:w="1630" w:type="dxa"/>
            <w:noWrap/>
            <w:hideMark/>
          </w:tcPr>
          <w:p w14:paraId="18284007" w14:textId="41B1488D" w:rsidR="002D17B9" w:rsidRPr="001A5B9F" w:rsidRDefault="003C7987" w:rsidP="000D0304">
            <w:pPr>
              <w:widowControl w:val="0"/>
              <w:tabs>
                <w:tab w:val="left" w:pos="-1440"/>
                <w:tab w:val="left" w:pos="-720"/>
              </w:tabs>
              <w:spacing w:before="120"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MJ</w:t>
            </w:r>
            <w:r w:rsidR="002D17B9" w:rsidRPr="001A5B9F">
              <w:rPr>
                <w:rFonts w:cs="Helvetica"/>
                <w:color w:val="595959"/>
                <w:szCs w:val="18"/>
              </w:rPr>
              <w:t xml:space="preserve">/t </w:t>
            </w:r>
            <w:r w:rsidR="000914EE" w:rsidRPr="002B5EF5">
              <w:rPr>
                <w:rFonts w:cs="Helvetica"/>
                <w:color w:val="595959"/>
                <w:szCs w:val="18"/>
              </w:rPr>
              <w:t>Al</w:t>
            </w:r>
            <w:r w:rsidR="000914EE" w:rsidRPr="002B5EF5">
              <w:rPr>
                <w:rFonts w:cs="Helvetica"/>
                <w:color w:val="595959"/>
                <w:szCs w:val="18"/>
                <w:vertAlign w:val="subscript"/>
              </w:rPr>
              <w:t>2</w:t>
            </w:r>
            <w:r w:rsidR="000914EE" w:rsidRPr="002B5EF5">
              <w:rPr>
                <w:rFonts w:cs="Helvetica"/>
                <w:color w:val="595959"/>
                <w:szCs w:val="18"/>
              </w:rPr>
              <w:t>O</w:t>
            </w:r>
            <w:r w:rsidR="000914EE" w:rsidRPr="002B5EF5">
              <w:rPr>
                <w:rFonts w:cs="Helvetica"/>
                <w:color w:val="595959"/>
                <w:szCs w:val="18"/>
                <w:vertAlign w:val="subscript"/>
              </w:rPr>
              <w:t>3</w:t>
            </w:r>
          </w:p>
        </w:tc>
        <w:tc>
          <w:tcPr>
            <w:tcW w:w="1630" w:type="dxa"/>
            <w:noWrap/>
            <w:hideMark/>
          </w:tcPr>
          <w:p w14:paraId="5B2D09D5" w14:textId="49391114" w:rsidR="002D17B9" w:rsidRPr="001A5B9F" w:rsidRDefault="00C728EE" w:rsidP="000D0304">
            <w:pPr>
              <w:widowControl w:val="0"/>
              <w:tabs>
                <w:tab w:val="left" w:pos="-1440"/>
                <w:tab w:val="left" w:pos="-720"/>
              </w:tabs>
              <w:spacing w:before="120"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7</w:t>
            </w:r>
          </w:p>
        </w:tc>
        <w:tc>
          <w:tcPr>
            <w:tcW w:w="1631" w:type="dxa"/>
          </w:tcPr>
          <w:p w14:paraId="69DF208B" w14:textId="2D510D86" w:rsidR="002D17B9" w:rsidRPr="001A5B9F" w:rsidRDefault="004160A5" w:rsidP="000D0304">
            <w:pPr>
              <w:widowControl w:val="0"/>
              <w:tabs>
                <w:tab w:val="left" w:pos="-1440"/>
                <w:tab w:val="left" w:pos="-720"/>
              </w:tabs>
              <w:spacing w:before="120"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44</w:t>
            </w:r>
          </w:p>
        </w:tc>
      </w:tr>
      <w:tr w:rsidR="002D17B9" w:rsidRPr="000914EE" w14:paraId="702835BD" w14:textId="77777777" w:rsidTr="002023E0">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1630" w:type="dxa"/>
            <w:noWrap/>
            <w:hideMark/>
          </w:tcPr>
          <w:p w14:paraId="363E2E43" w14:textId="77777777" w:rsidR="002D17B9" w:rsidRPr="001A5B9F" w:rsidRDefault="002D17B9" w:rsidP="000D0304">
            <w:pPr>
              <w:widowControl w:val="0"/>
              <w:tabs>
                <w:tab w:val="left" w:pos="-1440"/>
                <w:tab w:val="left" w:pos="-720"/>
              </w:tabs>
              <w:spacing w:before="120" w:after="0" w:line="312" w:lineRule="auto"/>
              <w:jc w:val="center"/>
              <w:rPr>
                <w:rFonts w:cs="Helvetica"/>
                <w:color w:val="595959"/>
                <w:szCs w:val="18"/>
              </w:rPr>
            </w:pPr>
            <w:r w:rsidRPr="001A5B9F">
              <w:rPr>
                <w:rFonts w:cs="Helvetica"/>
                <w:color w:val="595959"/>
                <w:szCs w:val="18"/>
              </w:rPr>
              <w:t>Natural Gas</w:t>
            </w:r>
          </w:p>
        </w:tc>
        <w:tc>
          <w:tcPr>
            <w:tcW w:w="1630" w:type="dxa"/>
            <w:noWrap/>
            <w:hideMark/>
          </w:tcPr>
          <w:p w14:paraId="0A818B1F" w14:textId="76543A3F" w:rsidR="002D17B9" w:rsidRPr="001A5B9F" w:rsidRDefault="003C7987" w:rsidP="000D0304">
            <w:pPr>
              <w:widowControl w:val="0"/>
              <w:tabs>
                <w:tab w:val="left" w:pos="-1440"/>
                <w:tab w:val="left" w:pos="-720"/>
              </w:tabs>
              <w:spacing w:before="120"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rPr>
            </w:pPr>
            <w:r>
              <w:rPr>
                <w:rFonts w:cs="Helvetica"/>
                <w:color w:val="595959"/>
                <w:szCs w:val="18"/>
              </w:rPr>
              <w:t>MJ</w:t>
            </w:r>
            <w:r w:rsidR="002D17B9" w:rsidRPr="001A5B9F">
              <w:rPr>
                <w:rFonts w:cs="Helvetica"/>
                <w:color w:val="595959"/>
                <w:szCs w:val="18"/>
              </w:rPr>
              <w:t xml:space="preserve">/t </w:t>
            </w:r>
            <w:r w:rsidR="000914EE" w:rsidRPr="002B5EF5">
              <w:rPr>
                <w:rFonts w:cs="Helvetica"/>
                <w:color w:val="595959"/>
                <w:szCs w:val="18"/>
              </w:rPr>
              <w:t>Al</w:t>
            </w:r>
            <w:r w:rsidR="000914EE" w:rsidRPr="002B5EF5">
              <w:rPr>
                <w:rFonts w:cs="Helvetica"/>
                <w:color w:val="595959"/>
                <w:szCs w:val="18"/>
                <w:vertAlign w:val="subscript"/>
              </w:rPr>
              <w:t>2</w:t>
            </w:r>
            <w:r w:rsidR="000914EE" w:rsidRPr="002B5EF5">
              <w:rPr>
                <w:rFonts w:cs="Helvetica"/>
                <w:color w:val="595959"/>
                <w:szCs w:val="18"/>
              </w:rPr>
              <w:t>O</w:t>
            </w:r>
            <w:r w:rsidR="000914EE" w:rsidRPr="002B5EF5">
              <w:rPr>
                <w:rFonts w:cs="Helvetica"/>
                <w:color w:val="595959"/>
                <w:szCs w:val="18"/>
                <w:vertAlign w:val="subscript"/>
              </w:rPr>
              <w:t>3</w:t>
            </w:r>
          </w:p>
        </w:tc>
        <w:tc>
          <w:tcPr>
            <w:tcW w:w="1630" w:type="dxa"/>
            <w:noWrap/>
            <w:hideMark/>
          </w:tcPr>
          <w:p w14:paraId="26C2E261" w14:textId="184B7634" w:rsidR="002D17B9" w:rsidRPr="001A5B9F" w:rsidRDefault="00C728EE" w:rsidP="000D0304">
            <w:pPr>
              <w:widowControl w:val="0"/>
              <w:tabs>
                <w:tab w:val="left" w:pos="-1440"/>
                <w:tab w:val="left" w:pos="-720"/>
              </w:tabs>
              <w:spacing w:before="120"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rPr>
            </w:pPr>
            <w:r>
              <w:rPr>
                <w:rFonts w:cs="Helvetica"/>
                <w:color w:val="595959"/>
                <w:szCs w:val="18"/>
              </w:rPr>
              <w:t>2,478</w:t>
            </w:r>
          </w:p>
        </w:tc>
        <w:tc>
          <w:tcPr>
            <w:tcW w:w="1631" w:type="dxa"/>
          </w:tcPr>
          <w:p w14:paraId="1D736CF8" w14:textId="22027159" w:rsidR="002D17B9" w:rsidRPr="001A5B9F" w:rsidRDefault="004160A5" w:rsidP="000D0304">
            <w:pPr>
              <w:widowControl w:val="0"/>
              <w:tabs>
                <w:tab w:val="left" w:pos="-1440"/>
                <w:tab w:val="left" w:pos="-720"/>
              </w:tabs>
              <w:spacing w:before="120"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rPr>
            </w:pPr>
            <w:r>
              <w:rPr>
                <w:rFonts w:cs="Helvetica"/>
                <w:color w:val="595959"/>
                <w:szCs w:val="18"/>
              </w:rPr>
              <w:t>2</w:t>
            </w:r>
            <w:r w:rsidR="00267E59">
              <w:rPr>
                <w:rFonts w:cs="Helvetica"/>
                <w:color w:val="595959"/>
                <w:szCs w:val="18"/>
              </w:rPr>
              <w:t>,</w:t>
            </w:r>
            <w:r>
              <w:rPr>
                <w:rFonts w:cs="Helvetica"/>
                <w:color w:val="595959"/>
                <w:szCs w:val="18"/>
              </w:rPr>
              <w:t>745</w:t>
            </w:r>
          </w:p>
        </w:tc>
      </w:tr>
      <w:tr w:rsidR="002D17B9" w:rsidRPr="000914EE" w14:paraId="7549BE65" w14:textId="77777777" w:rsidTr="002023E0">
        <w:trPr>
          <w:trHeight w:val="219"/>
          <w:jc w:val="center"/>
        </w:trPr>
        <w:tc>
          <w:tcPr>
            <w:cnfStyle w:val="001000000000" w:firstRow="0" w:lastRow="0" w:firstColumn="1" w:lastColumn="0" w:oddVBand="0" w:evenVBand="0" w:oddHBand="0" w:evenHBand="0" w:firstRowFirstColumn="0" w:firstRowLastColumn="0" w:lastRowFirstColumn="0" w:lastRowLastColumn="0"/>
            <w:tcW w:w="1630" w:type="dxa"/>
            <w:noWrap/>
            <w:hideMark/>
          </w:tcPr>
          <w:p w14:paraId="51A29715" w14:textId="243F75CB" w:rsidR="002D17B9" w:rsidRPr="001A5B9F" w:rsidRDefault="002D17B9" w:rsidP="000D0304">
            <w:pPr>
              <w:widowControl w:val="0"/>
              <w:tabs>
                <w:tab w:val="left" w:pos="-1440"/>
                <w:tab w:val="left" w:pos="-720"/>
              </w:tabs>
              <w:spacing w:before="120" w:after="0" w:line="312" w:lineRule="auto"/>
              <w:jc w:val="center"/>
              <w:rPr>
                <w:rFonts w:cs="Helvetica"/>
                <w:color w:val="595959"/>
                <w:szCs w:val="18"/>
              </w:rPr>
            </w:pPr>
            <w:r w:rsidRPr="001A5B9F">
              <w:rPr>
                <w:rFonts w:cs="Helvetica"/>
                <w:color w:val="595959"/>
                <w:szCs w:val="18"/>
              </w:rPr>
              <w:t>Coal</w:t>
            </w:r>
          </w:p>
        </w:tc>
        <w:tc>
          <w:tcPr>
            <w:tcW w:w="1630" w:type="dxa"/>
            <w:noWrap/>
            <w:hideMark/>
          </w:tcPr>
          <w:p w14:paraId="658AF18B" w14:textId="52C32F9C" w:rsidR="002D17B9" w:rsidRPr="001A5B9F" w:rsidRDefault="003C7987" w:rsidP="000D0304">
            <w:pPr>
              <w:widowControl w:val="0"/>
              <w:tabs>
                <w:tab w:val="left" w:pos="-1440"/>
                <w:tab w:val="left" w:pos="-720"/>
              </w:tabs>
              <w:spacing w:before="120"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MJ</w:t>
            </w:r>
            <w:r w:rsidR="002D17B9" w:rsidRPr="001A5B9F">
              <w:rPr>
                <w:rFonts w:cs="Helvetica"/>
                <w:color w:val="595959"/>
                <w:szCs w:val="18"/>
              </w:rPr>
              <w:t xml:space="preserve">/t </w:t>
            </w:r>
            <w:r w:rsidR="000914EE" w:rsidRPr="002B5EF5">
              <w:rPr>
                <w:rFonts w:cs="Helvetica"/>
                <w:color w:val="595959"/>
                <w:szCs w:val="18"/>
              </w:rPr>
              <w:t>Al</w:t>
            </w:r>
            <w:r w:rsidR="000914EE" w:rsidRPr="002B5EF5">
              <w:rPr>
                <w:rFonts w:cs="Helvetica"/>
                <w:color w:val="595959"/>
                <w:szCs w:val="18"/>
                <w:vertAlign w:val="subscript"/>
              </w:rPr>
              <w:t>2</w:t>
            </w:r>
            <w:r w:rsidR="000914EE" w:rsidRPr="002B5EF5">
              <w:rPr>
                <w:rFonts w:cs="Helvetica"/>
                <w:color w:val="595959"/>
                <w:szCs w:val="18"/>
              </w:rPr>
              <w:t>O</w:t>
            </w:r>
            <w:r w:rsidR="000914EE" w:rsidRPr="002B5EF5">
              <w:rPr>
                <w:rFonts w:cs="Helvetica"/>
                <w:color w:val="595959"/>
                <w:szCs w:val="18"/>
                <w:vertAlign w:val="subscript"/>
              </w:rPr>
              <w:t>3</w:t>
            </w:r>
          </w:p>
        </w:tc>
        <w:tc>
          <w:tcPr>
            <w:tcW w:w="1630" w:type="dxa"/>
            <w:noWrap/>
            <w:hideMark/>
          </w:tcPr>
          <w:p w14:paraId="1E615770" w14:textId="25064A11" w:rsidR="002D17B9" w:rsidRPr="001A5B9F" w:rsidRDefault="00C728EE" w:rsidP="000D0304">
            <w:pPr>
              <w:widowControl w:val="0"/>
              <w:tabs>
                <w:tab w:val="left" w:pos="-1440"/>
                <w:tab w:val="left" w:pos="-720"/>
              </w:tabs>
              <w:spacing w:before="120"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6,414</w:t>
            </w:r>
          </w:p>
        </w:tc>
        <w:tc>
          <w:tcPr>
            <w:tcW w:w="1631" w:type="dxa"/>
          </w:tcPr>
          <w:p w14:paraId="1764136B" w14:textId="3E0B4582" w:rsidR="002D17B9" w:rsidRPr="001A5B9F" w:rsidRDefault="00340C37" w:rsidP="000D0304">
            <w:pPr>
              <w:widowControl w:val="0"/>
              <w:tabs>
                <w:tab w:val="left" w:pos="-1440"/>
                <w:tab w:val="left" w:pos="-720"/>
              </w:tabs>
              <w:spacing w:before="120"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6,927</w:t>
            </w:r>
          </w:p>
        </w:tc>
      </w:tr>
      <w:tr w:rsidR="002D17B9" w:rsidRPr="000914EE" w14:paraId="417C33D4" w14:textId="77777777" w:rsidTr="002023E0">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1630" w:type="dxa"/>
            <w:noWrap/>
            <w:hideMark/>
          </w:tcPr>
          <w:p w14:paraId="291A1052" w14:textId="77777777" w:rsidR="002D17B9" w:rsidRPr="001A5B9F" w:rsidRDefault="002D17B9" w:rsidP="000D0304">
            <w:pPr>
              <w:widowControl w:val="0"/>
              <w:tabs>
                <w:tab w:val="left" w:pos="-1440"/>
                <w:tab w:val="left" w:pos="-720"/>
              </w:tabs>
              <w:spacing w:before="120" w:after="0" w:line="312" w:lineRule="auto"/>
              <w:jc w:val="center"/>
              <w:rPr>
                <w:rFonts w:cs="Helvetica"/>
                <w:color w:val="595959"/>
                <w:szCs w:val="18"/>
              </w:rPr>
            </w:pPr>
            <w:r w:rsidRPr="001A5B9F">
              <w:rPr>
                <w:rFonts w:cs="Helvetica"/>
                <w:color w:val="595959"/>
                <w:szCs w:val="18"/>
              </w:rPr>
              <w:t>Electricity</w:t>
            </w:r>
          </w:p>
        </w:tc>
        <w:tc>
          <w:tcPr>
            <w:tcW w:w="1630" w:type="dxa"/>
            <w:noWrap/>
            <w:hideMark/>
          </w:tcPr>
          <w:p w14:paraId="67F0D55B" w14:textId="221718C3" w:rsidR="002D17B9" w:rsidRPr="001A5B9F" w:rsidRDefault="003C7987" w:rsidP="000D0304">
            <w:pPr>
              <w:widowControl w:val="0"/>
              <w:tabs>
                <w:tab w:val="left" w:pos="-1440"/>
                <w:tab w:val="left" w:pos="-720"/>
              </w:tabs>
              <w:spacing w:before="120"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rPr>
            </w:pPr>
            <w:r>
              <w:rPr>
                <w:rFonts w:cs="Helvetica"/>
                <w:color w:val="595959"/>
                <w:szCs w:val="18"/>
              </w:rPr>
              <w:t>MJ</w:t>
            </w:r>
            <w:r w:rsidR="002D17B9" w:rsidRPr="001A5B9F">
              <w:rPr>
                <w:rFonts w:cs="Helvetica"/>
                <w:color w:val="595959"/>
                <w:szCs w:val="18"/>
              </w:rPr>
              <w:t xml:space="preserve">/t </w:t>
            </w:r>
            <w:r w:rsidR="000914EE" w:rsidRPr="002B5EF5">
              <w:rPr>
                <w:rFonts w:cs="Helvetica"/>
                <w:color w:val="595959"/>
                <w:szCs w:val="18"/>
              </w:rPr>
              <w:t>Al</w:t>
            </w:r>
            <w:r w:rsidR="000914EE" w:rsidRPr="002B5EF5">
              <w:rPr>
                <w:rFonts w:cs="Helvetica"/>
                <w:color w:val="595959"/>
                <w:szCs w:val="18"/>
                <w:vertAlign w:val="subscript"/>
              </w:rPr>
              <w:t>2</w:t>
            </w:r>
            <w:r w:rsidR="000914EE" w:rsidRPr="002B5EF5">
              <w:rPr>
                <w:rFonts w:cs="Helvetica"/>
                <w:color w:val="595959"/>
                <w:szCs w:val="18"/>
              </w:rPr>
              <w:t>O</w:t>
            </w:r>
            <w:r w:rsidR="000914EE" w:rsidRPr="002B5EF5">
              <w:rPr>
                <w:rFonts w:cs="Helvetica"/>
                <w:color w:val="595959"/>
                <w:szCs w:val="18"/>
                <w:vertAlign w:val="subscript"/>
              </w:rPr>
              <w:t>3</w:t>
            </w:r>
          </w:p>
        </w:tc>
        <w:tc>
          <w:tcPr>
            <w:tcW w:w="1630" w:type="dxa"/>
            <w:noWrap/>
            <w:hideMark/>
          </w:tcPr>
          <w:p w14:paraId="1D35ED69" w14:textId="6B1DADE7" w:rsidR="002D17B9" w:rsidRPr="001A5B9F" w:rsidRDefault="00C728EE" w:rsidP="000D0304">
            <w:pPr>
              <w:widowControl w:val="0"/>
              <w:tabs>
                <w:tab w:val="left" w:pos="-1440"/>
                <w:tab w:val="left" w:pos="-720"/>
              </w:tabs>
              <w:spacing w:before="120"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rPr>
            </w:pPr>
            <w:r>
              <w:rPr>
                <w:rFonts w:cs="Helvetica"/>
                <w:color w:val="595959"/>
                <w:szCs w:val="18"/>
              </w:rPr>
              <w:t>547</w:t>
            </w:r>
          </w:p>
        </w:tc>
        <w:tc>
          <w:tcPr>
            <w:tcW w:w="1631" w:type="dxa"/>
          </w:tcPr>
          <w:p w14:paraId="38E19775" w14:textId="6CA5788B" w:rsidR="002D17B9" w:rsidRPr="001A5B9F" w:rsidRDefault="004160A5" w:rsidP="000D0304">
            <w:pPr>
              <w:widowControl w:val="0"/>
              <w:tabs>
                <w:tab w:val="left" w:pos="-1440"/>
                <w:tab w:val="left" w:pos="-720"/>
              </w:tabs>
              <w:spacing w:before="120"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rPr>
            </w:pPr>
            <w:r>
              <w:rPr>
                <w:rFonts w:cs="Helvetica"/>
                <w:color w:val="595959"/>
                <w:szCs w:val="18"/>
              </w:rPr>
              <w:t>786</w:t>
            </w:r>
          </w:p>
        </w:tc>
      </w:tr>
      <w:tr w:rsidR="003C7987" w:rsidRPr="000914EE" w14:paraId="10072364" w14:textId="77777777" w:rsidTr="002023E0">
        <w:trPr>
          <w:trHeight w:val="219"/>
          <w:jc w:val="center"/>
        </w:trPr>
        <w:tc>
          <w:tcPr>
            <w:cnfStyle w:val="001000000000" w:firstRow="0" w:lastRow="0" w:firstColumn="1" w:lastColumn="0" w:oddVBand="0" w:evenVBand="0" w:oddHBand="0" w:evenHBand="0" w:firstRowFirstColumn="0" w:firstRowLastColumn="0" w:lastRowFirstColumn="0" w:lastRowLastColumn="0"/>
            <w:tcW w:w="1630" w:type="dxa"/>
            <w:noWrap/>
          </w:tcPr>
          <w:p w14:paraId="7580B718" w14:textId="6C5DD8D9" w:rsidR="003C7987" w:rsidRPr="001A5B9F" w:rsidRDefault="003C7987" w:rsidP="000D0304">
            <w:pPr>
              <w:widowControl w:val="0"/>
              <w:tabs>
                <w:tab w:val="left" w:pos="-1440"/>
                <w:tab w:val="left" w:pos="-720"/>
              </w:tabs>
              <w:spacing w:before="120" w:after="0" w:line="312" w:lineRule="auto"/>
              <w:jc w:val="center"/>
              <w:rPr>
                <w:rFonts w:cs="Helvetica"/>
                <w:color w:val="595959"/>
                <w:szCs w:val="18"/>
              </w:rPr>
            </w:pPr>
            <w:r>
              <w:rPr>
                <w:rFonts w:cs="Helvetica"/>
                <w:color w:val="595959"/>
                <w:szCs w:val="18"/>
              </w:rPr>
              <w:t>Other</w:t>
            </w:r>
          </w:p>
        </w:tc>
        <w:tc>
          <w:tcPr>
            <w:tcW w:w="1630" w:type="dxa"/>
            <w:noWrap/>
          </w:tcPr>
          <w:p w14:paraId="65FD05FB" w14:textId="0C5BCB4D" w:rsidR="003C7987" w:rsidRPr="001A5B9F" w:rsidDel="003C7987" w:rsidRDefault="003C7987" w:rsidP="000D0304">
            <w:pPr>
              <w:widowControl w:val="0"/>
              <w:tabs>
                <w:tab w:val="left" w:pos="-1440"/>
                <w:tab w:val="left" w:pos="-720"/>
              </w:tabs>
              <w:spacing w:before="120"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MJ/</w:t>
            </w:r>
            <w:r w:rsidRPr="001A5B9F">
              <w:rPr>
                <w:rFonts w:cs="Helvetica"/>
                <w:color w:val="595959"/>
                <w:szCs w:val="18"/>
              </w:rPr>
              <w:t xml:space="preserve"> t </w:t>
            </w:r>
            <w:r w:rsidRPr="002B5EF5">
              <w:rPr>
                <w:rFonts w:cs="Helvetica"/>
                <w:color w:val="595959"/>
                <w:szCs w:val="18"/>
              </w:rPr>
              <w:t>Al</w:t>
            </w:r>
            <w:r w:rsidRPr="002B5EF5">
              <w:rPr>
                <w:rFonts w:cs="Helvetica"/>
                <w:color w:val="595959"/>
                <w:szCs w:val="18"/>
                <w:vertAlign w:val="subscript"/>
              </w:rPr>
              <w:t>2</w:t>
            </w:r>
            <w:r w:rsidRPr="002B5EF5">
              <w:rPr>
                <w:rFonts w:cs="Helvetica"/>
                <w:color w:val="595959"/>
                <w:szCs w:val="18"/>
              </w:rPr>
              <w:t>O</w:t>
            </w:r>
            <w:r w:rsidRPr="002B5EF5">
              <w:rPr>
                <w:rFonts w:cs="Helvetica"/>
                <w:color w:val="595959"/>
                <w:szCs w:val="18"/>
                <w:vertAlign w:val="subscript"/>
              </w:rPr>
              <w:t>3</w:t>
            </w:r>
          </w:p>
        </w:tc>
        <w:tc>
          <w:tcPr>
            <w:tcW w:w="1630" w:type="dxa"/>
            <w:noWrap/>
          </w:tcPr>
          <w:p w14:paraId="36DB6E89" w14:textId="5C7BC905" w:rsidR="003C7987" w:rsidRPr="001A5B9F" w:rsidRDefault="00C728EE" w:rsidP="000D0304">
            <w:pPr>
              <w:widowControl w:val="0"/>
              <w:tabs>
                <w:tab w:val="left" w:pos="-1440"/>
                <w:tab w:val="left" w:pos="-720"/>
              </w:tabs>
              <w:spacing w:before="120"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168</w:t>
            </w:r>
          </w:p>
        </w:tc>
        <w:tc>
          <w:tcPr>
            <w:tcW w:w="1631" w:type="dxa"/>
          </w:tcPr>
          <w:p w14:paraId="1B2C5D61" w14:textId="77777777" w:rsidR="003C7987" w:rsidRPr="001A5B9F" w:rsidRDefault="003C7987" w:rsidP="000D0304">
            <w:pPr>
              <w:widowControl w:val="0"/>
              <w:tabs>
                <w:tab w:val="left" w:pos="-1440"/>
                <w:tab w:val="left" w:pos="-720"/>
              </w:tabs>
              <w:spacing w:before="120"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p>
        </w:tc>
      </w:tr>
    </w:tbl>
    <w:p w14:paraId="26455998" w14:textId="2FA6ABE3" w:rsidR="00817067" w:rsidRDefault="002D17B9" w:rsidP="00D92676">
      <w:pPr>
        <w:spacing w:before="120" w:after="0" w:line="312" w:lineRule="auto"/>
        <w:jc w:val="center"/>
        <w:rPr>
          <w:rFonts w:cs="Helvetica"/>
          <w:b/>
          <w:color w:val="595959"/>
        </w:rPr>
      </w:pPr>
      <w:r w:rsidRPr="00E6098F">
        <w:rPr>
          <w:rFonts w:cs="Helvetica"/>
          <w:b/>
          <w:color w:val="595959"/>
        </w:rPr>
        <w:t>Table</w:t>
      </w:r>
      <w:r w:rsidR="00360851">
        <w:rPr>
          <w:rFonts w:cs="Helvetica"/>
          <w:b/>
          <w:color w:val="595959"/>
        </w:rPr>
        <w:t xml:space="preserve"> </w:t>
      </w:r>
      <w:r w:rsidR="0069734C">
        <w:rPr>
          <w:rFonts w:cs="Helvetica"/>
          <w:b/>
          <w:color w:val="595959"/>
        </w:rPr>
        <w:t>4</w:t>
      </w:r>
      <w:r w:rsidRPr="00E6098F">
        <w:rPr>
          <w:rFonts w:cs="Helvetica"/>
          <w:b/>
          <w:color w:val="595959"/>
        </w:rPr>
        <w:t>:</w:t>
      </w:r>
      <w:r w:rsidR="000914EE">
        <w:rPr>
          <w:rFonts w:cs="Helvetica"/>
          <w:b/>
          <w:color w:val="595959"/>
        </w:rPr>
        <w:t xml:space="preserve"> </w:t>
      </w:r>
      <w:r>
        <w:rPr>
          <w:rFonts w:cs="Helvetica"/>
          <w:b/>
          <w:color w:val="595959"/>
        </w:rPr>
        <w:t xml:space="preserve">Life cycle inventory alumina </w:t>
      </w:r>
      <w:r w:rsidR="0069734C">
        <w:rPr>
          <w:rFonts w:cs="Helvetica"/>
          <w:b/>
          <w:color w:val="595959"/>
        </w:rPr>
        <w:t>energy</w:t>
      </w:r>
      <w:r w:rsidR="0069734C" w:rsidRPr="00E6098F">
        <w:rPr>
          <w:rFonts w:cs="Helvetica"/>
          <w:b/>
          <w:color w:val="595959"/>
        </w:rPr>
        <w:t xml:space="preserve"> </w:t>
      </w:r>
      <w:r w:rsidRPr="00E6098F">
        <w:rPr>
          <w:rFonts w:cs="Helvetica"/>
          <w:b/>
          <w:color w:val="595959"/>
        </w:rPr>
        <w:t xml:space="preserve">mix data for years </w:t>
      </w:r>
      <w:r w:rsidR="00895F2F" w:rsidRPr="00E6098F">
        <w:rPr>
          <w:rFonts w:cs="Helvetica"/>
          <w:b/>
          <w:color w:val="595959"/>
        </w:rPr>
        <w:t>20</w:t>
      </w:r>
      <w:r w:rsidR="00895F2F">
        <w:rPr>
          <w:rFonts w:cs="Helvetica"/>
          <w:b/>
          <w:color w:val="595959"/>
        </w:rPr>
        <w:t xml:space="preserve">15 </w:t>
      </w:r>
      <w:r w:rsidRPr="00E6098F">
        <w:rPr>
          <w:rFonts w:cs="Helvetica"/>
          <w:b/>
          <w:color w:val="595959"/>
        </w:rPr>
        <w:t xml:space="preserve">and </w:t>
      </w:r>
      <w:r w:rsidR="00895F2F" w:rsidRPr="00E6098F">
        <w:rPr>
          <w:rFonts w:cs="Helvetica"/>
          <w:b/>
          <w:color w:val="595959"/>
        </w:rPr>
        <w:t>201</w:t>
      </w:r>
      <w:r w:rsidR="00895F2F">
        <w:rPr>
          <w:rFonts w:cs="Helvetica"/>
          <w:b/>
          <w:color w:val="595959"/>
        </w:rPr>
        <w:t>9</w:t>
      </w:r>
    </w:p>
    <w:p w14:paraId="3A336491" w14:textId="77777777" w:rsidR="00A267A8" w:rsidRPr="0089487D" w:rsidRDefault="00A267A8" w:rsidP="000D0304">
      <w:pPr>
        <w:spacing w:after="0" w:line="312" w:lineRule="auto"/>
        <w:jc w:val="right"/>
        <w:rPr>
          <w:rFonts w:cs="Helvetica"/>
          <w:b/>
          <w:color w:val="595959"/>
        </w:rPr>
      </w:pPr>
    </w:p>
    <w:p w14:paraId="60A5F3AD" w14:textId="5E2780A9" w:rsidR="002D17B9" w:rsidRDefault="004B07F1" w:rsidP="00FE6088">
      <w:pPr>
        <w:spacing w:after="0" w:line="312" w:lineRule="auto"/>
        <w:jc w:val="center"/>
        <w:rPr>
          <w:rFonts w:cs="Helvetica"/>
          <w:color w:val="595959"/>
        </w:rPr>
      </w:pPr>
      <w:r>
        <w:rPr>
          <w:noProof/>
        </w:rPr>
        <w:lastRenderedPageBreak/>
        <w:drawing>
          <wp:inline distT="0" distB="0" distL="0" distR="0" wp14:anchorId="2C7FC7C2" wp14:editId="3D1F3AB0">
            <wp:extent cx="5715000" cy="2804431"/>
            <wp:effectExtent l="0" t="0" r="0" b="15240"/>
            <wp:docPr id="1" name="Chart 1">
              <a:extLst xmlns:a="http://schemas.openxmlformats.org/drawingml/2006/main">
                <a:ext uri="{FF2B5EF4-FFF2-40B4-BE49-F238E27FC236}">
                  <a16:creationId xmlns:a16="http://schemas.microsoft.com/office/drawing/2014/main" id="{F50A667D-F880-4C5C-A7DB-F8A5DCF35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822E5B" w14:textId="14353D3B" w:rsidR="002D17B9" w:rsidRPr="0089487D" w:rsidRDefault="002D17B9" w:rsidP="001A5B9F">
      <w:pPr>
        <w:spacing w:before="120" w:after="0" w:line="312" w:lineRule="auto"/>
        <w:jc w:val="right"/>
        <w:rPr>
          <w:rFonts w:cs="Helvetica"/>
          <w:b/>
          <w:color w:val="595959"/>
        </w:rPr>
      </w:pPr>
      <w:r w:rsidRPr="00E6098F">
        <w:rPr>
          <w:rFonts w:cs="Helvetica"/>
          <w:b/>
          <w:color w:val="595959"/>
        </w:rPr>
        <w:t xml:space="preserve">Figure </w:t>
      </w:r>
      <w:r w:rsidR="00512BAF">
        <w:rPr>
          <w:rFonts w:cs="Helvetica"/>
          <w:b/>
          <w:color w:val="595959"/>
        </w:rPr>
        <w:t>5</w:t>
      </w:r>
      <w:r w:rsidRPr="00E6098F">
        <w:rPr>
          <w:rFonts w:cs="Helvetica"/>
          <w:b/>
          <w:color w:val="595959"/>
        </w:rPr>
        <w:t>:</w:t>
      </w:r>
      <w:r w:rsidR="00814D02">
        <w:rPr>
          <w:rFonts w:cs="Helvetica"/>
          <w:b/>
          <w:color w:val="595959"/>
        </w:rPr>
        <w:tab/>
      </w:r>
      <w:r>
        <w:rPr>
          <w:rFonts w:cs="Helvetica"/>
          <w:b/>
          <w:color w:val="595959"/>
        </w:rPr>
        <w:t xml:space="preserve">Global </w:t>
      </w:r>
      <w:r w:rsidRPr="00E6098F">
        <w:rPr>
          <w:rFonts w:cs="Helvetica"/>
          <w:b/>
          <w:color w:val="595959"/>
        </w:rPr>
        <w:t>alumina industry</w:t>
      </w:r>
      <w:r w:rsidR="0069734C">
        <w:rPr>
          <w:rFonts w:cs="Helvetica"/>
          <w:b/>
          <w:color w:val="595959"/>
        </w:rPr>
        <w:t xml:space="preserve"> energy</w:t>
      </w:r>
      <w:r w:rsidRPr="00E6098F">
        <w:rPr>
          <w:rFonts w:cs="Helvetica"/>
          <w:b/>
          <w:color w:val="595959"/>
        </w:rPr>
        <w:t xml:space="preserve"> mix for years </w:t>
      </w:r>
      <w:r>
        <w:rPr>
          <w:rFonts w:cs="Helvetica"/>
          <w:b/>
          <w:color w:val="595959"/>
        </w:rPr>
        <w:t>20</w:t>
      </w:r>
      <w:r w:rsidR="0066261A">
        <w:rPr>
          <w:rFonts w:cs="Helvetica"/>
          <w:b/>
          <w:color w:val="595959"/>
        </w:rPr>
        <w:t>1</w:t>
      </w:r>
      <w:r>
        <w:rPr>
          <w:rFonts w:cs="Helvetica"/>
          <w:b/>
          <w:color w:val="595959"/>
        </w:rPr>
        <w:t>0</w:t>
      </w:r>
      <w:r w:rsidRPr="00E6098F">
        <w:rPr>
          <w:rFonts w:cs="Helvetica"/>
          <w:b/>
          <w:color w:val="595959"/>
        </w:rPr>
        <w:t xml:space="preserve"> </w:t>
      </w:r>
      <w:r w:rsidR="00A224B1">
        <w:rPr>
          <w:rFonts w:cs="Helvetica"/>
          <w:b/>
          <w:color w:val="595959"/>
        </w:rPr>
        <w:t>–</w:t>
      </w:r>
      <w:r w:rsidRPr="00E6098F">
        <w:rPr>
          <w:rFonts w:cs="Helvetica"/>
          <w:b/>
          <w:color w:val="595959"/>
        </w:rPr>
        <w:t xml:space="preserve"> </w:t>
      </w:r>
      <w:r w:rsidR="001E345A" w:rsidRPr="00E6098F">
        <w:rPr>
          <w:rFonts w:cs="Helvetica"/>
          <w:b/>
          <w:color w:val="595959"/>
        </w:rPr>
        <w:t>201</w:t>
      </w:r>
      <w:r w:rsidR="001E345A">
        <w:rPr>
          <w:rFonts w:cs="Helvetica"/>
          <w:b/>
          <w:color w:val="595959"/>
        </w:rPr>
        <w:t>9</w:t>
      </w:r>
    </w:p>
    <w:p w14:paraId="00EABD43" w14:textId="1D7D7314" w:rsidR="000914EE" w:rsidRDefault="000914EE" w:rsidP="001A5B9F">
      <w:pPr>
        <w:pStyle w:val="CommentText"/>
        <w:spacing w:line="312" w:lineRule="auto"/>
        <w:jc w:val="both"/>
        <w:rPr>
          <w:rFonts w:cs="Helvetica"/>
          <w:color w:val="595959"/>
        </w:rPr>
      </w:pPr>
    </w:p>
    <w:p w14:paraId="57FC7A53" w14:textId="2073C5F4" w:rsidR="00157AE4" w:rsidRDefault="00157AE4" w:rsidP="009E11C8">
      <w:pPr>
        <w:spacing w:after="0" w:line="312" w:lineRule="auto"/>
        <w:jc w:val="both"/>
        <w:rPr>
          <w:rFonts w:cs="Helvetica"/>
          <w:b/>
          <w:i/>
          <w:color w:val="595959"/>
        </w:rPr>
      </w:pPr>
      <w:r>
        <w:rPr>
          <w:rFonts w:cs="Helvetica"/>
          <w:b/>
          <w:i/>
          <w:color w:val="595959"/>
        </w:rPr>
        <w:t xml:space="preserve">Transport </w:t>
      </w:r>
      <w:r w:rsidRPr="00FD4D41">
        <w:rPr>
          <w:rFonts w:cs="Helvetica"/>
          <w:color w:val="595959"/>
        </w:rPr>
        <w:t xml:space="preserve">distance </w:t>
      </w:r>
      <w:r w:rsidR="0081036F">
        <w:rPr>
          <w:rFonts w:cs="Helvetica"/>
          <w:color w:val="595959"/>
        </w:rPr>
        <w:t xml:space="preserve">increased among all </w:t>
      </w:r>
      <w:r w:rsidR="00054556">
        <w:rPr>
          <w:rFonts w:cs="Helvetica"/>
          <w:color w:val="595959"/>
        </w:rPr>
        <w:t>three ways of transportation, which reflect</w:t>
      </w:r>
      <w:r w:rsidR="00A055FE">
        <w:rPr>
          <w:rFonts w:cs="Helvetica"/>
          <w:color w:val="595959"/>
        </w:rPr>
        <w:t>s</w:t>
      </w:r>
      <w:r w:rsidR="00054556">
        <w:rPr>
          <w:rFonts w:cs="Helvetica"/>
          <w:color w:val="595959"/>
        </w:rPr>
        <w:t xml:space="preserve"> the </w:t>
      </w:r>
      <w:r w:rsidR="00A055FE">
        <w:rPr>
          <w:rFonts w:cs="Helvetica"/>
          <w:color w:val="595959"/>
        </w:rPr>
        <w:t xml:space="preserve">shift </w:t>
      </w:r>
      <w:r w:rsidR="0057094F">
        <w:rPr>
          <w:rFonts w:cs="Helvetica"/>
          <w:color w:val="595959"/>
        </w:rPr>
        <w:t>taken place in</w:t>
      </w:r>
      <w:r w:rsidR="00A055FE">
        <w:rPr>
          <w:rFonts w:cs="Helvetica"/>
          <w:color w:val="595959"/>
        </w:rPr>
        <w:t xml:space="preserve"> the global bauxite supply chain. </w:t>
      </w:r>
    </w:p>
    <w:p w14:paraId="3840B185" w14:textId="77777777" w:rsidR="00157AE4" w:rsidRDefault="00157AE4" w:rsidP="009E11C8">
      <w:pPr>
        <w:spacing w:after="0" w:line="312" w:lineRule="auto"/>
        <w:jc w:val="both"/>
        <w:rPr>
          <w:rFonts w:cs="Helvetica"/>
          <w:b/>
          <w:i/>
          <w:color w:val="595959"/>
        </w:rPr>
      </w:pPr>
    </w:p>
    <w:p w14:paraId="5E26F452" w14:textId="1329ABE4" w:rsidR="00E02F93" w:rsidRDefault="00021B38" w:rsidP="001D39B1">
      <w:pPr>
        <w:spacing w:after="0" w:line="312" w:lineRule="auto"/>
        <w:jc w:val="both"/>
        <w:rPr>
          <w:rFonts w:cs="Helvetica"/>
          <w:color w:val="595959"/>
        </w:rPr>
      </w:pPr>
      <w:proofErr w:type="spellStart"/>
      <w:r>
        <w:rPr>
          <w:rFonts w:cs="Helvetica"/>
          <w:b/>
          <w:i/>
          <w:color w:val="595959"/>
        </w:rPr>
        <w:t>Sulfur</w:t>
      </w:r>
      <w:proofErr w:type="spellEnd"/>
      <w:r>
        <w:rPr>
          <w:rFonts w:cs="Helvetica"/>
          <w:b/>
          <w:i/>
          <w:color w:val="595959"/>
        </w:rPr>
        <w:t xml:space="preserve"> dioxide </w:t>
      </w:r>
      <w:r w:rsidRPr="002A3F14">
        <w:rPr>
          <w:rFonts w:cs="Helvetica"/>
          <w:b/>
          <w:i/>
          <w:color w:val="595959"/>
        </w:rPr>
        <w:t>emissions</w:t>
      </w:r>
      <w:r w:rsidR="00406F09">
        <w:rPr>
          <w:rFonts w:cs="Helvetica"/>
          <w:b/>
          <w:i/>
          <w:color w:val="595959"/>
        </w:rPr>
        <w:t xml:space="preserve">, Suspended solids, Mercury water emissions </w:t>
      </w:r>
      <w:r w:rsidR="00406F09" w:rsidRPr="00406F09">
        <w:rPr>
          <w:rFonts w:cs="Helvetica"/>
          <w:bCs/>
          <w:iCs/>
          <w:color w:val="595959"/>
        </w:rPr>
        <w:t>and</w:t>
      </w:r>
      <w:r w:rsidR="00406F09">
        <w:rPr>
          <w:rFonts w:cs="Helvetica"/>
          <w:b/>
          <w:i/>
          <w:color w:val="595959"/>
        </w:rPr>
        <w:t xml:space="preserve"> Oil and grease/total hydrocarbons</w:t>
      </w:r>
      <w:r>
        <w:rPr>
          <w:rFonts w:cs="Helvetica"/>
          <w:b/>
          <w:i/>
          <w:color w:val="595959"/>
        </w:rPr>
        <w:t xml:space="preserve"> </w:t>
      </w:r>
      <w:r w:rsidR="00767D68">
        <w:rPr>
          <w:rFonts w:cs="Helvetica"/>
          <w:color w:val="595959"/>
        </w:rPr>
        <w:t>received survey responses from a similar reporting cohort between 20</w:t>
      </w:r>
      <w:r w:rsidR="00CB1AE0">
        <w:rPr>
          <w:rFonts w:cs="Helvetica"/>
          <w:color w:val="595959"/>
        </w:rPr>
        <w:t>15 and 2019</w:t>
      </w:r>
      <w:r>
        <w:rPr>
          <w:rFonts w:cs="Helvetica"/>
          <w:color w:val="595959"/>
        </w:rPr>
        <w:t xml:space="preserve">. </w:t>
      </w:r>
      <w:r w:rsidR="00CB1AE0">
        <w:rPr>
          <w:rFonts w:cs="Helvetica"/>
          <w:color w:val="595959"/>
        </w:rPr>
        <w:t xml:space="preserve">Therefore, the </w:t>
      </w:r>
      <w:r w:rsidR="00066B3E">
        <w:rPr>
          <w:rFonts w:cs="Helvetica"/>
          <w:color w:val="595959"/>
        </w:rPr>
        <w:t xml:space="preserve">data differences </w:t>
      </w:r>
      <w:proofErr w:type="spellStart"/>
      <w:r w:rsidR="00242C70">
        <w:rPr>
          <w:rFonts w:cs="Helvetica"/>
          <w:color w:val="595959"/>
        </w:rPr>
        <w:t>are</w:t>
      </w:r>
      <w:r w:rsidR="00066B3E">
        <w:rPr>
          <w:rFonts w:cs="Helvetica"/>
          <w:color w:val="595959"/>
        </w:rPr>
        <w:t>s</w:t>
      </w:r>
      <w:proofErr w:type="spellEnd"/>
      <w:r w:rsidR="00066B3E">
        <w:rPr>
          <w:rFonts w:cs="Helvetica"/>
          <w:color w:val="595959"/>
        </w:rPr>
        <w:t xml:space="preserve"> purely driven by the performance of the reporting facilities.</w:t>
      </w:r>
    </w:p>
    <w:p w14:paraId="4BE51838" w14:textId="77777777" w:rsidR="00D92676" w:rsidRDefault="00D92676" w:rsidP="00D92676">
      <w:pPr>
        <w:spacing w:after="0" w:line="312" w:lineRule="auto"/>
        <w:jc w:val="both"/>
        <w:rPr>
          <w:rFonts w:cs="Helvetica"/>
          <w:b/>
          <w:color w:val="595959"/>
        </w:rPr>
      </w:pPr>
    </w:p>
    <w:tbl>
      <w:tblPr>
        <w:tblStyle w:val="TableGrid"/>
        <w:tblW w:w="1002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684"/>
        <w:gridCol w:w="2213"/>
        <w:gridCol w:w="2361"/>
        <w:gridCol w:w="1765"/>
      </w:tblGrid>
      <w:tr w:rsidR="00D92676" w14:paraId="268307F2" w14:textId="77777777" w:rsidTr="00AB1D48">
        <w:trPr>
          <w:trHeight w:val="456"/>
        </w:trPr>
        <w:tc>
          <w:tcPr>
            <w:tcW w:w="3684" w:type="dxa"/>
            <w:vAlign w:val="center"/>
          </w:tcPr>
          <w:p w14:paraId="2EDF0120" w14:textId="77777777" w:rsidR="00D92676" w:rsidRPr="00611DF5" w:rsidRDefault="00D92676" w:rsidP="00AB1D48">
            <w:pPr>
              <w:spacing w:after="0" w:line="312" w:lineRule="auto"/>
              <w:jc w:val="both"/>
              <w:rPr>
                <w:rFonts w:cs="Helvetica"/>
                <w:b/>
                <w:bCs/>
                <w:color w:val="595959"/>
              </w:rPr>
            </w:pPr>
            <w:r w:rsidRPr="00611DF5">
              <w:rPr>
                <w:rFonts w:cs="Helvetica"/>
                <w:b/>
                <w:bCs/>
                <w:color w:val="595959"/>
                <w:szCs w:val="20"/>
              </w:rPr>
              <w:t>Inventory Flow</w:t>
            </w:r>
          </w:p>
        </w:tc>
        <w:tc>
          <w:tcPr>
            <w:tcW w:w="2213" w:type="dxa"/>
            <w:vAlign w:val="center"/>
          </w:tcPr>
          <w:p w14:paraId="3C3AE7DD" w14:textId="77777777" w:rsidR="00D92676" w:rsidRPr="00611DF5" w:rsidRDefault="00D92676" w:rsidP="00AB1D48">
            <w:pPr>
              <w:spacing w:after="0" w:line="312" w:lineRule="auto"/>
              <w:jc w:val="center"/>
              <w:rPr>
                <w:rFonts w:cs="Helvetica"/>
                <w:b/>
                <w:bCs/>
                <w:color w:val="595959"/>
              </w:rPr>
            </w:pPr>
            <w:r w:rsidRPr="00611DF5">
              <w:rPr>
                <w:rFonts w:cs="Helvetica"/>
                <w:b/>
                <w:bCs/>
                <w:color w:val="595959"/>
                <w:szCs w:val="20"/>
              </w:rPr>
              <w:t>Unit</w:t>
            </w:r>
          </w:p>
        </w:tc>
        <w:tc>
          <w:tcPr>
            <w:tcW w:w="2361" w:type="dxa"/>
            <w:vAlign w:val="center"/>
          </w:tcPr>
          <w:p w14:paraId="3ADDEED0" w14:textId="77777777" w:rsidR="00D92676" w:rsidRPr="00611DF5" w:rsidRDefault="00D92676" w:rsidP="00AB1D48">
            <w:pPr>
              <w:spacing w:after="0" w:line="312" w:lineRule="auto"/>
              <w:jc w:val="center"/>
              <w:rPr>
                <w:rFonts w:cs="Helvetica"/>
                <w:b/>
                <w:bCs/>
                <w:color w:val="595959"/>
              </w:rPr>
            </w:pPr>
            <w:r w:rsidRPr="00611DF5">
              <w:rPr>
                <w:rFonts w:cs="Helvetica"/>
                <w:b/>
                <w:bCs/>
                <w:color w:val="595959"/>
                <w:szCs w:val="20"/>
              </w:rPr>
              <w:t>2019</w:t>
            </w:r>
          </w:p>
        </w:tc>
        <w:tc>
          <w:tcPr>
            <w:tcW w:w="1765" w:type="dxa"/>
            <w:vAlign w:val="center"/>
          </w:tcPr>
          <w:p w14:paraId="6F1F801F" w14:textId="77777777" w:rsidR="00D92676" w:rsidRPr="00611DF5" w:rsidRDefault="00D92676" w:rsidP="00AB1D48">
            <w:pPr>
              <w:spacing w:after="0" w:line="312" w:lineRule="auto"/>
              <w:jc w:val="center"/>
              <w:rPr>
                <w:rFonts w:cs="Helvetica"/>
                <w:b/>
                <w:bCs/>
                <w:color w:val="595959"/>
              </w:rPr>
            </w:pPr>
            <w:r w:rsidRPr="00611DF5">
              <w:rPr>
                <w:rFonts w:cs="Helvetica"/>
                <w:b/>
                <w:bCs/>
                <w:color w:val="595959"/>
                <w:szCs w:val="20"/>
              </w:rPr>
              <w:t>2015</w:t>
            </w:r>
          </w:p>
        </w:tc>
      </w:tr>
      <w:tr w:rsidR="00D92676" w14:paraId="1B6BC647" w14:textId="77777777" w:rsidTr="00AB1D48">
        <w:trPr>
          <w:trHeight w:val="456"/>
        </w:trPr>
        <w:tc>
          <w:tcPr>
            <w:tcW w:w="3684" w:type="dxa"/>
            <w:shd w:val="clear" w:color="auto" w:fill="F2F2F2" w:themeFill="background1" w:themeFillShade="F2"/>
            <w:vAlign w:val="center"/>
          </w:tcPr>
          <w:p w14:paraId="0BD48AEF" w14:textId="77777777" w:rsidR="00D92676" w:rsidRPr="005B5045" w:rsidRDefault="00D92676" w:rsidP="00AB1D48">
            <w:pPr>
              <w:spacing w:after="0" w:line="312" w:lineRule="auto"/>
              <w:jc w:val="both"/>
              <w:rPr>
                <w:rFonts w:cs="Helvetica"/>
                <w:b/>
                <w:bCs/>
                <w:color w:val="595959"/>
              </w:rPr>
            </w:pPr>
            <w:proofErr w:type="spellStart"/>
            <w:r w:rsidRPr="005B5045">
              <w:rPr>
                <w:rFonts w:cs="Helvetica"/>
                <w:b/>
                <w:bCs/>
                <w:i/>
                <w:color w:val="595959"/>
              </w:rPr>
              <w:t>Sulfur</w:t>
            </w:r>
            <w:proofErr w:type="spellEnd"/>
            <w:r w:rsidRPr="005B5045">
              <w:rPr>
                <w:rFonts w:cs="Helvetica"/>
                <w:b/>
                <w:bCs/>
                <w:i/>
                <w:color w:val="595959"/>
              </w:rPr>
              <w:t xml:space="preserve"> dioxide emissions</w:t>
            </w:r>
          </w:p>
        </w:tc>
        <w:tc>
          <w:tcPr>
            <w:tcW w:w="2213" w:type="dxa"/>
            <w:shd w:val="clear" w:color="auto" w:fill="F2F2F2" w:themeFill="background1" w:themeFillShade="F2"/>
            <w:vAlign w:val="center"/>
          </w:tcPr>
          <w:p w14:paraId="73E2B941" w14:textId="77777777" w:rsidR="00D92676" w:rsidRDefault="00D92676" w:rsidP="00AB1D48">
            <w:pPr>
              <w:spacing w:after="0" w:line="312" w:lineRule="auto"/>
              <w:jc w:val="center"/>
              <w:rPr>
                <w:rFonts w:cs="Helvetica"/>
                <w:b/>
                <w:color w:val="595959"/>
              </w:rPr>
            </w:pPr>
            <w:r w:rsidRPr="001A5B9F">
              <w:rPr>
                <w:rFonts w:cs="Helvetica"/>
                <w:color w:val="595959"/>
                <w:szCs w:val="20"/>
              </w:rPr>
              <w:t>kg/t Al ingot</w:t>
            </w:r>
          </w:p>
        </w:tc>
        <w:tc>
          <w:tcPr>
            <w:tcW w:w="2361" w:type="dxa"/>
            <w:shd w:val="clear" w:color="auto" w:fill="F2F2F2" w:themeFill="background1" w:themeFillShade="F2"/>
            <w:vAlign w:val="center"/>
          </w:tcPr>
          <w:p w14:paraId="5BE9E8EC" w14:textId="77777777" w:rsidR="00D92676" w:rsidRDefault="00D92676" w:rsidP="00AB1D48">
            <w:pPr>
              <w:spacing w:after="0" w:line="312" w:lineRule="auto"/>
              <w:jc w:val="center"/>
              <w:rPr>
                <w:rFonts w:cs="Helvetica"/>
                <w:b/>
                <w:color w:val="595959"/>
              </w:rPr>
            </w:pPr>
            <w:r>
              <w:rPr>
                <w:rFonts w:cs="Helvetica"/>
                <w:color w:val="595959"/>
                <w:szCs w:val="20"/>
              </w:rPr>
              <w:t>1.4</w:t>
            </w:r>
          </w:p>
        </w:tc>
        <w:tc>
          <w:tcPr>
            <w:tcW w:w="1765" w:type="dxa"/>
            <w:shd w:val="clear" w:color="auto" w:fill="F2F2F2" w:themeFill="background1" w:themeFillShade="F2"/>
            <w:vAlign w:val="center"/>
          </w:tcPr>
          <w:p w14:paraId="37999EBF" w14:textId="77777777" w:rsidR="00D92676" w:rsidRDefault="00D92676" w:rsidP="00AB1D48">
            <w:pPr>
              <w:spacing w:after="0" w:line="312" w:lineRule="auto"/>
              <w:jc w:val="center"/>
              <w:rPr>
                <w:rFonts w:cs="Helvetica"/>
                <w:b/>
                <w:color w:val="595959"/>
              </w:rPr>
            </w:pPr>
            <w:r>
              <w:rPr>
                <w:rFonts w:cs="Helvetica"/>
                <w:color w:val="595959"/>
                <w:szCs w:val="20"/>
              </w:rPr>
              <w:t>2.2</w:t>
            </w:r>
          </w:p>
        </w:tc>
      </w:tr>
      <w:tr w:rsidR="00D92676" w14:paraId="3E8F2DDB" w14:textId="77777777" w:rsidTr="00AB1D48">
        <w:trPr>
          <w:trHeight w:val="456"/>
        </w:trPr>
        <w:tc>
          <w:tcPr>
            <w:tcW w:w="3684" w:type="dxa"/>
            <w:vAlign w:val="center"/>
          </w:tcPr>
          <w:p w14:paraId="10A250D0" w14:textId="77777777" w:rsidR="00D92676" w:rsidRPr="005B5045" w:rsidRDefault="00D92676" w:rsidP="00AB1D48">
            <w:pPr>
              <w:spacing w:after="0" w:line="312" w:lineRule="auto"/>
              <w:jc w:val="both"/>
              <w:rPr>
                <w:rFonts w:cs="Helvetica"/>
                <w:b/>
                <w:bCs/>
                <w:color w:val="595959"/>
              </w:rPr>
            </w:pPr>
            <w:r w:rsidRPr="005B5045">
              <w:rPr>
                <w:rFonts w:cs="Helvetica"/>
                <w:b/>
                <w:bCs/>
                <w:i/>
                <w:color w:val="595959"/>
              </w:rPr>
              <w:t>Suspended solids</w:t>
            </w:r>
          </w:p>
        </w:tc>
        <w:tc>
          <w:tcPr>
            <w:tcW w:w="2213" w:type="dxa"/>
            <w:vAlign w:val="center"/>
          </w:tcPr>
          <w:p w14:paraId="3E02E5D3" w14:textId="77777777" w:rsidR="00D92676" w:rsidRDefault="00D92676" w:rsidP="00AB1D48">
            <w:pPr>
              <w:spacing w:after="0" w:line="312" w:lineRule="auto"/>
              <w:jc w:val="center"/>
              <w:rPr>
                <w:rFonts w:cs="Helvetica"/>
                <w:b/>
                <w:color w:val="595959"/>
              </w:rPr>
            </w:pPr>
            <w:r w:rsidRPr="001A5B9F">
              <w:rPr>
                <w:rFonts w:cs="Helvetica"/>
                <w:color w:val="595959"/>
                <w:szCs w:val="20"/>
              </w:rPr>
              <w:t>kg/t Al ingot</w:t>
            </w:r>
          </w:p>
        </w:tc>
        <w:tc>
          <w:tcPr>
            <w:tcW w:w="2361" w:type="dxa"/>
            <w:vAlign w:val="center"/>
          </w:tcPr>
          <w:p w14:paraId="10379437" w14:textId="77777777" w:rsidR="00D92676" w:rsidRDefault="00D92676" w:rsidP="00AB1D48">
            <w:pPr>
              <w:spacing w:after="0" w:line="312" w:lineRule="auto"/>
              <w:jc w:val="center"/>
              <w:rPr>
                <w:rFonts w:cs="Helvetica"/>
                <w:b/>
                <w:color w:val="595959"/>
              </w:rPr>
            </w:pPr>
            <w:r>
              <w:rPr>
                <w:rFonts w:cs="Helvetica"/>
                <w:color w:val="595959"/>
                <w:szCs w:val="20"/>
              </w:rPr>
              <w:t>0.15</w:t>
            </w:r>
          </w:p>
        </w:tc>
        <w:tc>
          <w:tcPr>
            <w:tcW w:w="1765" w:type="dxa"/>
            <w:vAlign w:val="center"/>
          </w:tcPr>
          <w:p w14:paraId="3F3DBD2D" w14:textId="77777777" w:rsidR="00D92676" w:rsidRDefault="00D92676" w:rsidP="00AB1D48">
            <w:pPr>
              <w:spacing w:after="0" w:line="312" w:lineRule="auto"/>
              <w:jc w:val="center"/>
              <w:rPr>
                <w:rFonts w:cs="Helvetica"/>
                <w:b/>
                <w:color w:val="595959"/>
              </w:rPr>
            </w:pPr>
            <w:r>
              <w:rPr>
                <w:rFonts w:cs="Helvetica"/>
                <w:color w:val="595959"/>
                <w:szCs w:val="20"/>
              </w:rPr>
              <w:t>0.08</w:t>
            </w:r>
          </w:p>
        </w:tc>
      </w:tr>
      <w:tr w:rsidR="00D92676" w14:paraId="036B2096" w14:textId="77777777" w:rsidTr="00AB1D48">
        <w:trPr>
          <w:trHeight w:val="456"/>
        </w:trPr>
        <w:tc>
          <w:tcPr>
            <w:tcW w:w="3684" w:type="dxa"/>
            <w:shd w:val="clear" w:color="auto" w:fill="F2F2F2" w:themeFill="background1" w:themeFillShade="F2"/>
            <w:vAlign w:val="center"/>
          </w:tcPr>
          <w:p w14:paraId="15DF017A" w14:textId="77777777" w:rsidR="00D92676" w:rsidRPr="005B5045" w:rsidRDefault="00D92676" w:rsidP="00AB1D48">
            <w:pPr>
              <w:spacing w:after="0" w:line="312" w:lineRule="auto"/>
              <w:jc w:val="both"/>
              <w:rPr>
                <w:rFonts w:cs="Helvetica"/>
                <w:b/>
                <w:bCs/>
                <w:i/>
                <w:iCs/>
                <w:color w:val="595959"/>
              </w:rPr>
            </w:pPr>
            <w:r w:rsidRPr="005B5045">
              <w:rPr>
                <w:rFonts w:cs="Helvetica"/>
                <w:b/>
                <w:bCs/>
                <w:i/>
                <w:iCs/>
                <w:color w:val="595959"/>
                <w:szCs w:val="20"/>
              </w:rPr>
              <w:t>Mercury Water Emissions</w:t>
            </w:r>
          </w:p>
        </w:tc>
        <w:tc>
          <w:tcPr>
            <w:tcW w:w="2213" w:type="dxa"/>
            <w:shd w:val="clear" w:color="auto" w:fill="F2F2F2" w:themeFill="background1" w:themeFillShade="F2"/>
          </w:tcPr>
          <w:p w14:paraId="274873C6" w14:textId="77777777" w:rsidR="00D92676" w:rsidRDefault="00D92676" w:rsidP="00AB1D48">
            <w:pPr>
              <w:spacing w:after="0" w:line="312" w:lineRule="auto"/>
              <w:jc w:val="center"/>
              <w:rPr>
                <w:rFonts w:cs="Helvetica"/>
                <w:b/>
                <w:color w:val="595959"/>
              </w:rPr>
            </w:pPr>
            <w:r w:rsidRPr="001A5B9F">
              <w:rPr>
                <w:rFonts w:cs="Helvetica"/>
                <w:color w:val="595959"/>
                <w:szCs w:val="20"/>
              </w:rPr>
              <w:t>g/t Al ingot</w:t>
            </w:r>
          </w:p>
        </w:tc>
        <w:tc>
          <w:tcPr>
            <w:tcW w:w="2361" w:type="dxa"/>
            <w:shd w:val="clear" w:color="auto" w:fill="F2F2F2" w:themeFill="background1" w:themeFillShade="F2"/>
            <w:vAlign w:val="center"/>
          </w:tcPr>
          <w:p w14:paraId="218E2D3A" w14:textId="77777777" w:rsidR="00D92676" w:rsidRDefault="00D92676" w:rsidP="00AB1D48">
            <w:pPr>
              <w:spacing w:after="0" w:line="312" w:lineRule="auto"/>
              <w:jc w:val="center"/>
              <w:rPr>
                <w:rFonts w:cs="Helvetica"/>
                <w:b/>
                <w:color w:val="595959"/>
              </w:rPr>
            </w:pPr>
            <w:r w:rsidRPr="001A5B9F">
              <w:rPr>
                <w:rFonts w:cs="Helvetica"/>
                <w:color w:val="595959"/>
                <w:szCs w:val="20"/>
              </w:rPr>
              <w:t>0.000</w:t>
            </w:r>
            <w:r>
              <w:rPr>
                <w:rFonts w:cs="Helvetica"/>
                <w:color w:val="595959"/>
                <w:szCs w:val="20"/>
              </w:rPr>
              <w:t>3</w:t>
            </w:r>
          </w:p>
        </w:tc>
        <w:tc>
          <w:tcPr>
            <w:tcW w:w="1765" w:type="dxa"/>
            <w:shd w:val="clear" w:color="auto" w:fill="F2F2F2" w:themeFill="background1" w:themeFillShade="F2"/>
            <w:vAlign w:val="center"/>
          </w:tcPr>
          <w:p w14:paraId="6669C9AF" w14:textId="77777777" w:rsidR="00D92676" w:rsidRDefault="00D92676" w:rsidP="00AB1D48">
            <w:pPr>
              <w:spacing w:after="0" w:line="312" w:lineRule="auto"/>
              <w:jc w:val="center"/>
              <w:rPr>
                <w:rFonts w:cs="Helvetica"/>
                <w:b/>
                <w:color w:val="595959"/>
              </w:rPr>
            </w:pPr>
            <w:r w:rsidRPr="001A5B9F">
              <w:rPr>
                <w:rFonts w:cs="Helvetica"/>
                <w:color w:val="595959"/>
                <w:szCs w:val="20"/>
              </w:rPr>
              <w:t>0.0009</w:t>
            </w:r>
          </w:p>
        </w:tc>
      </w:tr>
      <w:tr w:rsidR="00D92676" w14:paraId="0305E3F2" w14:textId="77777777" w:rsidTr="00AB1D48">
        <w:trPr>
          <w:trHeight w:val="456"/>
        </w:trPr>
        <w:tc>
          <w:tcPr>
            <w:tcW w:w="3684" w:type="dxa"/>
            <w:vAlign w:val="center"/>
          </w:tcPr>
          <w:p w14:paraId="3FCDBE15" w14:textId="77777777" w:rsidR="00D92676" w:rsidRPr="005B5045" w:rsidRDefault="00D92676" w:rsidP="00AB1D48">
            <w:pPr>
              <w:spacing w:after="0" w:line="312" w:lineRule="auto"/>
              <w:jc w:val="both"/>
              <w:rPr>
                <w:rFonts w:cs="Helvetica"/>
                <w:b/>
                <w:bCs/>
                <w:i/>
                <w:iCs/>
                <w:color w:val="595959"/>
              </w:rPr>
            </w:pPr>
            <w:r w:rsidRPr="005B5045">
              <w:rPr>
                <w:rFonts w:cs="Helvetica"/>
                <w:b/>
                <w:bCs/>
                <w:i/>
                <w:iCs/>
                <w:color w:val="595959"/>
                <w:szCs w:val="20"/>
              </w:rPr>
              <w:t>Oil and grease/ total hydrocarbons</w:t>
            </w:r>
          </w:p>
        </w:tc>
        <w:tc>
          <w:tcPr>
            <w:tcW w:w="2213" w:type="dxa"/>
          </w:tcPr>
          <w:p w14:paraId="5302102F" w14:textId="77777777" w:rsidR="00D92676" w:rsidRDefault="00D92676" w:rsidP="00AB1D48">
            <w:pPr>
              <w:spacing w:after="0" w:line="312" w:lineRule="auto"/>
              <w:jc w:val="center"/>
              <w:rPr>
                <w:rFonts w:cs="Helvetica"/>
                <w:b/>
                <w:color w:val="595959"/>
              </w:rPr>
            </w:pPr>
            <w:r w:rsidRPr="001A5B9F">
              <w:rPr>
                <w:rFonts w:cs="Helvetica"/>
                <w:color w:val="595959"/>
                <w:szCs w:val="20"/>
              </w:rPr>
              <w:t>kg/t Al ingot</w:t>
            </w:r>
          </w:p>
        </w:tc>
        <w:tc>
          <w:tcPr>
            <w:tcW w:w="2361" w:type="dxa"/>
            <w:vAlign w:val="center"/>
          </w:tcPr>
          <w:p w14:paraId="1133ABC6" w14:textId="77777777" w:rsidR="00D92676" w:rsidRDefault="00D92676" w:rsidP="00AB1D48">
            <w:pPr>
              <w:spacing w:after="0" w:line="312" w:lineRule="auto"/>
              <w:jc w:val="center"/>
              <w:rPr>
                <w:rFonts w:cs="Helvetica"/>
                <w:b/>
                <w:color w:val="595959"/>
              </w:rPr>
            </w:pPr>
            <w:r w:rsidRPr="001A5B9F">
              <w:rPr>
                <w:rFonts w:cs="Helvetica"/>
                <w:color w:val="595959"/>
                <w:szCs w:val="20"/>
              </w:rPr>
              <w:t>1.</w:t>
            </w:r>
            <w:r>
              <w:rPr>
                <w:rFonts w:cs="Helvetica"/>
                <w:color w:val="595959"/>
                <w:szCs w:val="20"/>
              </w:rPr>
              <w:t>6</w:t>
            </w:r>
          </w:p>
        </w:tc>
        <w:tc>
          <w:tcPr>
            <w:tcW w:w="1765" w:type="dxa"/>
            <w:vAlign w:val="center"/>
          </w:tcPr>
          <w:p w14:paraId="06519676" w14:textId="77777777" w:rsidR="00D92676" w:rsidRDefault="00D92676" w:rsidP="00AB1D48">
            <w:pPr>
              <w:spacing w:after="0" w:line="312" w:lineRule="auto"/>
              <w:jc w:val="center"/>
              <w:rPr>
                <w:rFonts w:cs="Helvetica"/>
                <w:b/>
                <w:color w:val="595959"/>
              </w:rPr>
            </w:pPr>
            <w:r w:rsidRPr="001A5B9F">
              <w:rPr>
                <w:rFonts w:cs="Helvetica"/>
                <w:color w:val="595959"/>
                <w:szCs w:val="20"/>
              </w:rPr>
              <w:t>3.2</w:t>
            </w:r>
          </w:p>
        </w:tc>
      </w:tr>
    </w:tbl>
    <w:p w14:paraId="14065B70" w14:textId="77777777" w:rsidR="00D92676" w:rsidRDefault="00D92676" w:rsidP="00D92676">
      <w:pPr>
        <w:spacing w:after="0" w:line="312" w:lineRule="auto"/>
        <w:jc w:val="both"/>
        <w:rPr>
          <w:rFonts w:cs="Helvetica"/>
          <w:b/>
          <w:color w:val="595959"/>
        </w:rPr>
      </w:pPr>
      <w:r w:rsidRPr="00360851">
        <w:rPr>
          <w:rFonts w:cs="Helvetica"/>
          <w:b/>
          <w:color w:val="595959"/>
        </w:rPr>
        <w:t xml:space="preserve">Table </w:t>
      </w:r>
      <w:r>
        <w:rPr>
          <w:rFonts w:cs="Helvetica"/>
          <w:b/>
          <w:color w:val="595959"/>
        </w:rPr>
        <w:t>5</w:t>
      </w:r>
      <w:r w:rsidRPr="00E6098F">
        <w:rPr>
          <w:rFonts w:cs="Helvetica"/>
          <w:b/>
          <w:color w:val="595959"/>
        </w:rPr>
        <w:t>:</w:t>
      </w:r>
      <w:r>
        <w:rPr>
          <w:rFonts w:cs="Helvetica"/>
          <w:b/>
          <w:color w:val="595959"/>
        </w:rPr>
        <w:tab/>
        <w:t xml:space="preserve">Life cycle inventory alumina </w:t>
      </w:r>
      <w:r w:rsidRPr="00E6098F">
        <w:rPr>
          <w:rFonts w:cs="Helvetica"/>
          <w:b/>
          <w:color w:val="595959"/>
        </w:rPr>
        <w:t xml:space="preserve">data </w:t>
      </w:r>
      <w:r>
        <w:rPr>
          <w:rFonts w:cs="Helvetica"/>
          <w:b/>
          <w:color w:val="595959"/>
        </w:rPr>
        <w:t>differences for year 2015 and 2019</w:t>
      </w:r>
    </w:p>
    <w:p w14:paraId="5C12D848" w14:textId="77777777" w:rsidR="00D92676" w:rsidRDefault="00D92676" w:rsidP="001D39B1">
      <w:pPr>
        <w:spacing w:after="0" w:line="312" w:lineRule="auto"/>
        <w:jc w:val="both"/>
        <w:rPr>
          <w:rFonts w:cs="Helvetica"/>
          <w:color w:val="595959"/>
        </w:rPr>
      </w:pPr>
    </w:p>
    <w:p w14:paraId="55712874" w14:textId="023300A4" w:rsidR="0092682D" w:rsidRDefault="0092682D" w:rsidP="001D39B1">
      <w:pPr>
        <w:spacing w:after="0" w:line="312" w:lineRule="auto"/>
        <w:jc w:val="both"/>
        <w:rPr>
          <w:rFonts w:cs="Helvetica"/>
          <w:b/>
          <w:i/>
          <w:color w:val="595959"/>
        </w:rPr>
      </w:pPr>
      <w:r w:rsidRPr="0092682D">
        <w:rPr>
          <w:rFonts w:cs="Helvetica"/>
          <w:b/>
          <w:i/>
          <w:color w:val="595959"/>
        </w:rPr>
        <w:t>Other solid industrial waste</w:t>
      </w:r>
      <w:r>
        <w:rPr>
          <w:rFonts w:cs="Helvetica"/>
          <w:b/>
          <w:i/>
          <w:color w:val="595959"/>
        </w:rPr>
        <w:t xml:space="preserve"> </w:t>
      </w:r>
      <w:r w:rsidR="005655C3">
        <w:rPr>
          <w:rFonts w:cs="Helvetica"/>
          <w:color w:val="595959"/>
        </w:rPr>
        <w:t>increased by 33%</w:t>
      </w:r>
      <w:r w:rsidR="00244254">
        <w:rPr>
          <w:rFonts w:cs="Helvetica"/>
          <w:color w:val="595959"/>
        </w:rPr>
        <w:t>, the increas</w:t>
      </w:r>
      <w:r w:rsidR="0069734C">
        <w:rPr>
          <w:rFonts w:cs="Helvetica"/>
          <w:color w:val="595959"/>
        </w:rPr>
        <w:t>e</w:t>
      </w:r>
      <w:r w:rsidR="00244254">
        <w:rPr>
          <w:rFonts w:cs="Helvetica"/>
          <w:color w:val="595959"/>
        </w:rPr>
        <w:t xml:space="preserve"> is caused by</w:t>
      </w:r>
      <w:r w:rsidR="00CF6073">
        <w:rPr>
          <w:rFonts w:cs="Helvetica"/>
          <w:color w:val="595959"/>
        </w:rPr>
        <w:t xml:space="preserve"> existing reporting facilities, as well as </w:t>
      </w:r>
      <w:r w:rsidR="00977378">
        <w:rPr>
          <w:rFonts w:cs="Helvetica"/>
          <w:color w:val="595959"/>
        </w:rPr>
        <w:t>new facilities joined the 2019 survey.</w:t>
      </w:r>
    </w:p>
    <w:p w14:paraId="07DE2C15" w14:textId="77777777" w:rsidR="008B74DE" w:rsidRDefault="008B74DE" w:rsidP="009E11C8">
      <w:pPr>
        <w:spacing w:after="0" w:line="312" w:lineRule="auto"/>
        <w:jc w:val="both"/>
        <w:rPr>
          <w:rFonts w:cs="Helvetica"/>
          <w:color w:val="595959"/>
        </w:rPr>
      </w:pPr>
    </w:p>
    <w:p w14:paraId="67C11CFC" w14:textId="70B47791" w:rsidR="006A7194" w:rsidRPr="006A7194" w:rsidRDefault="0069734C" w:rsidP="009E11C8">
      <w:pPr>
        <w:spacing w:after="0" w:line="312" w:lineRule="auto"/>
        <w:jc w:val="both"/>
        <w:rPr>
          <w:rFonts w:cs="Helvetica"/>
          <w:b/>
          <w:i/>
          <w:color w:val="595959"/>
        </w:rPr>
      </w:pPr>
      <w:r>
        <w:rPr>
          <w:rFonts w:cs="Helvetica"/>
          <w:b/>
          <w:i/>
          <w:color w:val="595959"/>
        </w:rPr>
        <w:t>Energy</w:t>
      </w:r>
      <w:r w:rsidRPr="00F83C2A">
        <w:rPr>
          <w:rFonts w:cs="Helvetica"/>
          <w:b/>
          <w:i/>
          <w:color w:val="595959"/>
        </w:rPr>
        <w:t xml:space="preserve"> </w:t>
      </w:r>
      <w:r w:rsidR="006A7194">
        <w:rPr>
          <w:rFonts w:cs="Helvetica"/>
          <w:b/>
          <w:i/>
          <w:color w:val="595959"/>
        </w:rPr>
        <w:t>consumption</w:t>
      </w:r>
    </w:p>
    <w:p w14:paraId="52655970" w14:textId="770FC9A6" w:rsidR="008B74DE" w:rsidRDefault="006A7194" w:rsidP="009E11C8">
      <w:pPr>
        <w:spacing w:after="0" w:line="312" w:lineRule="auto"/>
        <w:jc w:val="both"/>
        <w:rPr>
          <w:rFonts w:cs="Helvetica"/>
          <w:color w:val="595959"/>
        </w:rPr>
      </w:pPr>
      <w:r>
        <w:rPr>
          <w:rFonts w:cs="Helvetica"/>
          <w:color w:val="595959"/>
        </w:rPr>
        <w:t>Comparing the global alumina (including China) industry fuel mix from 2015 to 2019, energy intensity of the process has actually decreased by 10%.  This is not a reporting difference and represents a real change in the industry’s energy consumption per tonne of product. This demonstrates the industry’s continuing effort of improving</w:t>
      </w:r>
      <w:r w:rsidR="00F539D9">
        <w:rPr>
          <w:rFonts w:cs="Helvetica"/>
          <w:color w:val="595959"/>
        </w:rPr>
        <w:t xml:space="preserve"> </w:t>
      </w:r>
      <w:r>
        <w:rPr>
          <w:rFonts w:cs="Helvetica"/>
          <w:color w:val="595959"/>
        </w:rPr>
        <w:t xml:space="preserve">energy efficiency.  </w:t>
      </w:r>
    </w:p>
    <w:p w14:paraId="4BA8D0D1" w14:textId="40967B3F" w:rsidR="006A7194" w:rsidRDefault="00206770" w:rsidP="006A7194">
      <w:pPr>
        <w:spacing w:after="0" w:line="312" w:lineRule="auto"/>
        <w:jc w:val="center"/>
        <w:rPr>
          <w:rFonts w:cs="Helvetica"/>
          <w:color w:val="595959"/>
        </w:rPr>
      </w:pPr>
      <w:r>
        <w:rPr>
          <w:noProof/>
        </w:rPr>
        <w:lastRenderedPageBreak/>
        <w:drawing>
          <wp:inline distT="0" distB="0" distL="0" distR="0" wp14:anchorId="6802FB72" wp14:editId="55754344">
            <wp:extent cx="4419600" cy="2743200"/>
            <wp:effectExtent l="0" t="0" r="0" b="0"/>
            <wp:docPr id="33" name="Chart 33">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65FD026" w14:textId="31E9A06A" w:rsidR="006A7194" w:rsidRDefault="006A7194" w:rsidP="006A7194">
      <w:pPr>
        <w:spacing w:before="120" w:after="0" w:line="312" w:lineRule="auto"/>
        <w:jc w:val="right"/>
        <w:rPr>
          <w:rFonts w:cs="Helvetica"/>
          <w:b/>
          <w:color w:val="595959"/>
        </w:rPr>
      </w:pPr>
      <w:r w:rsidRPr="00E6098F">
        <w:rPr>
          <w:rFonts w:cs="Helvetica"/>
          <w:b/>
          <w:color w:val="595959"/>
        </w:rPr>
        <w:t xml:space="preserve">Figure </w:t>
      </w:r>
      <w:r w:rsidR="00634F72">
        <w:rPr>
          <w:rFonts w:cs="Helvetica"/>
          <w:b/>
          <w:color w:val="595959"/>
        </w:rPr>
        <w:t>6</w:t>
      </w:r>
      <w:r w:rsidRPr="00E6098F">
        <w:rPr>
          <w:rFonts w:cs="Helvetica"/>
          <w:b/>
          <w:color w:val="595959"/>
        </w:rPr>
        <w:t>:</w:t>
      </w:r>
      <w:r>
        <w:rPr>
          <w:rFonts w:cs="Helvetica"/>
          <w:b/>
          <w:color w:val="595959"/>
        </w:rPr>
        <w:tab/>
        <w:t>G</w:t>
      </w:r>
      <w:r w:rsidRPr="00E6098F">
        <w:rPr>
          <w:rFonts w:cs="Helvetica"/>
          <w:b/>
          <w:color w:val="595959"/>
        </w:rPr>
        <w:t xml:space="preserve">lobal energy intensity of the alumina </w:t>
      </w:r>
      <w:r>
        <w:rPr>
          <w:rFonts w:cs="Helvetica"/>
          <w:b/>
          <w:color w:val="595959"/>
        </w:rPr>
        <w:t>production</w:t>
      </w:r>
      <w:r w:rsidRPr="00E6098F">
        <w:rPr>
          <w:rFonts w:cs="Helvetica"/>
          <w:b/>
          <w:color w:val="595959"/>
        </w:rPr>
        <w:t xml:space="preserve"> process for years 20</w:t>
      </w:r>
      <w:r>
        <w:rPr>
          <w:rFonts w:cs="Helvetica"/>
          <w:b/>
          <w:color w:val="595959"/>
        </w:rPr>
        <w:t>10</w:t>
      </w:r>
      <w:r w:rsidRPr="00E6098F">
        <w:rPr>
          <w:rFonts w:cs="Helvetica"/>
          <w:b/>
          <w:color w:val="595959"/>
        </w:rPr>
        <w:t xml:space="preserve"> </w:t>
      </w:r>
      <w:r>
        <w:rPr>
          <w:rFonts w:cs="Helvetica"/>
          <w:b/>
          <w:color w:val="595959"/>
        </w:rPr>
        <w:t>–</w:t>
      </w:r>
      <w:r w:rsidRPr="00E6098F">
        <w:rPr>
          <w:rFonts w:cs="Helvetica"/>
          <w:b/>
          <w:color w:val="595959"/>
        </w:rPr>
        <w:t xml:space="preserve"> </w:t>
      </w:r>
      <w:bookmarkStart w:id="108" w:name="_Toc480555215"/>
      <w:bookmarkStart w:id="109" w:name="_Toc480555301"/>
      <w:bookmarkStart w:id="110" w:name="_Toc480555387"/>
      <w:bookmarkStart w:id="111" w:name="_Toc480555469"/>
      <w:bookmarkStart w:id="112" w:name="_Toc480971413"/>
      <w:bookmarkEnd w:id="108"/>
      <w:bookmarkEnd w:id="109"/>
      <w:bookmarkEnd w:id="110"/>
      <w:bookmarkEnd w:id="111"/>
      <w:bookmarkEnd w:id="112"/>
      <w:r w:rsidRPr="00E6098F">
        <w:rPr>
          <w:rFonts w:cs="Helvetica"/>
          <w:b/>
          <w:color w:val="595959"/>
        </w:rPr>
        <w:t>201</w:t>
      </w:r>
      <w:r>
        <w:rPr>
          <w:rFonts w:cs="Helvetica"/>
          <w:b/>
          <w:color w:val="595959"/>
        </w:rPr>
        <w:t>9</w:t>
      </w:r>
    </w:p>
    <w:p w14:paraId="210EAFDC" w14:textId="77777777" w:rsidR="006A7194" w:rsidRDefault="006A7194" w:rsidP="009E11C8">
      <w:pPr>
        <w:spacing w:after="0" w:line="312" w:lineRule="auto"/>
        <w:jc w:val="both"/>
        <w:rPr>
          <w:rFonts w:cs="Helvetica"/>
          <w:color w:val="595959"/>
        </w:rPr>
      </w:pPr>
    </w:p>
    <w:p w14:paraId="75B38416" w14:textId="5BF5F2FB" w:rsidR="00413A3B" w:rsidRPr="009462C9" w:rsidRDefault="00413A3B" w:rsidP="00DE37A7">
      <w:pPr>
        <w:pStyle w:val="Heading4"/>
        <w:numPr>
          <w:ilvl w:val="3"/>
          <w:numId w:val="61"/>
        </w:numPr>
      </w:pPr>
      <w:bookmarkStart w:id="113" w:name="_Toc120111933"/>
      <w:r w:rsidRPr="00413A3B">
        <w:t>Methodology Differences</w:t>
      </w:r>
      <w:bookmarkEnd w:id="113"/>
    </w:p>
    <w:p w14:paraId="2B6FA114" w14:textId="57FC7AA3" w:rsidR="009462C9" w:rsidRDefault="009462C9" w:rsidP="009462C9">
      <w:pPr>
        <w:spacing w:after="0" w:line="312" w:lineRule="auto"/>
        <w:jc w:val="both"/>
        <w:rPr>
          <w:rFonts w:cs="Helvetica"/>
          <w:color w:val="595959"/>
        </w:rPr>
      </w:pPr>
      <w:r w:rsidRPr="00BC31F7">
        <w:rPr>
          <w:rFonts w:cs="Helvetica"/>
          <w:b/>
          <w:i/>
          <w:color w:val="595959"/>
        </w:rPr>
        <w:t xml:space="preserve">Calcined </w:t>
      </w:r>
      <w:r>
        <w:rPr>
          <w:rFonts w:cs="Helvetica"/>
          <w:b/>
          <w:i/>
          <w:color w:val="595959"/>
        </w:rPr>
        <w:t>l</w:t>
      </w:r>
      <w:r w:rsidRPr="00BC31F7">
        <w:rPr>
          <w:rFonts w:cs="Helvetica"/>
          <w:b/>
          <w:i/>
          <w:color w:val="595959"/>
        </w:rPr>
        <w:t>ime</w:t>
      </w:r>
      <w:r>
        <w:rPr>
          <w:rFonts w:cs="Helvetica"/>
          <w:b/>
          <w:i/>
          <w:color w:val="595959"/>
        </w:rPr>
        <w:t xml:space="preserve"> </w:t>
      </w:r>
      <w:r w:rsidRPr="00C233E9">
        <w:rPr>
          <w:rFonts w:cs="Helvetica"/>
          <w:color w:val="595959"/>
        </w:rPr>
        <w:t xml:space="preserve">consumption </w:t>
      </w:r>
      <w:r w:rsidR="00313B4D">
        <w:rPr>
          <w:rFonts w:cs="Helvetica"/>
          <w:color w:val="595959"/>
        </w:rPr>
        <w:t xml:space="preserve">in addition to purchased lime, takes on-site produced lime into account. </w:t>
      </w:r>
      <w:r w:rsidR="00C86146">
        <w:rPr>
          <w:rFonts w:cs="Helvetica"/>
          <w:color w:val="595959"/>
        </w:rPr>
        <w:t xml:space="preserve">By following the updated accounting, 2015 lime consumption </w:t>
      </w:r>
      <w:r w:rsidR="00633B9B">
        <w:rPr>
          <w:rFonts w:cs="Helvetica"/>
          <w:color w:val="595959"/>
        </w:rPr>
        <w:t xml:space="preserve">should be </w:t>
      </w:r>
      <w:r w:rsidR="005D3028">
        <w:rPr>
          <w:rFonts w:cs="Helvetica"/>
          <w:color w:val="595959"/>
        </w:rPr>
        <w:t>52kg/t alumina, which is similar to the 2019 surveyed result.</w:t>
      </w:r>
      <w:r>
        <w:rPr>
          <w:rFonts w:cs="Helvetica"/>
          <w:color w:val="595959"/>
        </w:rPr>
        <w:t xml:space="preserve">  </w:t>
      </w:r>
    </w:p>
    <w:p w14:paraId="0F4956D5" w14:textId="07B28286" w:rsidR="00036C96" w:rsidRDefault="00036C96" w:rsidP="009E11C8">
      <w:pPr>
        <w:spacing w:after="0" w:line="312" w:lineRule="auto"/>
        <w:jc w:val="both"/>
        <w:rPr>
          <w:rFonts w:cs="Helvetica"/>
          <w:color w:val="595959"/>
        </w:rPr>
      </w:pPr>
    </w:p>
    <w:p w14:paraId="0B94DC09" w14:textId="77777777" w:rsidR="00C66603" w:rsidRPr="000D0304" w:rsidRDefault="00C66603" w:rsidP="00DA5301">
      <w:pPr>
        <w:pStyle w:val="Heading3"/>
      </w:pPr>
      <w:bookmarkStart w:id="114" w:name="_Toc363829108"/>
      <w:bookmarkStart w:id="115" w:name="_Toc120111934"/>
      <w:r w:rsidRPr="000D0304">
        <w:t>Anode Production, Electrolysis &amp; Ingot Casting</w:t>
      </w:r>
      <w:bookmarkEnd w:id="114"/>
      <w:bookmarkEnd w:id="115"/>
    </w:p>
    <w:p w14:paraId="68C9F0A7" w14:textId="77777777" w:rsidR="00A57FA5" w:rsidRPr="000D0304" w:rsidRDefault="00A57FA5" w:rsidP="00DE37A7">
      <w:pPr>
        <w:pStyle w:val="Heading4"/>
        <w:numPr>
          <w:ilvl w:val="3"/>
          <w:numId w:val="61"/>
        </w:numPr>
      </w:pPr>
      <w:bookmarkStart w:id="116" w:name="_Toc120111935"/>
      <w:r w:rsidRPr="000D0304">
        <w:t>Data Driven Differences</w:t>
      </w:r>
      <w:bookmarkEnd w:id="116"/>
      <w:r w:rsidRPr="000D0304">
        <w:t xml:space="preserve"> </w:t>
      </w:r>
    </w:p>
    <w:p w14:paraId="38B147EF" w14:textId="77777777" w:rsidR="00036C96" w:rsidRDefault="00036C96" w:rsidP="000D0304">
      <w:pPr>
        <w:spacing w:after="0" w:line="312" w:lineRule="auto"/>
        <w:ind w:left="357"/>
        <w:jc w:val="right"/>
        <w:rPr>
          <w:rFonts w:cs="Helvetica"/>
          <w:b/>
          <w:color w:val="595959"/>
        </w:rPr>
      </w:pPr>
    </w:p>
    <w:p w14:paraId="77847A1B" w14:textId="3697ABF1" w:rsidR="00206770" w:rsidRDefault="0069734C" w:rsidP="001A5B9F">
      <w:pPr>
        <w:spacing w:after="0" w:line="312" w:lineRule="auto"/>
        <w:jc w:val="both"/>
        <w:rPr>
          <w:rFonts w:cs="Helvetica"/>
          <w:b/>
          <w:i/>
          <w:color w:val="595959"/>
        </w:rPr>
      </w:pPr>
      <w:r>
        <w:rPr>
          <w:rFonts w:cs="Helvetica"/>
          <w:b/>
          <w:i/>
          <w:color w:val="595959"/>
        </w:rPr>
        <w:t xml:space="preserve">Alumina’s </w:t>
      </w:r>
      <w:r w:rsidR="00206770">
        <w:rPr>
          <w:rFonts w:cs="Helvetica"/>
          <w:b/>
          <w:i/>
          <w:color w:val="595959"/>
        </w:rPr>
        <w:t>Transport</w:t>
      </w:r>
      <w:r>
        <w:rPr>
          <w:rFonts w:cs="Helvetica"/>
          <w:b/>
          <w:i/>
          <w:color w:val="595959"/>
        </w:rPr>
        <w:t xml:space="preserve"> distance</w:t>
      </w:r>
      <w:r w:rsidR="00206770">
        <w:rPr>
          <w:rFonts w:cs="Helvetica"/>
          <w:b/>
          <w:i/>
          <w:color w:val="595959"/>
        </w:rPr>
        <w:t xml:space="preserve"> by rail </w:t>
      </w:r>
      <w:r w:rsidR="00206770" w:rsidRPr="00FD4D41">
        <w:rPr>
          <w:rFonts w:cs="Helvetica"/>
          <w:color w:val="595959"/>
        </w:rPr>
        <w:t>increased significantly</w:t>
      </w:r>
      <w:r w:rsidR="00206770">
        <w:rPr>
          <w:rFonts w:cs="Helvetica"/>
          <w:color w:val="595959"/>
        </w:rPr>
        <w:t xml:space="preserve"> as the reporting facilities have increased from 5 smelters in 3 countries to 24 smelters in 7 countries.</w:t>
      </w:r>
    </w:p>
    <w:p w14:paraId="3E32B6F6" w14:textId="77777777" w:rsidR="00206770" w:rsidRDefault="00206770" w:rsidP="001A5B9F">
      <w:pPr>
        <w:spacing w:after="0" w:line="312" w:lineRule="auto"/>
        <w:jc w:val="both"/>
        <w:rPr>
          <w:rFonts w:cs="Helvetica"/>
          <w:b/>
          <w:i/>
          <w:color w:val="595959"/>
        </w:rPr>
      </w:pPr>
    </w:p>
    <w:p w14:paraId="54D430B1" w14:textId="22442D7E" w:rsidR="000914EE" w:rsidRDefault="00D24D89" w:rsidP="001A5B9F">
      <w:pPr>
        <w:spacing w:after="0" w:line="312" w:lineRule="auto"/>
        <w:jc w:val="both"/>
        <w:rPr>
          <w:rFonts w:cs="Helvetica"/>
          <w:color w:val="595959"/>
        </w:rPr>
      </w:pPr>
      <w:r w:rsidRPr="00FD2B30">
        <w:rPr>
          <w:rFonts w:cs="Helvetica"/>
          <w:b/>
          <w:i/>
          <w:color w:val="595959"/>
        </w:rPr>
        <w:t>Freshwater consumption</w:t>
      </w:r>
      <w:r w:rsidR="00FD2B30" w:rsidRPr="00FD2B30">
        <w:rPr>
          <w:rFonts w:cs="Helvetica"/>
          <w:b/>
          <w:i/>
          <w:color w:val="595959"/>
        </w:rPr>
        <w:t xml:space="preserve"> (input-output)</w:t>
      </w:r>
      <w:r>
        <w:rPr>
          <w:rFonts w:cs="Helvetica"/>
          <w:color w:val="595959"/>
        </w:rPr>
        <w:t xml:space="preserve"> has increased from </w:t>
      </w:r>
      <w:r w:rsidR="00C977C8">
        <w:rPr>
          <w:rFonts w:cs="Helvetica"/>
          <w:color w:val="595959"/>
        </w:rPr>
        <w:t>2.3</w:t>
      </w:r>
      <w:r w:rsidRPr="00D24D89">
        <w:rPr>
          <w:rFonts w:cs="Helvetica"/>
          <w:color w:val="595959"/>
        </w:rPr>
        <w:t xml:space="preserve"> </w:t>
      </w:r>
      <w:r>
        <w:rPr>
          <w:rFonts w:cs="Helvetica"/>
          <w:color w:val="595959"/>
        </w:rPr>
        <w:t>m</w:t>
      </w:r>
      <w:r w:rsidRPr="001F0F5F">
        <w:rPr>
          <w:rFonts w:cs="Helvetica"/>
          <w:color w:val="595959"/>
          <w:vertAlign w:val="superscript"/>
        </w:rPr>
        <w:t>3</w:t>
      </w:r>
      <w:r>
        <w:rPr>
          <w:rFonts w:cs="Helvetica"/>
          <w:color w:val="595959"/>
        </w:rPr>
        <w:t xml:space="preserve"> </w:t>
      </w:r>
      <w:r w:rsidRPr="001F0F5F">
        <w:rPr>
          <w:rFonts w:cs="Helvetica"/>
          <w:color w:val="595959"/>
        </w:rPr>
        <w:t>H</w:t>
      </w:r>
      <w:r w:rsidRPr="001F0F5F">
        <w:rPr>
          <w:rFonts w:cs="Helvetica"/>
          <w:color w:val="595959"/>
          <w:vertAlign w:val="subscript"/>
        </w:rPr>
        <w:t>2</w:t>
      </w:r>
      <w:r w:rsidRPr="001F0F5F">
        <w:rPr>
          <w:rFonts w:cs="Helvetica"/>
          <w:color w:val="595959"/>
        </w:rPr>
        <w:t>O/t Al</w:t>
      </w:r>
      <w:r>
        <w:rPr>
          <w:rFonts w:cs="Helvetica"/>
          <w:color w:val="595959"/>
        </w:rPr>
        <w:t xml:space="preserve"> in </w:t>
      </w:r>
      <w:r w:rsidR="00C977C8">
        <w:rPr>
          <w:rFonts w:cs="Helvetica"/>
          <w:color w:val="595959"/>
        </w:rPr>
        <w:t xml:space="preserve">2015 </w:t>
      </w:r>
      <w:r>
        <w:rPr>
          <w:rFonts w:cs="Helvetica"/>
          <w:color w:val="595959"/>
        </w:rPr>
        <w:t xml:space="preserve">to </w:t>
      </w:r>
      <w:r w:rsidR="00C977C8">
        <w:rPr>
          <w:rFonts w:cs="Helvetica"/>
          <w:color w:val="595959"/>
        </w:rPr>
        <w:t>5.6</w:t>
      </w:r>
      <w:r>
        <w:rPr>
          <w:rFonts w:cs="Helvetica"/>
          <w:color w:val="595959"/>
        </w:rPr>
        <w:t xml:space="preserve"> m</w:t>
      </w:r>
      <w:r w:rsidRPr="001F0F5F">
        <w:rPr>
          <w:rFonts w:cs="Helvetica"/>
          <w:color w:val="595959"/>
          <w:vertAlign w:val="superscript"/>
        </w:rPr>
        <w:t>3</w:t>
      </w:r>
      <w:r>
        <w:rPr>
          <w:rFonts w:cs="Helvetica"/>
          <w:color w:val="595959"/>
        </w:rPr>
        <w:t xml:space="preserve"> </w:t>
      </w:r>
      <w:r w:rsidRPr="001F0F5F">
        <w:rPr>
          <w:rFonts w:cs="Helvetica"/>
          <w:color w:val="595959"/>
        </w:rPr>
        <w:t>H</w:t>
      </w:r>
      <w:r w:rsidRPr="001F0F5F">
        <w:rPr>
          <w:rFonts w:cs="Helvetica"/>
          <w:color w:val="595959"/>
          <w:vertAlign w:val="subscript"/>
        </w:rPr>
        <w:t>2</w:t>
      </w:r>
      <w:r w:rsidRPr="001F0F5F">
        <w:rPr>
          <w:rFonts w:cs="Helvetica"/>
          <w:color w:val="595959"/>
        </w:rPr>
        <w:t>O/t Al</w:t>
      </w:r>
      <w:r w:rsidR="00693DF0">
        <w:rPr>
          <w:rFonts w:cs="Helvetica"/>
          <w:color w:val="595959"/>
        </w:rPr>
        <w:t xml:space="preserve"> in </w:t>
      </w:r>
      <w:r w:rsidR="00C977C8">
        <w:rPr>
          <w:rFonts w:cs="Helvetica"/>
          <w:color w:val="595959"/>
        </w:rPr>
        <w:t>2019</w:t>
      </w:r>
      <w:r>
        <w:rPr>
          <w:rFonts w:cs="Helvetica"/>
          <w:color w:val="595959"/>
        </w:rPr>
        <w:t xml:space="preserve">. </w:t>
      </w:r>
      <w:r w:rsidR="00E448B1">
        <w:rPr>
          <w:rFonts w:cs="Helvetica"/>
          <w:b/>
          <w:i/>
          <w:color w:val="595959"/>
        </w:rPr>
        <w:t>F</w:t>
      </w:r>
      <w:r w:rsidR="00E448B1" w:rsidRPr="00E050B7">
        <w:rPr>
          <w:rFonts w:cs="Helvetica"/>
          <w:b/>
          <w:i/>
          <w:color w:val="595959"/>
        </w:rPr>
        <w:t>resh water input</w:t>
      </w:r>
      <w:r w:rsidR="00E448B1">
        <w:rPr>
          <w:rFonts w:cs="Helvetica"/>
          <w:color w:val="595959"/>
        </w:rPr>
        <w:t xml:space="preserve"> and </w:t>
      </w:r>
      <w:r w:rsidR="00E448B1" w:rsidRPr="00E050B7">
        <w:rPr>
          <w:rFonts w:cs="Helvetica"/>
          <w:b/>
          <w:i/>
          <w:color w:val="595959"/>
        </w:rPr>
        <w:t>output</w:t>
      </w:r>
      <w:r>
        <w:rPr>
          <w:rFonts w:cs="Helvetica"/>
          <w:b/>
          <w:i/>
          <w:color w:val="595959"/>
        </w:rPr>
        <w:t xml:space="preserve"> </w:t>
      </w:r>
      <w:r w:rsidR="00E448B1">
        <w:rPr>
          <w:rFonts w:cs="Helvetica"/>
          <w:color w:val="595959"/>
        </w:rPr>
        <w:t xml:space="preserve">have a number of </w:t>
      </w:r>
      <w:r w:rsidR="002F6C92">
        <w:rPr>
          <w:rFonts w:cs="Helvetica"/>
          <w:color w:val="595959"/>
        </w:rPr>
        <w:t>u</w:t>
      </w:r>
      <w:r w:rsidR="00C66603" w:rsidRPr="009F1382">
        <w:rPr>
          <w:rFonts w:cs="Helvetica"/>
          <w:color w:val="595959"/>
        </w:rPr>
        <w:t>ncertainties</w:t>
      </w:r>
      <w:r w:rsidR="002F6C92">
        <w:rPr>
          <w:rFonts w:cs="Helvetica"/>
          <w:color w:val="595959"/>
        </w:rPr>
        <w:t xml:space="preserve"> associated with r</w:t>
      </w:r>
      <w:r w:rsidR="00C66603">
        <w:rPr>
          <w:rFonts w:cs="Helvetica"/>
          <w:color w:val="595959"/>
        </w:rPr>
        <w:t>eported values</w:t>
      </w:r>
      <w:r w:rsidR="00C66603" w:rsidRPr="003609B3">
        <w:rPr>
          <w:rFonts w:cs="Helvetica"/>
          <w:color w:val="595959"/>
        </w:rPr>
        <w:t>, reflecting differences in</w:t>
      </w:r>
      <w:r w:rsidR="00C66603" w:rsidRPr="009F1382">
        <w:rPr>
          <w:rFonts w:cs="Helvetica"/>
          <w:color w:val="595959"/>
        </w:rPr>
        <w:t xml:space="preserve"> </w:t>
      </w:r>
      <w:r w:rsidR="00C66603">
        <w:rPr>
          <w:rFonts w:cs="Helvetica"/>
          <w:color w:val="595959"/>
        </w:rPr>
        <w:t xml:space="preserve">facilities’ </w:t>
      </w:r>
      <w:r w:rsidR="00C66603" w:rsidRPr="009F1382">
        <w:rPr>
          <w:rFonts w:cs="Helvetica"/>
          <w:color w:val="595959"/>
        </w:rPr>
        <w:t>measurement</w:t>
      </w:r>
      <w:r w:rsidR="00C66603">
        <w:rPr>
          <w:rFonts w:cs="Helvetica"/>
          <w:color w:val="595959"/>
        </w:rPr>
        <w:t xml:space="preserve"> of freshwater use and consumption</w:t>
      </w:r>
      <w:r w:rsidR="009831A3">
        <w:rPr>
          <w:rFonts w:cs="Helvetica"/>
          <w:color w:val="595959"/>
        </w:rPr>
        <w:t xml:space="preserve">.  </w:t>
      </w:r>
      <w:r w:rsidR="002F6C92">
        <w:rPr>
          <w:rFonts w:cs="Helvetica"/>
          <w:color w:val="595959"/>
        </w:rPr>
        <w:t xml:space="preserve">In some cases, sites with comprehensive water </w:t>
      </w:r>
      <w:r w:rsidR="00C66603">
        <w:rPr>
          <w:rFonts w:cs="Helvetica"/>
          <w:color w:val="595959"/>
        </w:rPr>
        <w:t>measurement</w:t>
      </w:r>
      <w:r w:rsidR="002F6C92">
        <w:rPr>
          <w:rFonts w:cs="Helvetica"/>
          <w:color w:val="595959"/>
        </w:rPr>
        <w:t xml:space="preserve"> systems </w:t>
      </w:r>
      <w:r w:rsidR="00E448B1">
        <w:rPr>
          <w:rFonts w:cs="Helvetica"/>
          <w:color w:val="595959"/>
        </w:rPr>
        <w:t xml:space="preserve">are </w:t>
      </w:r>
      <w:r w:rsidR="002F6C92">
        <w:rPr>
          <w:rFonts w:cs="Helvetica"/>
          <w:color w:val="595959"/>
        </w:rPr>
        <w:t xml:space="preserve">able to report </w:t>
      </w:r>
      <w:r w:rsidR="00FD2B30">
        <w:rPr>
          <w:rFonts w:cs="Helvetica"/>
          <w:color w:val="595959"/>
        </w:rPr>
        <w:t xml:space="preserve">disaggregated </w:t>
      </w:r>
      <w:r w:rsidR="002F6C92">
        <w:rPr>
          <w:rFonts w:cs="Helvetica"/>
          <w:color w:val="595959"/>
        </w:rPr>
        <w:t>water data</w:t>
      </w:r>
      <w:r w:rsidR="009831A3">
        <w:rPr>
          <w:rFonts w:cs="Helvetica"/>
          <w:color w:val="595959"/>
        </w:rPr>
        <w:t xml:space="preserve">.  </w:t>
      </w:r>
      <w:r w:rsidR="002F6C92">
        <w:rPr>
          <w:rFonts w:cs="Helvetica"/>
          <w:color w:val="595959"/>
        </w:rPr>
        <w:t xml:space="preserve">For many however, </w:t>
      </w:r>
      <w:r w:rsidR="00C66603">
        <w:rPr>
          <w:rFonts w:cs="Helvetica"/>
          <w:color w:val="595959"/>
        </w:rPr>
        <w:t>fresh</w:t>
      </w:r>
      <w:r w:rsidR="00C66603" w:rsidRPr="009F1382">
        <w:rPr>
          <w:rFonts w:cs="Helvetica"/>
          <w:color w:val="595959"/>
        </w:rPr>
        <w:t xml:space="preserve">water </w:t>
      </w:r>
      <w:r w:rsidR="00C66603">
        <w:rPr>
          <w:rFonts w:cs="Helvetica"/>
          <w:color w:val="595959"/>
        </w:rPr>
        <w:t>input and output</w:t>
      </w:r>
      <w:r w:rsidR="00693DF0">
        <w:rPr>
          <w:rFonts w:cs="Helvetica"/>
          <w:color w:val="595959"/>
        </w:rPr>
        <w:t xml:space="preserve"> data</w:t>
      </w:r>
      <w:r w:rsidR="00C66603">
        <w:rPr>
          <w:rFonts w:cs="Helvetica"/>
          <w:color w:val="595959"/>
        </w:rPr>
        <w:t xml:space="preserve"> for anode production, electrolysis and ingot c</w:t>
      </w:r>
      <w:r w:rsidR="00C66603" w:rsidRPr="00A53349">
        <w:rPr>
          <w:rFonts w:cs="Helvetica"/>
          <w:color w:val="595959"/>
        </w:rPr>
        <w:t>asting</w:t>
      </w:r>
      <w:r w:rsidR="002F6C92">
        <w:rPr>
          <w:rFonts w:cs="Helvetica"/>
          <w:color w:val="595959"/>
        </w:rPr>
        <w:t xml:space="preserve"> </w:t>
      </w:r>
      <w:r w:rsidR="00E448B1">
        <w:rPr>
          <w:rFonts w:cs="Helvetica"/>
          <w:color w:val="595959"/>
        </w:rPr>
        <w:t xml:space="preserve">are </w:t>
      </w:r>
      <w:r w:rsidR="002F6C92">
        <w:rPr>
          <w:rFonts w:cs="Helvetica"/>
          <w:color w:val="595959"/>
        </w:rPr>
        <w:t>reported as a ‘total plant’ number</w:t>
      </w:r>
      <w:r w:rsidR="009831A3">
        <w:rPr>
          <w:rFonts w:cs="Helvetica"/>
          <w:color w:val="595959"/>
        </w:rPr>
        <w:t xml:space="preserve">.  </w:t>
      </w:r>
      <w:r w:rsidR="00FD2B30">
        <w:rPr>
          <w:rFonts w:cs="Helvetica"/>
          <w:color w:val="595959"/>
        </w:rPr>
        <w:t>A</w:t>
      </w:r>
      <w:r w:rsidR="002F6C92">
        <w:rPr>
          <w:rFonts w:cs="Helvetica"/>
          <w:color w:val="595959"/>
        </w:rPr>
        <w:t>n</w:t>
      </w:r>
      <w:r w:rsidR="00C66603" w:rsidRPr="009F1382">
        <w:rPr>
          <w:rFonts w:cs="Helvetica"/>
          <w:color w:val="595959"/>
        </w:rPr>
        <w:t xml:space="preserve"> </w:t>
      </w:r>
      <w:r w:rsidR="00C66603">
        <w:rPr>
          <w:rFonts w:cs="Helvetica"/>
          <w:color w:val="595959"/>
        </w:rPr>
        <w:t>indicative split</w:t>
      </w:r>
      <w:r w:rsidR="002F6C92">
        <w:rPr>
          <w:rFonts w:cs="Helvetica"/>
          <w:color w:val="595959"/>
        </w:rPr>
        <w:t xml:space="preserve"> for freshwater</w:t>
      </w:r>
      <w:r w:rsidR="00C66603">
        <w:rPr>
          <w:rFonts w:cs="Helvetica"/>
          <w:color w:val="595959"/>
        </w:rPr>
        <w:t xml:space="preserve"> </w:t>
      </w:r>
      <w:r w:rsidR="00FD2B30">
        <w:rPr>
          <w:rFonts w:cs="Helvetica"/>
          <w:color w:val="595959"/>
        </w:rPr>
        <w:t>consumption by unit process</w:t>
      </w:r>
      <w:r w:rsidR="002F6C92">
        <w:rPr>
          <w:rFonts w:cs="Helvetica"/>
          <w:color w:val="595959"/>
        </w:rPr>
        <w:t xml:space="preserve"> ha</w:t>
      </w:r>
      <w:r w:rsidR="00FD2B30">
        <w:rPr>
          <w:rFonts w:cs="Helvetica"/>
          <w:color w:val="595959"/>
        </w:rPr>
        <w:t>s</w:t>
      </w:r>
      <w:r w:rsidR="002F6C92">
        <w:rPr>
          <w:rFonts w:cs="Helvetica"/>
          <w:color w:val="595959"/>
        </w:rPr>
        <w:t xml:space="preserve"> been estimated</w:t>
      </w:r>
      <w:r w:rsidR="00E448B1">
        <w:rPr>
          <w:rFonts w:cs="Helvetica"/>
          <w:color w:val="595959"/>
        </w:rPr>
        <w:t>,</w:t>
      </w:r>
      <w:r w:rsidR="002F6C92">
        <w:rPr>
          <w:rFonts w:cs="Helvetica"/>
          <w:color w:val="595959"/>
        </w:rPr>
        <w:t xml:space="preserve"> based on historic trends and from typical usage estimates derived from</w:t>
      </w:r>
      <w:r w:rsidR="00C66603">
        <w:rPr>
          <w:rFonts w:cs="Helvetica"/>
          <w:color w:val="595959"/>
        </w:rPr>
        <w:t xml:space="preserve"> reporters that </w:t>
      </w:r>
      <w:r w:rsidR="002F6C92">
        <w:rPr>
          <w:rFonts w:cs="Helvetica"/>
          <w:color w:val="595959"/>
        </w:rPr>
        <w:t>submitted separate process data</w:t>
      </w:r>
      <w:r w:rsidR="009831A3">
        <w:rPr>
          <w:rFonts w:cs="Helvetica"/>
          <w:color w:val="595959"/>
        </w:rPr>
        <w:t>.</w:t>
      </w:r>
      <w:r w:rsidR="00C977C8">
        <w:rPr>
          <w:rFonts w:cs="Helvetica"/>
          <w:color w:val="595959"/>
        </w:rPr>
        <w:t xml:space="preserve"> The number of reporting facilities have increased by more than 1/3, which also has an impact on the results.</w:t>
      </w:r>
    </w:p>
    <w:p w14:paraId="04217238" w14:textId="6B023231" w:rsidR="003307D7" w:rsidRDefault="003307D7" w:rsidP="001A5B9F">
      <w:pPr>
        <w:spacing w:after="0" w:line="312" w:lineRule="auto"/>
        <w:jc w:val="both"/>
        <w:rPr>
          <w:rFonts w:cs="Helvetica"/>
          <w:color w:val="595959"/>
        </w:rPr>
      </w:pPr>
    </w:p>
    <w:p w14:paraId="06D07C2B" w14:textId="7859F298" w:rsidR="00206770" w:rsidRDefault="008A6654" w:rsidP="001A5B9F">
      <w:pPr>
        <w:pStyle w:val="Corpsdetexte2"/>
        <w:spacing w:line="312" w:lineRule="auto"/>
        <w:ind w:left="0"/>
        <w:jc w:val="both"/>
        <w:rPr>
          <w:rFonts w:ascii="Helvetica" w:hAnsi="Helvetica" w:cs="Helvetica"/>
          <w:color w:val="595959"/>
          <w:szCs w:val="24"/>
        </w:rPr>
      </w:pPr>
      <w:r w:rsidRPr="00E050B7">
        <w:rPr>
          <w:rFonts w:ascii="Helvetica" w:hAnsi="Helvetica" w:cs="Helvetica"/>
          <w:b/>
          <w:i/>
          <w:color w:val="595959"/>
        </w:rPr>
        <w:t xml:space="preserve">Sea water </w:t>
      </w:r>
      <w:r>
        <w:rPr>
          <w:rFonts w:ascii="Helvetica" w:hAnsi="Helvetica" w:cs="Helvetica"/>
          <w:b/>
          <w:i/>
          <w:color w:val="595959"/>
        </w:rPr>
        <w:t xml:space="preserve">input </w:t>
      </w:r>
      <w:r w:rsidRPr="00D5144A">
        <w:rPr>
          <w:rFonts w:ascii="Helvetica" w:hAnsi="Helvetica" w:cs="Helvetica"/>
          <w:color w:val="595959"/>
        </w:rPr>
        <w:t>and</w:t>
      </w:r>
      <w:r>
        <w:rPr>
          <w:rFonts w:ascii="Helvetica" w:hAnsi="Helvetica" w:cs="Helvetica"/>
          <w:i/>
          <w:color w:val="595959"/>
        </w:rPr>
        <w:t xml:space="preserve"> </w:t>
      </w:r>
      <w:r>
        <w:rPr>
          <w:rFonts w:ascii="Helvetica" w:hAnsi="Helvetica" w:cs="Helvetica"/>
          <w:b/>
          <w:i/>
          <w:color w:val="595959"/>
        </w:rPr>
        <w:t>output</w:t>
      </w:r>
      <w:r w:rsidR="003307D7" w:rsidRPr="005F786A">
        <w:rPr>
          <w:rFonts w:ascii="Helvetica" w:hAnsi="Helvetica" w:cs="Helvetica"/>
          <w:i/>
          <w:color w:val="595959"/>
        </w:rPr>
        <w:t xml:space="preserve"> </w:t>
      </w:r>
      <w:r w:rsidR="003307D7" w:rsidRPr="00A90430">
        <w:rPr>
          <w:rFonts w:ascii="Helvetica" w:hAnsi="Helvetica" w:cs="Helvetica"/>
          <w:color w:val="595959"/>
        </w:rPr>
        <w:t xml:space="preserve">has increased since </w:t>
      </w:r>
      <w:r w:rsidR="00C977C8" w:rsidRPr="00A90430">
        <w:rPr>
          <w:rFonts w:ascii="Helvetica" w:hAnsi="Helvetica" w:cs="Helvetica"/>
          <w:color w:val="595959"/>
        </w:rPr>
        <w:t>201</w:t>
      </w:r>
      <w:r w:rsidR="00C977C8">
        <w:rPr>
          <w:rFonts w:ascii="Helvetica" w:hAnsi="Helvetica" w:cs="Helvetica"/>
          <w:color w:val="595959"/>
        </w:rPr>
        <w:t>5</w:t>
      </w:r>
      <w:r w:rsidR="00C977C8" w:rsidRPr="005F786A">
        <w:rPr>
          <w:rFonts w:ascii="Helvetica" w:hAnsi="Helvetica" w:cs="Helvetica"/>
          <w:color w:val="595959"/>
          <w:szCs w:val="24"/>
        </w:rPr>
        <w:t xml:space="preserve"> </w:t>
      </w:r>
      <w:r w:rsidR="003307D7">
        <w:rPr>
          <w:rFonts w:ascii="Helvetica" w:hAnsi="Helvetica" w:cs="Helvetica"/>
          <w:color w:val="595959"/>
          <w:szCs w:val="24"/>
        </w:rPr>
        <w:t xml:space="preserve">as </w:t>
      </w:r>
      <w:r w:rsidR="00C977C8">
        <w:rPr>
          <w:rFonts w:ascii="Helvetica" w:hAnsi="Helvetica" w:cs="Helvetica"/>
          <w:color w:val="595959"/>
          <w:szCs w:val="24"/>
        </w:rPr>
        <w:t xml:space="preserve">the number of reporting facilities have doubled, Sea water input and output of those responded to both 2015 and 2019 surveys remain stable. </w:t>
      </w:r>
    </w:p>
    <w:p w14:paraId="6D071D38" w14:textId="42F08975" w:rsidR="00C977C8" w:rsidRDefault="00C977C8" w:rsidP="001A5B9F">
      <w:pPr>
        <w:pStyle w:val="Corpsdetexte2"/>
        <w:spacing w:line="312" w:lineRule="auto"/>
        <w:ind w:left="0"/>
        <w:jc w:val="both"/>
        <w:rPr>
          <w:rFonts w:ascii="Helvetica" w:hAnsi="Helvetica" w:cs="Helvetica"/>
          <w:color w:val="595959"/>
          <w:szCs w:val="24"/>
        </w:rPr>
      </w:pPr>
    </w:p>
    <w:tbl>
      <w:tblPr>
        <w:tblStyle w:val="PlainTable11"/>
        <w:tblW w:w="5000" w:type="pct"/>
        <w:tblLook w:val="04A0" w:firstRow="1" w:lastRow="0" w:firstColumn="1" w:lastColumn="0" w:noHBand="0" w:noVBand="1"/>
      </w:tblPr>
      <w:tblGrid>
        <w:gridCol w:w="5752"/>
        <w:gridCol w:w="1516"/>
        <w:gridCol w:w="1182"/>
        <w:gridCol w:w="1179"/>
      </w:tblGrid>
      <w:tr w:rsidR="00C977C8" w:rsidRPr="00D154E7" w14:paraId="13CA7F66" w14:textId="77777777" w:rsidTr="003C6D47">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2987" w:type="pct"/>
            <w:noWrap/>
            <w:vAlign w:val="center"/>
          </w:tcPr>
          <w:p w14:paraId="630A88A9" w14:textId="11ABF771" w:rsidR="00C977C8" w:rsidRPr="001A5B9F" w:rsidRDefault="00C977C8" w:rsidP="004230C2">
            <w:pPr>
              <w:spacing w:after="0"/>
              <w:rPr>
                <w:rFonts w:cs="Helvetica"/>
                <w:bCs w:val="0"/>
                <w:color w:val="595959"/>
                <w:szCs w:val="20"/>
              </w:rPr>
            </w:pPr>
            <w:r w:rsidRPr="001A5B9F">
              <w:rPr>
                <w:rFonts w:cs="Helvetica"/>
                <w:color w:val="595959"/>
                <w:szCs w:val="20"/>
              </w:rPr>
              <w:t>Inventory Flow</w:t>
            </w:r>
          </w:p>
        </w:tc>
        <w:tc>
          <w:tcPr>
            <w:tcW w:w="787" w:type="pct"/>
            <w:vAlign w:val="center"/>
          </w:tcPr>
          <w:p w14:paraId="2629B65B" w14:textId="77777777" w:rsidR="00C977C8" w:rsidRPr="001A5B9F" w:rsidRDefault="00C977C8" w:rsidP="004230C2">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Cs w:val="0"/>
                <w:color w:val="595959"/>
                <w:szCs w:val="20"/>
              </w:rPr>
            </w:pPr>
            <w:r w:rsidRPr="001A5B9F">
              <w:rPr>
                <w:rFonts w:cs="Helvetica"/>
                <w:color w:val="595959"/>
                <w:szCs w:val="20"/>
              </w:rPr>
              <w:t>Unit</w:t>
            </w:r>
          </w:p>
        </w:tc>
        <w:tc>
          <w:tcPr>
            <w:tcW w:w="614" w:type="pct"/>
            <w:noWrap/>
            <w:vAlign w:val="center"/>
            <w:hideMark/>
          </w:tcPr>
          <w:p w14:paraId="2945774F" w14:textId="7C032051" w:rsidR="00C977C8" w:rsidRPr="001A5B9F" w:rsidRDefault="00C977C8" w:rsidP="004230C2">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Cs w:val="0"/>
                <w:color w:val="595959"/>
                <w:szCs w:val="20"/>
              </w:rPr>
            </w:pPr>
            <w:r w:rsidRPr="001A5B9F">
              <w:rPr>
                <w:rFonts w:cs="Helvetica"/>
                <w:color w:val="595959"/>
                <w:szCs w:val="20"/>
              </w:rPr>
              <w:t>201</w:t>
            </w:r>
            <w:r>
              <w:rPr>
                <w:rFonts w:cs="Helvetica"/>
                <w:color w:val="595959"/>
                <w:szCs w:val="20"/>
              </w:rPr>
              <w:t>9</w:t>
            </w:r>
          </w:p>
        </w:tc>
        <w:tc>
          <w:tcPr>
            <w:tcW w:w="612" w:type="pct"/>
            <w:vAlign w:val="center"/>
          </w:tcPr>
          <w:p w14:paraId="68FED8A7" w14:textId="77777777" w:rsidR="00C977C8" w:rsidRPr="001A5B9F" w:rsidRDefault="00C977C8" w:rsidP="004230C2">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Cs w:val="0"/>
                <w:color w:val="595959"/>
                <w:szCs w:val="20"/>
              </w:rPr>
            </w:pPr>
            <w:r w:rsidRPr="001A5B9F">
              <w:rPr>
                <w:rFonts w:cs="Helvetica"/>
                <w:color w:val="595959"/>
                <w:szCs w:val="20"/>
              </w:rPr>
              <w:t>2015</w:t>
            </w:r>
          </w:p>
        </w:tc>
      </w:tr>
      <w:tr w:rsidR="00C977C8" w:rsidRPr="00D154E7" w14:paraId="00EE705A" w14:textId="77777777" w:rsidTr="003C6D47">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987" w:type="pct"/>
            <w:noWrap/>
            <w:vAlign w:val="center"/>
          </w:tcPr>
          <w:p w14:paraId="1D1ADD1B" w14:textId="6E600CA4" w:rsidR="00C977C8" w:rsidRPr="001A5B9F" w:rsidRDefault="00C977C8" w:rsidP="004230C2">
            <w:pPr>
              <w:widowControl w:val="0"/>
              <w:tabs>
                <w:tab w:val="left" w:pos="-1440"/>
                <w:tab w:val="left" w:pos="-720"/>
              </w:tabs>
              <w:spacing w:after="0" w:line="312" w:lineRule="auto"/>
              <w:rPr>
                <w:rFonts w:cs="Helvetica"/>
                <w:color w:val="595959"/>
                <w:szCs w:val="20"/>
              </w:rPr>
            </w:pPr>
            <w:r>
              <w:rPr>
                <w:rFonts w:cs="Helvetica"/>
                <w:color w:val="595959"/>
                <w:szCs w:val="20"/>
              </w:rPr>
              <w:t>Steel input</w:t>
            </w:r>
            <w:r w:rsidR="003C6D47">
              <w:rPr>
                <w:rFonts w:cs="Helvetica"/>
                <w:color w:val="595959"/>
                <w:szCs w:val="20"/>
              </w:rPr>
              <w:t xml:space="preserve"> – anode production </w:t>
            </w:r>
          </w:p>
        </w:tc>
        <w:tc>
          <w:tcPr>
            <w:tcW w:w="787" w:type="pct"/>
            <w:vAlign w:val="center"/>
          </w:tcPr>
          <w:p w14:paraId="2AA1212A" w14:textId="77777777" w:rsidR="00C977C8" w:rsidRPr="001A5B9F" w:rsidRDefault="00C977C8" w:rsidP="004230C2">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1A5B9F">
              <w:rPr>
                <w:rFonts w:cs="Helvetica"/>
                <w:color w:val="595959"/>
                <w:szCs w:val="20"/>
              </w:rPr>
              <w:t>kg/t Al ingot</w:t>
            </w:r>
          </w:p>
        </w:tc>
        <w:tc>
          <w:tcPr>
            <w:tcW w:w="614" w:type="pct"/>
            <w:noWrap/>
            <w:vAlign w:val="center"/>
          </w:tcPr>
          <w:p w14:paraId="0281FF42" w14:textId="01EB2986" w:rsidR="00C977C8" w:rsidRPr="001A5B9F" w:rsidRDefault="00C977C8" w:rsidP="004230C2">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5</w:t>
            </w:r>
          </w:p>
        </w:tc>
        <w:tc>
          <w:tcPr>
            <w:tcW w:w="612" w:type="pct"/>
            <w:vAlign w:val="center"/>
          </w:tcPr>
          <w:p w14:paraId="502A46E4" w14:textId="7981E8AD" w:rsidR="00C977C8" w:rsidRPr="001A5B9F" w:rsidRDefault="00C977C8" w:rsidP="004230C2">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8</w:t>
            </w:r>
          </w:p>
        </w:tc>
      </w:tr>
      <w:tr w:rsidR="00C977C8" w:rsidRPr="00D154E7" w14:paraId="1E7EAF58" w14:textId="77777777" w:rsidTr="003C6D47">
        <w:trPr>
          <w:trHeight w:val="385"/>
        </w:trPr>
        <w:tc>
          <w:tcPr>
            <w:cnfStyle w:val="001000000000" w:firstRow="0" w:lastRow="0" w:firstColumn="1" w:lastColumn="0" w:oddVBand="0" w:evenVBand="0" w:oddHBand="0" w:evenHBand="0" w:firstRowFirstColumn="0" w:firstRowLastColumn="0" w:lastRowFirstColumn="0" w:lastRowLastColumn="0"/>
            <w:tcW w:w="2987" w:type="pct"/>
            <w:noWrap/>
            <w:vAlign w:val="center"/>
          </w:tcPr>
          <w:p w14:paraId="63DE823E" w14:textId="447AA596" w:rsidR="00C977C8" w:rsidRPr="00C977C8" w:rsidRDefault="00C977C8" w:rsidP="004230C2">
            <w:pPr>
              <w:widowControl w:val="0"/>
              <w:tabs>
                <w:tab w:val="left" w:pos="-1440"/>
                <w:tab w:val="left" w:pos="-720"/>
              </w:tabs>
              <w:spacing w:after="0" w:line="312" w:lineRule="auto"/>
              <w:rPr>
                <w:rFonts w:cs="Helvetica"/>
                <w:color w:val="595959"/>
                <w:szCs w:val="20"/>
              </w:rPr>
            </w:pPr>
            <w:r w:rsidRPr="00C977C8">
              <w:rPr>
                <w:rFonts w:cs="Helvetica"/>
                <w:color w:val="595959"/>
                <w:szCs w:val="20"/>
              </w:rPr>
              <w:t>Nitrous oxides</w:t>
            </w:r>
            <w:r>
              <w:rPr>
                <w:rFonts w:cs="Helvetica"/>
                <w:color w:val="595959"/>
                <w:szCs w:val="20"/>
              </w:rPr>
              <w:t xml:space="preserve"> into air</w:t>
            </w:r>
            <w:r w:rsidR="003C6D47">
              <w:rPr>
                <w:rFonts w:cs="Helvetica"/>
                <w:color w:val="595959"/>
                <w:szCs w:val="20"/>
              </w:rPr>
              <w:t xml:space="preserve"> - electrolysis</w:t>
            </w:r>
          </w:p>
        </w:tc>
        <w:tc>
          <w:tcPr>
            <w:tcW w:w="787" w:type="pct"/>
            <w:vAlign w:val="center"/>
          </w:tcPr>
          <w:p w14:paraId="6A377776" w14:textId="28907B7C" w:rsidR="00C977C8" w:rsidRPr="001A5B9F" w:rsidRDefault="00C977C8" w:rsidP="004230C2">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1A5B9F">
              <w:rPr>
                <w:rFonts w:cs="Helvetica"/>
                <w:color w:val="595959"/>
                <w:szCs w:val="20"/>
              </w:rPr>
              <w:t>kg/t Al ingot</w:t>
            </w:r>
          </w:p>
        </w:tc>
        <w:tc>
          <w:tcPr>
            <w:tcW w:w="614" w:type="pct"/>
            <w:noWrap/>
            <w:vAlign w:val="center"/>
          </w:tcPr>
          <w:p w14:paraId="6CEEDC21" w14:textId="2EEA747E" w:rsidR="00C977C8" w:rsidRPr="001A5B9F" w:rsidRDefault="00C977C8" w:rsidP="004230C2">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cs="Helvetica"/>
                <w:color w:val="595959"/>
                <w:szCs w:val="20"/>
              </w:rPr>
              <w:t>0.</w:t>
            </w:r>
            <w:r w:rsidR="003C6D47">
              <w:rPr>
                <w:rFonts w:cs="Helvetica"/>
                <w:color w:val="595959"/>
                <w:szCs w:val="20"/>
              </w:rPr>
              <w:t>6</w:t>
            </w:r>
          </w:p>
        </w:tc>
        <w:tc>
          <w:tcPr>
            <w:tcW w:w="612" w:type="pct"/>
            <w:vAlign w:val="center"/>
          </w:tcPr>
          <w:p w14:paraId="227FDE45" w14:textId="1E337A32" w:rsidR="00C977C8" w:rsidRPr="001A5B9F" w:rsidRDefault="00C977C8" w:rsidP="00C977C8">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cs="Helvetica"/>
                <w:color w:val="595959"/>
                <w:szCs w:val="20"/>
              </w:rPr>
              <w:t>0.</w:t>
            </w:r>
            <w:r w:rsidR="003C6D47">
              <w:rPr>
                <w:rFonts w:cs="Helvetica"/>
                <w:color w:val="595959"/>
                <w:szCs w:val="20"/>
              </w:rPr>
              <w:t>3</w:t>
            </w:r>
          </w:p>
        </w:tc>
      </w:tr>
      <w:tr w:rsidR="00C977C8" w:rsidRPr="00D154E7" w14:paraId="161B5A7D" w14:textId="77777777" w:rsidTr="003C6D47">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987" w:type="pct"/>
            <w:noWrap/>
            <w:vAlign w:val="center"/>
          </w:tcPr>
          <w:p w14:paraId="4FA2783F" w14:textId="7007AAAE" w:rsidR="00C977C8" w:rsidRPr="00C977C8" w:rsidRDefault="00C977C8" w:rsidP="004230C2">
            <w:pPr>
              <w:widowControl w:val="0"/>
              <w:tabs>
                <w:tab w:val="left" w:pos="-1440"/>
                <w:tab w:val="left" w:pos="-720"/>
              </w:tabs>
              <w:spacing w:after="0" w:line="312" w:lineRule="auto"/>
              <w:rPr>
                <w:rFonts w:cs="Helvetica"/>
                <w:color w:val="595959"/>
                <w:szCs w:val="20"/>
              </w:rPr>
            </w:pPr>
            <w:r>
              <w:rPr>
                <w:rFonts w:cs="Helvetica"/>
                <w:color w:val="595959"/>
                <w:szCs w:val="20"/>
              </w:rPr>
              <w:t>P</w:t>
            </w:r>
            <w:r w:rsidRPr="00C977C8">
              <w:rPr>
                <w:rFonts w:cs="Helvetica"/>
                <w:color w:val="595959"/>
                <w:szCs w:val="20"/>
              </w:rPr>
              <w:t>olycyclic aromatic hydrocarbons</w:t>
            </w:r>
            <w:r>
              <w:rPr>
                <w:rFonts w:cs="Helvetica"/>
                <w:color w:val="595959"/>
                <w:szCs w:val="20"/>
              </w:rPr>
              <w:t xml:space="preserve"> into air</w:t>
            </w:r>
            <w:r w:rsidR="003C6D47">
              <w:rPr>
                <w:rFonts w:cs="Helvetica"/>
                <w:color w:val="595959"/>
                <w:szCs w:val="20"/>
              </w:rPr>
              <w:t xml:space="preserve"> - electrolysis</w:t>
            </w:r>
          </w:p>
        </w:tc>
        <w:tc>
          <w:tcPr>
            <w:tcW w:w="787" w:type="pct"/>
            <w:vAlign w:val="center"/>
          </w:tcPr>
          <w:p w14:paraId="26EBEF04" w14:textId="158E9D71" w:rsidR="00C977C8" w:rsidRPr="001A5B9F" w:rsidRDefault="00C977C8" w:rsidP="004230C2">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1A5B9F">
              <w:rPr>
                <w:rFonts w:cs="Helvetica"/>
                <w:color w:val="595959"/>
                <w:szCs w:val="20"/>
              </w:rPr>
              <w:t>kg/t Al ingot</w:t>
            </w:r>
          </w:p>
        </w:tc>
        <w:tc>
          <w:tcPr>
            <w:tcW w:w="614" w:type="pct"/>
            <w:noWrap/>
            <w:vAlign w:val="center"/>
          </w:tcPr>
          <w:p w14:paraId="443D3608" w14:textId="372532A5" w:rsidR="00C977C8" w:rsidRPr="001A5B9F" w:rsidRDefault="00C977C8" w:rsidP="004230C2">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0.0</w:t>
            </w:r>
            <w:r w:rsidR="003C6D47">
              <w:rPr>
                <w:rFonts w:cs="Helvetica"/>
                <w:color w:val="595959"/>
                <w:szCs w:val="20"/>
              </w:rPr>
              <w:t>6</w:t>
            </w:r>
          </w:p>
        </w:tc>
        <w:tc>
          <w:tcPr>
            <w:tcW w:w="612" w:type="pct"/>
            <w:vAlign w:val="center"/>
          </w:tcPr>
          <w:p w14:paraId="7B4EB8FA" w14:textId="38E39E0D" w:rsidR="00C977C8" w:rsidRPr="001A5B9F" w:rsidRDefault="00C977C8" w:rsidP="004230C2">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0.0</w:t>
            </w:r>
            <w:r w:rsidR="003C6D47">
              <w:rPr>
                <w:rFonts w:cs="Helvetica"/>
                <w:color w:val="595959"/>
                <w:szCs w:val="20"/>
              </w:rPr>
              <w:t>2</w:t>
            </w:r>
          </w:p>
        </w:tc>
      </w:tr>
      <w:tr w:rsidR="003C6D47" w:rsidRPr="00D154E7" w14:paraId="1FD8E6ED" w14:textId="77777777" w:rsidTr="003C6D47">
        <w:trPr>
          <w:trHeight w:val="385"/>
        </w:trPr>
        <w:tc>
          <w:tcPr>
            <w:cnfStyle w:val="001000000000" w:firstRow="0" w:lastRow="0" w:firstColumn="1" w:lastColumn="0" w:oddVBand="0" w:evenVBand="0" w:oddHBand="0" w:evenHBand="0" w:firstRowFirstColumn="0" w:firstRowLastColumn="0" w:lastRowFirstColumn="0" w:lastRowLastColumn="0"/>
            <w:tcW w:w="2987" w:type="pct"/>
            <w:noWrap/>
            <w:vAlign w:val="center"/>
          </w:tcPr>
          <w:p w14:paraId="1FBF1333" w14:textId="2D1B4213" w:rsidR="003C6D47" w:rsidRPr="00C977C8" w:rsidRDefault="003C6D47" w:rsidP="003C6D47">
            <w:pPr>
              <w:widowControl w:val="0"/>
              <w:tabs>
                <w:tab w:val="left" w:pos="-1440"/>
                <w:tab w:val="left" w:pos="-720"/>
              </w:tabs>
              <w:spacing w:after="0" w:line="312" w:lineRule="auto"/>
              <w:rPr>
                <w:rFonts w:cs="Helvetica"/>
                <w:color w:val="595959"/>
                <w:szCs w:val="20"/>
              </w:rPr>
            </w:pPr>
            <w:r>
              <w:rPr>
                <w:rFonts w:cs="Helvetica"/>
                <w:color w:val="595959"/>
                <w:szCs w:val="20"/>
              </w:rPr>
              <w:t>P</w:t>
            </w:r>
            <w:r w:rsidRPr="00C977C8">
              <w:rPr>
                <w:rFonts w:cs="Helvetica"/>
                <w:color w:val="595959"/>
                <w:szCs w:val="20"/>
              </w:rPr>
              <w:t>olycyclic aromatic hydrocarbons</w:t>
            </w:r>
            <w:r>
              <w:rPr>
                <w:rFonts w:cs="Helvetica"/>
                <w:color w:val="595959"/>
                <w:szCs w:val="20"/>
              </w:rPr>
              <w:t xml:space="preserve"> into water - electrolysis</w:t>
            </w:r>
          </w:p>
        </w:tc>
        <w:tc>
          <w:tcPr>
            <w:tcW w:w="787" w:type="pct"/>
            <w:vAlign w:val="center"/>
          </w:tcPr>
          <w:p w14:paraId="00503CC2" w14:textId="09C29C56" w:rsidR="003C6D47" w:rsidRPr="001A5B9F" w:rsidRDefault="003C6D47" w:rsidP="003C6D47">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1A5B9F">
              <w:rPr>
                <w:rFonts w:cs="Helvetica"/>
                <w:color w:val="595959"/>
                <w:szCs w:val="20"/>
              </w:rPr>
              <w:t>g/t Al ingot</w:t>
            </w:r>
          </w:p>
        </w:tc>
        <w:tc>
          <w:tcPr>
            <w:tcW w:w="614" w:type="pct"/>
            <w:noWrap/>
            <w:vAlign w:val="center"/>
          </w:tcPr>
          <w:p w14:paraId="21379EEB" w14:textId="1BAF69C0" w:rsidR="003C6D47" w:rsidRDefault="003C6D47" w:rsidP="003C6D47">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cs="Helvetica"/>
                <w:color w:val="595959"/>
                <w:szCs w:val="20"/>
              </w:rPr>
              <w:t>0.02</w:t>
            </w:r>
          </w:p>
        </w:tc>
        <w:tc>
          <w:tcPr>
            <w:tcW w:w="612" w:type="pct"/>
            <w:vAlign w:val="center"/>
          </w:tcPr>
          <w:p w14:paraId="6DD858F0" w14:textId="3378A4BF" w:rsidR="003C6D47" w:rsidRDefault="003C6D47" w:rsidP="003C6D47">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cs="Helvetica"/>
                <w:color w:val="595959"/>
                <w:szCs w:val="20"/>
              </w:rPr>
              <w:t>0.37</w:t>
            </w:r>
          </w:p>
        </w:tc>
      </w:tr>
      <w:tr w:rsidR="003C6D47" w:rsidRPr="00D154E7" w14:paraId="49BDFDD8" w14:textId="77777777" w:rsidTr="003C6D47">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987" w:type="pct"/>
            <w:noWrap/>
            <w:vAlign w:val="center"/>
          </w:tcPr>
          <w:p w14:paraId="168BC282" w14:textId="0A66F3FD" w:rsidR="003C6D47" w:rsidRDefault="003C6D47" w:rsidP="003C6D47">
            <w:pPr>
              <w:widowControl w:val="0"/>
              <w:tabs>
                <w:tab w:val="left" w:pos="-1440"/>
                <w:tab w:val="left" w:pos="-720"/>
              </w:tabs>
              <w:spacing w:after="0" w:line="312" w:lineRule="auto"/>
              <w:rPr>
                <w:rFonts w:cs="Helvetica"/>
                <w:color w:val="595959"/>
                <w:szCs w:val="20"/>
              </w:rPr>
            </w:pPr>
            <w:r w:rsidRPr="00C977C8">
              <w:rPr>
                <w:rFonts w:cs="Helvetica"/>
                <w:color w:val="595959"/>
                <w:szCs w:val="20"/>
              </w:rPr>
              <w:t>Benzo(a)pyrene</w:t>
            </w:r>
            <w:r>
              <w:rPr>
                <w:rFonts w:cs="Helvetica"/>
                <w:color w:val="595959"/>
                <w:szCs w:val="20"/>
              </w:rPr>
              <w:t xml:space="preserve"> into air</w:t>
            </w:r>
          </w:p>
        </w:tc>
        <w:tc>
          <w:tcPr>
            <w:tcW w:w="787" w:type="pct"/>
            <w:vAlign w:val="center"/>
          </w:tcPr>
          <w:p w14:paraId="0AB1B704" w14:textId="73F5B13D" w:rsidR="003C6D47" w:rsidRPr="001A5B9F" w:rsidRDefault="003C6D47" w:rsidP="003C6D47">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1A5B9F">
              <w:rPr>
                <w:rFonts w:cs="Helvetica"/>
                <w:color w:val="595959"/>
                <w:szCs w:val="20"/>
              </w:rPr>
              <w:t>g/t Al ingot</w:t>
            </w:r>
          </w:p>
        </w:tc>
        <w:tc>
          <w:tcPr>
            <w:tcW w:w="614" w:type="pct"/>
            <w:noWrap/>
            <w:vAlign w:val="center"/>
          </w:tcPr>
          <w:p w14:paraId="5EC6DA5C" w14:textId="550B39B0" w:rsidR="003C6D47" w:rsidRDefault="003C6D47" w:rsidP="003C6D47">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0.12</w:t>
            </w:r>
          </w:p>
        </w:tc>
        <w:tc>
          <w:tcPr>
            <w:tcW w:w="612" w:type="pct"/>
            <w:vAlign w:val="center"/>
          </w:tcPr>
          <w:p w14:paraId="0DB3E752" w14:textId="572EA9B0" w:rsidR="003C6D47" w:rsidRDefault="003C6D47" w:rsidP="003C6D47">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0.25</w:t>
            </w:r>
          </w:p>
        </w:tc>
      </w:tr>
      <w:tr w:rsidR="003C6D47" w:rsidRPr="00D154E7" w14:paraId="2F9CEE2C" w14:textId="77777777" w:rsidTr="003C6D47">
        <w:trPr>
          <w:trHeight w:val="385"/>
        </w:trPr>
        <w:tc>
          <w:tcPr>
            <w:cnfStyle w:val="001000000000" w:firstRow="0" w:lastRow="0" w:firstColumn="1" w:lastColumn="0" w:oddVBand="0" w:evenVBand="0" w:oddHBand="0" w:evenHBand="0" w:firstRowFirstColumn="0" w:firstRowLastColumn="0" w:lastRowFirstColumn="0" w:lastRowLastColumn="0"/>
            <w:tcW w:w="2987" w:type="pct"/>
            <w:noWrap/>
            <w:vAlign w:val="center"/>
          </w:tcPr>
          <w:p w14:paraId="19CCBF72" w14:textId="727E4673" w:rsidR="003C6D47" w:rsidRDefault="003C6D47" w:rsidP="003C6D47">
            <w:pPr>
              <w:widowControl w:val="0"/>
              <w:tabs>
                <w:tab w:val="left" w:pos="-1440"/>
                <w:tab w:val="left" w:pos="-720"/>
              </w:tabs>
              <w:spacing w:after="0" w:line="312" w:lineRule="auto"/>
              <w:rPr>
                <w:rFonts w:cs="Helvetica"/>
                <w:color w:val="595959"/>
                <w:szCs w:val="20"/>
              </w:rPr>
            </w:pPr>
            <w:r w:rsidRPr="00C977C8">
              <w:rPr>
                <w:rFonts w:cs="Helvetica"/>
                <w:color w:val="595959"/>
                <w:szCs w:val="20"/>
              </w:rPr>
              <w:t>Hydrogen chloride</w:t>
            </w:r>
            <w:r>
              <w:rPr>
                <w:rFonts w:cs="Helvetica"/>
                <w:color w:val="595959"/>
                <w:szCs w:val="20"/>
              </w:rPr>
              <w:t xml:space="preserve"> into air</w:t>
            </w:r>
          </w:p>
        </w:tc>
        <w:tc>
          <w:tcPr>
            <w:tcW w:w="787" w:type="pct"/>
            <w:vAlign w:val="center"/>
          </w:tcPr>
          <w:p w14:paraId="5ED9346E" w14:textId="1AF3C2E6" w:rsidR="003C6D47" w:rsidRPr="001A5B9F" w:rsidRDefault="003C6D47" w:rsidP="003C6D47">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1A5B9F">
              <w:rPr>
                <w:rFonts w:cs="Helvetica"/>
                <w:color w:val="595959"/>
                <w:szCs w:val="20"/>
              </w:rPr>
              <w:t>kg/t Al ingot</w:t>
            </w:r>
          </w:p>
        </w:tc>
        <w:tc>
          <w:tcPr>
            <w:tcW w:w="614" w:type="pct"/>
            <w:noWrap/>
            <w:vAlign w:val="center"/>
          </w:tcPr>
          <w:p w14:paraId="4DBD4CC2" w14:textId="28AC1B6B" w:rsidR="003C6D47" w:rsidRDefault="003C6D47" w:rsidP="003C6D47">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cs="Helvetica"/>
                <w:color w:val="595959"/>
                <w:szCs w:val="20"/>
              </w:rPr>
              <w:t>0.01</w:t>
            </w:r>
          </w:p>
        </w:tc>
        <w:tc>
          <w:tcPr>
            <w:tcW w:w="612" w:type="pct"/>
            <w:vAlign w:val="center"/>
          </w:tcPr>
          <w:p w14:paraId="72367E6C" w14:textId="2349E527" w:rsidR="003C6D47" w:rsidRDefault="003C6D47" w:rsidP="003C6D47">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cs="Helvetica"/>
                <w:color w:val="595959"/>
                <w:szCs w:val="20"/>
              </w:rPr>
              <w:t>0.02</w:t>
            </w:r>
          </w:p>
        </w:tc>
      </w:tr>
      <w:tr w:rsidR="003C6D47" w:rsidRPr="00D154E7" w14:paraId="1A12EA76" w14:textId="77777777" w:rsidTr="003C6D47">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987" w:type="pct"/>
            <w:noWrap/>
            <w:vAlign w:val="center"/>
          </w:tcPr>
          <w:p w14:paraId="1A80D9DD" w14:textId="4CA1C745" w:rsidR="003C6D47" w:rsidRDefault="003C6D47" w:rsidP="003C6D47">
            <w:pPr>
              <w:widowControl w:val="0"/>
              <w:tabs>
                <w:tab w:val="left" w:pos="-1440"/>
                <w:tab w:val="left" w:pos="-720"/>
              </w:tabs>
              <w:spacing w:after="0" w:line="312" w:lineRule="auto"/>
              <w:rPr>
                <w:rFonts w:cs="Helvetica"/>
                <w:color w:val="595959"/>
                <w:szCs w:val="20"/>
              </w:rPr>
            </w:pPr>
            <w:r w:rsidRPr="00C977C8">
              <w:rPr>
                <w:rFonts w:cs="Helvetica"/>
                <w:color w:val="595959"/>
                <w:szCs w:val="20"/>
              </w:rPr>
              <w:t>Suspended solids</w:t>
            </w:r>
            <w:r>
              <w:rPr>
                <w:rFonts w:cs="Helvetica"/>
                <w:color w:val="595959"/>
                <w:szCs w:val="20"/>
              </w:rPr>
              <w:t xml:space="preserve"> into water</w:t>
            </w:r>
          </w:p>
        </w:tc>
        <w:tc>
          <w:tcPr>
            <w:tcW w:w="787" w:type="pct"/>
            <w:vAlign w:val="center"/>
          </w:tcPr>
          <w:p w14:paraId="5C32A2B7" w14:textId="6DE7BAC9" w:rsidR="003C6D47" w:rsidRPr="001A5B9F" w:rsidRDefault="003C6D47" w:rsidP="003C6D47">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1A5B9F">
              <w:rPr>
                <w:rFonts w:cs="Helvetica"/>
                <w:color w:val="595959"/>
                <w:szCs w:val="20"/>
              </w:rPr>
              <w:t>kg/t Al ingot</w:t>
            </w:r>
          </w:p>
        </w:tc>
        <w:tc>
          <w:tcPr>
            <w:tcW w:w="614" w:type="pct"/>
            <w:noWrap/>
            <w:vAlign w:val="center"/>
          </w:tcPr>
          <w:p w14:paraId="1D991F7F" w14:textId="33641873" w:rsidR="003C6D47" w:rsidRDefault="003C6D47" w:rsidP="003C6D47">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0.19</w:t>
            </w:r>
          </w:p>
        </w:tc>
        <w:tc>
          <w:tcPr>
            <w:tcW w:w="612" w:type="pct"/>
            <w:vAlign w:val="center"/>
          </w:tcPr>
          <w:p w14:paraId="165A1CE3" w14:textId="29D329E9" w:rsidR="003C6D47" w:rsidRDefault="003C6D47" w:rsidP="003C6D47">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0.58</w:t>
            </w:r>
          </w:p>
        </w:tc>
      </w:tr>
      <w:tr w:rsidR="003C6D47" w:rsidRPr="00D154E7" w14:paraId="1AD725A5" w14:textId="77777777" w:rsidTr="003C6D47">
        <w:trPr>
          <w:trHeight w:val="385"/>
        </w:trPr>
        <w:tc>
          <w:tcPr>
            <w:cnfStyle w:val="001000000000" w:firstRow="0" w:lastRow="0" w:firstColumn="1" w:lastColumn="0" w:oddVBand="0" w:evenVBand="0" w:oddHBand="0" w:evenHBand="0" w:firstRowFirstColumn="0" w:firstRowLastColumn="0" w:lastRowFirstColumn="0" w:lastRowLastColumn="0"/>
            <w:tcW w:w="2987" w:type="pct"/>
            <w:noWrap/>
            <w:vAlign w:val="center"/>
          </w:tcPr>
          <w:p w14:paraId="23D78E84" w14:textId="6D3ED1D9" w:rsidR="003C6D47" w:rsidRDefault="003C6D47" w:rsidP="003C6D47">
            <w:pPr>
              <w:widowControl w:val="0"/>
              <w:tabs>
                <w:tab w:val="left" w:pos="-1440"/>
                <w:tab w:val="left" w:pos="-720"/>
              </w:tabs>
              <w:spacing w:after="0" w:line="312" w:lineRule="auto"/>
              <w:rPr>
                <w:rFonts w:cs="Helvetica"/>
                <w:color w:val="595959"/>
                <w:szCs w:val="20"/>
              </w:rPr>
            </w:pPr>
            <w:r w:rsidRPr="00C977C8">
              <w:rPr>
                <w:rFonts w:cs="Helvetica"/>
                <w:color w:val="595959"/>
                <w:szCs w:val="20"/>
              </w:rPr>
              <w:t>Oil and grease/total hydrocarbons</w:t>
            </w:r>
            <w:r>
              <w:rPr>
                <w:rFonts w:cs="Helvetica"/>
                <w:color w:val="595959"/>
                <w:szCs w:val="20"/>
              </w:rPr>
              <w:t xml:space="preserve"> into water</w:t>
            </w:r>
          </w:p>
        </w:tc>
        <w:tc>
          <w:tcPr>
            <w:tcW w:w="787" w:type="pct"/>
            <w:vAlign w:val="center"/>
          </w:tcPr>
          <w:p w14:paraId="1F83243D" w14:textId="0064411B" w:rsidR="003C6D47" w:rsidRPr="001A5B9F" w:rsidRDefault="003C6D47" w:rsidP="003C6D47">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1A5B9F">
              <w:rPr>
                <w:rFonts w:cs="Helvetica"/>
                <w:color w:val="595959"/>
                <w:szCs w:val="20"/>
              </w:rPr>
              <w:t>kg/t Al ingot</w:t>
            </w:r>
          </w:p>
        </w:tc>
        <w:tc>
          <w:tcPr>
            <w:tcW w:w="614" w:type="pct"/>
            <w:noWrap/>
            <w:vAlign w:val="center"/>
          </w:tcPr>
          <w:p w14:paraId="0511FA2D" w14:textId="1E6DF310" w:rsidR="003C6D47" w:rsidRDefault="003C6D47" w:rsidP="003C6D47">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cs="Helvetica"/>
                <w:color w:val="595959"/>
                <w:szCs w:val="20"/>
              </w:rPr>
              <w:t>0.03</w:t>
            </w:r>
          </w:p>
        </w:tc>
        <w:tc>
          <w:tcPr>
            <w:tcW w:w="612" w:type="pct"/>
            <w:vAlign w:val="center"/>
          </w:tcPr>
          <w:p w14:paraId="1DB744CD" w14:textId="3901A98B" w:rsidR="003C6D47" w:rsidRDefault="003C6D47" w:rsidP="003C6D47">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cs="Helvetica"/>
                <w:color w:val="595959"/>
                <w:szCs w:val="20"/>
              </w:rPr>
              <w:t>0.05</w:t>
            </w:r>
          </w:p>
        </w:tc>
      </w:tr>
      <w:tr w:rsidR="003C6D47" w:rsidRPr="00D154E7" w14:paraId="4C6AFAD8" w14:textId="77777777" w:rsidTr="003C6D47">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987" w:type="pct"/>
            <w:noWrap/>
            <w:vAlign w:val="center"/>
          </w:tcPr>
          <w:p w14:paraId="5393C20A" w14:textId="67FBAB92" w:rsidR="003C6D47" w:rsidRPr="00C977C8" w:rsidRDefault="003C6D47" w:rsidP="003C6D47">
            <w:pPr>
              <w:widowControl w:val="0"/>
              <w:tabs>
                <w:tab w:val="left" w:pos="-1440"/>
                <w:tab w:val="left" w:pos="-720"/>
              </w:tabs>
              <w:spacing w:after="0" w:line="312" w:lineRule="auto"/>
              <w:rPr>
                <w:rFonts w:cs="Helvetica"/>
                <w:color w:val="595959"/>
                <w:szCs w:val="20"/>
              </w:rPr>
            </w:pPr>
            <w:r>
              <w:rPr>
                <w:rFonts w:cs="Helvetica"/>
                <w:color w:val="595959"/>
                <w:szCs w:val="20"/>
              </w:rPr>
              <w:t>Recycled Refractory</w:t>
            </w:r>
            <w:r w:rsidR="007659B9">
              <w:rPr>
                <w:rFonts w:cs="Helvetica"/>
                <w:color w:val="595959"/>
                <w:szCs w:val="20"/>
              </w:rPr>
              <w:t xml:space="preserve"> - electrolysis</w:t>
            </w:r>
          </w:p>
        </w:tc>
        <w:tc>
          <w:tcPr>
            <w:tcW w:w="787" w:type="pct"/>
            <w:vAlign w:val="center"/>
          </w:tcPr>
          <w:p w14:paraId="6687D5A5" w14:textId="2171E9B9" w:rsidR="003C6D47" w:rsidRPr="001A5B9F" w:rsidRDefault="003C6D47" w:rsidP="003C6D47">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C6D47">
              <w:rPr>
                <w:rFonts w:cs="Helvetica"/>
                <w:color w:val="595959"/>
                <w:szCs w:val="20"/>
              </w:rPr>
              <w:t>kg/t Al ingot</w:t>
            </w:r>
          </w:p>
        </w:tc>
        <w:tc>
          <w:tcPr>
            <w:tcW w:w="614" w:type="pct"/>
            <w:noWrap/>
            <w:vAlign w:val="center"/>
          </w:tcPr>
          <w:p w14:paraId="041BF6E2" w14:textId="34920091" w:rsidR="003C6D47" w:rsidRDefault="007659B9" w:rsidP="003C6D47">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1</w:t>
            </w:r>
          </w:p>
        </w:tc>
        <w:tc>
          <w:tcPr>
            <w:tcW w:w="612" w:type="pct"/>
            <w:vAlign w:val="center"/>
          </w:tcPr>
          <w:p w14:paraId="3FDAEAB5" w14:textId="602C8587" w:rsidR="003C6D47" w:rsidRDefault="007659B9" w:rsidP="003C6D47">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6</w:t>
            </w:r>
          </w:p>
        </w:tc>
      </w:tr>
      <w:tr w:rsidR="003C6D47" w:rsidRPr="00D154E7" w14:paraId="58C730ED" w14:textId="77777777" w:rsidTr="003C6D47">
        <w:trPr>
          <w:trHeight w:val="385"/>
        </w:trPr>
        <w:tc>
          <w:tcPr>
            <w:cnfStyle w:val="001000000000" w:firstRow="0" w:lastRow="0" w:firstColumn="1" w:lastColumn="0" w:oddVBand="0" w:evenVBand="0" w:oddHBand="0" w:evenHBand="0" w:firstRowFirstColumn="0" w:firstRowLastColumn="0" w:lastRowFirstColumn="0" w:lastRowLastColumn="0"/>
            <w:tcW w:w="2987" w:type="pct"/>
            <w:noWrap/>
            <w:vAlign w:val="center"/>
          </w:tcPr>
          <w:p w14:paraId="38704653" w14:textId="50486C32" w:rsidR="003C6D47" w:rsidRDefault="003C6D47" w:rsidP="003C6D47">
            <w:pPr>
              <w:widowControl w:val="0"/>
              <w:tabs>
                <w:tab w:val="left" w:pos="-1440"/>
                <w:tab w:val="left" w:pos="-720"/>
              </w:tabs>
              <w:spacing w:after="0" w:line="312" w:lineRule="auto"/>
              <w:rPr>
                <w:rFonts w:cs="Helvetica"/>
                <w:color w:val="595959"/>
                <w:szCs w:val="20"/>
              </w:rPr>
            </w:pPr>
            <w:r>
              <w:rPr>
                <w:rFonts w:cs="Helvetica"/>
                <w:color w:val="595959"/>
                <w:szCs w:val="20"/>
              </w:rPr>
              <w:t>Waste alumina</w:t>
            </w:r>
          </w:p>
        </w:tc>
        <w:tc>
          <w:tcPr>
            <w:tcW w:w="787" w:type="pct"/>
            <w:vAlign w:val="center"/>
          </w:tcPr>
          <w:p w14:paraId="4646B704" w14:textId="6692AE46" w:rsidR="003C6D47" w:rsidRPr="001A5B9F" w:rsidRDefault="003C6D47" w:rsidP="003C6D47">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C6D47">
              <w:rPr>
                <w:rFonts w:cs="Helvetica"/>
                <w:color w:val="595959"/>
                <w:szCs w:val="20"/>
              </w:rPr>
              <w:t>kg/t Al ingot</w:t>
            </w:r>
          </w:p>
        </w:tc>
        <w:tc>
          <w:tcPr>
            <w:tcW w:w="614" w:type="pct"/>
            <w:noWrap/>
            <w:vAlign w:val="center"/>
          </w:tcPr>
          <w:p w14:paraId="21E7FEA1" w14:textId="7C7B0054" w:rsidR="003C6D47" w:rsidRDefault="003C6D47" w:rsidP="003C6D47">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cs="Helvetica"/>
                <w:color w:val="595959"/>
                <w:szCs w:val="20"/>
              </w:rPr>
              <w:t>1</w:t>
            </w:r>
          </w:p>
        </w:tc>
        <w:tc>
          <w:tcPr>
            <w:tcW w:w="612" w:type="pct"/>
            <w:vAlign w:val="center"/>
          </w:tcPr>
          <w:p w14:paraId="5C2028B9" w14:textId="4A50CDC4" w:rsidR="003C6D47" w:rsidRDefault="003C6D47" w:rsidP="003C6D47">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cs="Helvetica"/>
                <w:color w:val="595959"/>
                <w:szCs w:val="20"/>
              </w:rPr>
              <w:t>4</w:t>
            </w:r>
          </w:p>
        </w:tc>
      </w:tr>
      <w:tr w:rsidR="003322D9" w:rsidRPr="007D52B8" w14:paraId="56DA8DFE" w14:textId="77777777" w:rsidTr="003C6D47">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987" w:type="pct"/>
            <w:noWrap/>
            <w:vAlign w:val="center"/>
          </w:tcPr>
          <w:p w14:paraId="566A6011" w14:textId="79EBBB8C" w:rsidR="003C6D47" w:rsidRDefault="003C6D47" w:rsidP="003C6D47">
            <w:pPr>
              <w:widowControl w:val="0"/>
              <w:tabs>
                <w:tab w:val="left" w:pos="-1440"/>
                <w:tab w:val="left" w:pos="-720"/>
              </w:tabs>
              <w:spacing w:after="0" w:line="312" w:lineRule="auto"/>
              <w:rPr>
                <w:rFonts w:cs="Helvetica"/>
                <w:color w:val="595959"/>
                <w:szCs w:val="20"/>
              </w:rPr>
            </w:pPr>
            <w:r w:rsidRPr="00FD4D41">
              <w:rPr>
                <w:rFonts w:cs="Helvetica"/>
                <w:color w:val="595959"/>
                <w:szCs w:val="20"/>
              </w:rPr>
              <w:t>Filter dust</w:t>
            </w:r>
            <w:r w:rsidR="007D52B8">
              <w:rPr>
                <w:rFonts w:cs="Helvetica"/>
                <w:color w:val="595959"/>
                <w:szCs w:val="20"/>
              </w:rPr>
              <w:t xml:space="preserve"> recycled</w:t>
            </w:r>
          </w:p>
        </w:tc>
        <w:tc>
          <w:tcPr>
            <w:tcW w:w="787" w:type="pct"/>
            <w:vAlign w:val="center"/>
          </w:tcPr>
          <w:p w14:paraId="49F45959" w14:textId="54540CF6" w:rsidR="003C6D47" w:rsidRPr="003C6D47" w:rsidRDefault="007D52B8" w:rsidP="007D52B8">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C6D47">
              <w:rPr>
                <w:rFonts w:cs="Helvetica"/>
                <w:color w:val="595959"/>
                <w:szCs w:val="20"/>
              </w:rPr>
              <w:t>kg/t Al ingot</w:t>
            </w:r>
          </w:p>
        </w:tc>
        <w:tc>
          <w:tcPr>
            <w:tcW w:w="614" w:type="pct"/>
            <w:noWrap/>
            <w:vAlign w:val="center"/>
          </w:tcPr>
          <w:p w14:paraId="3E1477C2" w14:textId="7B22D15D" w:rsidR="003C6D47" w:rsidRDefault="007D52B8" w:rsidP="007D52B8">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0.2</w:t>
            </w:r>
          </w:p>
        </w:tc>
        <w:tc>
          <w:tcPr>
            <w:tcW w:w="612" w:type="pct"/>
            <w:vAlign w:val="center"/>
          </w:tcPr>
          <w:p w14:paraId="324331CF" w14:textId="79263C87" w:rsidR="003C6D47" w:rsidRDefault="007D52B8" w:rsidP="007D52B8">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0.53</w:t>
            </w:r>
          </w:p>
        </w:tc>
      </w:tr>
      <w:tr w:rsidR="007D52B8" w:rsidRPr="007D52B8" w14:paraId="09ED5E5C" w14:textId="77777777" w:rsidTr="003C6D47">
        <w:trPr>
          <w:trHeight w:val="385"/>
        </w:trPr>
        <w:tc>
          <w:tcPr>
            <w:cnfStyle w:val="001000000000" w:firstRow="0" w:lastRow="0" w:firstColumn="1" w:lastColumn="0" w:oddVBand="0" w:evenVBand="0" w:oddHBand="0" w:evenHBand="0" w:firstRowFirstColumn="0" w:firstRowLastColumn="0" w:lastRowFirstColumn="0" w:lastRowLastColumn="0"/>
            <w:tcW w:w="2987" w:type="pct"/>
            <w:noWrap/>
            <w:vAlign w:val="center"/>
          </w:tcPr>
          <w:p w14:paraId="62AB7DB0" w14:textId="4836296E" w:rsidR="007D52B8" w:rsidRPr="007D52B8" w:rsidRDefault="007D52B8" w:rsidP="003C6D47">
            <w:pPr>
              <w:widowControl w:val="0"/>
              <w:tabs>
                <w:tab w:val="left" w:pos="-1440"/>
                <w:tab w:val="left" w:pos="-720"/>
              </w:tabs>
              <w:spacing w:after="0" w:line="312" w:lineRule="auto"/>
              <w:rPr>
                <w:rFonts w:cs="Helvetica"/>
                <w:color w:val="595959"/>
                <w:szCs w:val="20"/>
              </w:rPr>
            </w:pPr>
            <w:r>
              <w:rPr>
                <w:rFonts w:cs="Helvetica"/>
                <w:color w:val="595959"/>
                <w:szCs w:val="20"/>
              </w:rPr>
              <w:t>Filter dust landfilled</w:t>
            </w:r>
          </w:p>
        </w:tc>
        <w:tc>
          <w:tcPr>
            <w:tcW w:w="787" w:type="pct"/>
            <w:vAlign w:val="center"/>
          </w:tcPr>
          <w:p w14:paraId="6801C517" w14:textId="232CCB77" w:rsidR="007D52B8" w:rsidRPr="003C6D47" w:rsidRDefault="007D52B8" w:rsidP="00FD4D4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C6D47">
              <w:rPr>
                <w:rFonts w:cs="Helvetica"/>
                <w:color w:val="595959"/>
                <w:szCs w:val="20"/>
              </w:rPr>
              <w:t>kg/t Al ingot</w:t>
            </w:r>
          </w:p>
        </w:tc>
        <w:tc>
          <w:tcPr>
            <w:tcW w:w="614" w:type="pct"/>
            <w:noWrap/>
            <w:vAlign w:val="center"/>
          </w:tcPr>
          <w:p w14:paraId="26F302BC" w14:textId="2CC90AB1" w:rsidR="007D52B8" w:rsidRDefault="007D52B8" w:rsidP="00FD4D4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cs="Helvetica"/>
                <w:color w:val="595959"/>
                <w:szCs w:val="20"/>
              </w:rPr>
              <w:t>0.1</w:t>
            </w:r>
          </w:p>
        </w:tc>
        <w:tc>
          <w:tcPr>
            <w:tcW w:w="612" w:type="pct"/>
            <w:vAlign w:val="center"/>
          </w:tcPr>
          <w:p w14:paraId="53BCB80B" w14:textId="35CA7187" w:rsidR="007D52B8" w:rsidRDefault="007D52B8" w:rsidP="00FD4D41">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cs="Helvetica"/>
                <w:color w:val="595959"/>
                <w:szCs w:val="20"/>
              </w:rPr>
              <w:t>0.03</w:t>
            </w:r>
          </w:p>
        </w:tc>
      </w:tr>
      <w:tr w:rsidR="003322D9" w:rsidRPr="00D154E7" w14:paraId="4EB8FF99" w14:textId="77777777" w:rsidTr="003C6D47">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987" w:type="pct"/>
            <w:noWrap/>
            <w:vAlign w:val="center"/>
          </w:tcPr>
          <w:p w14:paraId="3A9608DA" w14:textId="68D81943" w:rsidR="003C6D47" w:rsidRDefault="003C6D47" w:rsidP="003C6D47">
            <w:pPr>
              <w:widowControl w:val="0"/>
              <w:tabs>
                <w:tab w:val="left" w:pos="-1440"/>
                <w:tab w:val="left" w:pos="-720"/>
              </w:tabs>
              <w:spacing w:after="0" w:line="312" w:lineRule="auto"/>
              <w:rPr>
                <w:rFonts w:cs="Helvetica"/>
                <w:color w:val="595959"/>
                <w:szCs w:val="20"/>
              </w:rPr>
            </w:pPr>
            <w:r w:rsidRPr="003C6D47">
              <w:rPr>
                <w:rFonts w:cs="Helvetica"/>
                <w:color w:val="595959"/>
                <w:szCs w:val="20"/>
              </w:rPr>
              <w:t>Waste carbon or mix</w:t>
            </w:r>
            <w:r w:rsidR="00F45824">
              <w:rPr>
                <w:rFonts w:cs="Helvetica"/>
                <w:color w:val="595959"/>
                <w:szCs w:val="20"/>
              </w:rPr>
              <w:t xml:space="preserve"> - electrolysis</w:t>
            </w:r>
          </w:p>
        </w:tc>
        <w:tc>
          <w:tcPr>
            <w:tcW w:w="787" w:type="pct"/>
            <w:vAlign w:val="center"/>
          </w:tcPr>
          <w:p w14:paraId="28DE5954" w14:textId="2D75F828" w:rsidR="003C6D47" w:rsidRPr="003C6D47" w:rsidRDefault="003C6D47" w:rsidP="003C6D47">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C6D47">
              <w:rPr>
                <w:rFonts w:cs="Helvetica"/>
                <w:color w:val="595959"/>
                <w:szCs w:val="20"/>
              </w:rPr>
              <w:t>kg/t Al ingot</w:t>
            </w:r>
          </w:p>
        </w:tc>
        <w:tc>
          <w:tcPr>
            <w:tcW w:w="614" w:type="pct"/>
            <w:noWrap/>
            <w:vAlign w:val="center"/>
          </w:tcPr>
          <w:p w14:paraId="7515C5F3" w14:textId="270B777E" w:rsidR="003C6D47" w:rsidRDefault="00F45824" w:rsidP="003C6D47">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16</w:t>
            </w:r>
          </w:p>
        </w:tc>
        <w:tc>
          <w:tcPr>
            <w:tcW w:w="612" w:type="pct"/>
            <w:vAlign w:val="center"/>
          </w:tcPr>
          <w:p w14:paraId="5F5804B2" w14:textId="7DF3E261" w:rsidR="003C6D47" w:rsidRDefault="00F45824" w:rsidP="003C6D47">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9</w:t>
            </w:r>
          </w:p>
        </w:tc>
      </w:tr>
    </w:tbl>
    <w:p w14:paraId="20D62CF7" w14:textId="4CA8B3A9" w:rsidR="00C977C8" w:rsidRDefault="00C977C8" w:rsidP="001A5B9F">
      <w:pPr>
        <w:pStyle w:val="Corpsdetexte2"/>
        <w:spacing w:line="312" w:lineRule="auto"/>
        <w:ind w:left="0"/>
        <w:jc w:val="both"/>
        <w:rPr>
          <w:rFonts w:ascii="Helvetica" w:hAnsi="Helvetica" w:cs="Helvetica"/>
          <w:color w:val="595959"/>
          <w:szCs w:val="24"/>
        </w:rPr>
      </w:pPr>
    </w:p>
    <w:p w14:paraId="7C27F20E" w14:textId="4802BC5B" w:rsidR="0069734C" w:rsidRDefault="0069734C" w:rsidP="0069734C">
      <w:pPr>
        <w:spacing w:after="0" w:line="312" w:lineRule="auto"/>
        <w:jc w:val="both"/>
        <w:rPr>
          <w:rFonts w:cs="Helvetica"/>
          <w:i/>
          <w:color w:val="595959"/>
        </w:rPr>
      </w:pPr>
      <w:r w:rsidRPr="00360851">
        <w:rPr>
          <w:rFonts w:cs="Helvetica"/>
          <w:b/>
          <w:color w:val="595959"/>
        </w:rPr>
        <w:t xml:space="preserve">Table </w:t>
      </w:r>
      <w:r>
        <w:rPr>
          <w:rFonts w:cs="Helvetica"/>
          <w:b/>
          <w:color w:val="595959"/>
        </w:rPr>
        <w:t>6.1</w:t>
      </w:r>
      <w:r w:rsidRPr="00E6098F">
        <w:rPr>
          <w:rFonts w:cs="Helvetica"/>
          <w:b/>
          <w:color w:val="595959"/>
        </w:rPr>
        <w:t>:</w:t>
      </w:r>
      <w:r>
        <w:rPr>
          <w:rFonts w:cs="Helvetica"/>
          <w:b/>
          <w:color w:val="595959"/>
        </w:rPr>
        <w:tab/>
        <w:t xml:space="preserve">Life cycle inventory </w:t>
      </w:r>
      <w:r w:rsidRPr="00E6098F">
        <w:rPr>
          <w:rFonts w:cs="Helvetica"/>
          <w:b/>
          <w:color w:val="595959"/>
        </w:rPr>
        <w:t xml:space="preserve">data </w:t>
      </w:r>
      <w:r>
        <w:rPr>
          <w:rFonts w:cs="Helvetica"/>
          <w:b/>
          <w:color w:val="595959"/>
        </w:rPr>
        <w:t xml:space="preserve">differences for year 2015 and 2019 – Anode </w:t>
      </w:r>
      <w:r w:rsidRPr="0069734C">
        <w:rPr>
          <w:rFonts w:cs="Helvetica"/>
          <w:b/>
          <w:color w:val="595959"/>
        </w:rPr>
        <w:t>Production, Electrolysis &amp; Ingot Casting</w:t>
      </w:r>
    </w:p>
    <w:p w14:paraId="7F012A7D" w14:textId="77777777" w:rsidR="0069734C" w:rsidRDefault="0069734C" w:rsidP="001A5B9F">
      <w:pPr>
        <w:pStyle w:val="Corpsdetexte2"/>
        <w:spacing w:line="312" w:lineRule="auto"/>
        <w:ind w:left="0"/>
        <w:jc w:val="both"/>
        <w:rPr>
          <w:rFonts w:ascii="Helvetica" w:hAnsi="Helvetica" w:cs="Helvetica"/>
          <w:color w:val="595959"/>
          <w:szCs w:val="24"/>
        </w:rPr>
      </w:pPr>
    </w:p>
    <w:p w14:paraId="06E78778" w14:textId="09861DEC" w:rsidR="003C6D47" w:rsidRPr="003C6D47" w:rsidRDefault="003C6D47" w:rsidP="000D0304">
      <w:pPr>
        <w:pStyle w:val="Corpsdetexte2"/>
        <w:spacing w:line="312" w:lineRule="auto"/>
        <w:ind w:left="0"/>
        <w:jc w:val="both"/>
        <w:rPr>
          <w:rFonts w:ascii="Helvetica" w:hAnsi="Helvetica" w:cs="Helvetica"/>
          <w:color w:val="595959"/>
        </w:rPr>
      </w:pPr>
      <w:r w:rsidRPr="003C6D47">
        <w:rPr>
          <w:rFonts w:ascii="Helvetica" w:hAnsi="Helvetica" w:cs="Helvetica"/>
          <w:b/>
          <w:i/>
          <w:iCs/>
          <w:color w:val="595959"/>
        </w:rPr>
        <w:t>Steel input</w:t>
      </w:r>
      <w:r>
        <w:rPr>
          <w:rFonts w:ascii="Helvetica" w:hAnsi="Helvetica" w:cs="Helvetica"/>
          <w:b/>
          <w:color w:val="595959"/>
        </w:rPr>
        <w:t xml:space="preserve"> </w:t>
      </w:r>
      <w:r w:rsidR="00EE6235">
        <w:rPr>
          <w:rFonts w:ascii="Helvetica" w:hAnsi="Helvetica" w:cs="Helvetica"/>
          <w:color w:val="595959"/>
        </w:rPr>
        <w:t>,</w:t>
      </w:r>
      <w:r w:rsidR="00EF68A9" w:rsidRPr="00EF68A9">
        <w:rPr>
          <w:rFonts w:ascii="Helvetica" w:hAnsi="Helvetica" w:cs="Helvetica"/>
          <w:b/>
          <w:i/>
          <w:iCs/>
          <w:color w:val="595959"/>
        </w:rPr>
        <w:t>Hydrogen chloride</w:t>
      </w:r>
      <w:r w:rsidR="00EF68A9" w:rsidRPr="00EF68A9">
        <w:rPr>
          <w:rFonts w:ascii="Helvetica" w:hAnsi="Helvetica" w:cs="Helvetica"/>
          <w:b/>
          <w:color w:val="595959"/>
        </w:rPr>
        <w:t xml:space="preserve"> </w:t>
      </w:r>
      <w:r w:rsidR="00EF68A9" w:rsidRPr="00EF68A9">
        <w:rPr>
          <w:rFonts w:ascii="Helvetica" w:hAnsi="Helvetica" w:cs="Helvetica"/>
          <w:bCs/>
          <w:color w:val="595959"/>
        </w:rPr>
        <w:t>emissio</w:t>
      </w:r>
      <w:r w:rsidR="00EF68A9" w:rsidRPr="00FD4D41">
        <w:rPr>
          <w:rFonts w:ascii="Helvetica" w:hAnsi="Helvetica" w:cs="Helvetica"/>
          <w:color w:val="595959"/>
        </w:rPr>
        <w:t>n</w:t>
      </w:r>
      <w:r w:rsidR="00F45824">
        <w:rPr>
          <w:rFonts w:ascii="Helvetica" w:hAnsi="Helvetica" w:cs="Helvetica"/>
          <w:b/>
          <w:color w:val="595959"/>
        </w:rPr>
        <w:t xml:space="preserve">, </w:t>
      </w:r>
      <w:r w:rsidR="00F45824" w:rsidRPr="00FD4D41">
        <w:rPr>
          <w:rFonts w:ascii="Helvetica" w:hAnsi="Helvetica" w:cs="Helvetica"/>
          <w:color w:val="595959"/>
        </w:rPr>
        <w:t>output of</w:t>
      </w:r>
      <w:r w:rsidR="00F45824">
        <w:rPr>
          <w:rFonts w:ascii="Helvetica" w:hAnsi="Helvetica" w:cs="Helvetica"/>
          <w:b/>
          <w:color w:val="595959"/>
        </w:rPr>
        <w:t xml:space="preserve"> </w:t>
      </w:r>
      <w:r w:rsidR="00EE6235" w:rsidRPr="00FD4D41">
        <w:rPr>
          <w:rFonts w:ascii="Helvetica" w:hAnsi="Helvetica" w:cs="Helvetica"/>
          <w:b/>
          <w:i/>
          <w:iCs/>
          <w:color w:val="595959"/>
        </w:rPr>
        <w:t xml:space="preserve">Waste </w:t>
      </w:r>
      <w:r w:rsidR="00F45824" w:rsidRPr="00FD4D41">
        <w:rPr>
          <w:rFonts w:ascii="Helvetica" w:hAnsi="Helvetica" w:cs="Helvetica"/>
          <w:b/>
          <w:i/>
          <w:iCs/>
          <w:color w:val="595959"/>
        </w:rPr>
        <w:t>A</w:t>
      </w:r>
      <w:r w:rsidR="00EE6235" w:rsidRPr="00FD4D41">
        <w:rPr>
          <w:rFonts w:ascii="Helvetica" w:hAnsi="Helvetica" w:cs="Helvetica"/>
          <w:b/>
          <w:i/>
          <w:iCs/>
          <w:color w:val="595959"/>
        </w:rPr>
        <w:t>lumina</w:t>
      </w:r>
      <w:r w:rsidR="00EE6235" w:rsidRPr="00EE6235">
        <w:rPr>
          <w:rFonts w:ascii="Helvetica" w:hAnsi="Helvetica" w:cs="Helvetica"/>
          <w:b/>
          <w:color w:val="595959"/>
        </w:rPr>
        <w:t xml:space="preserve"> </w:t>
      </w:r>
      <w:r w:rsidR="00F45824">
        <w:rPr>
          <w:rFonts w:ascii="Helvetica" w:hAnsi="Helvetica" w:cs="Helvetica"/>
          <w:b/>
          <w:color w:val="595959"/>
        </w:rPr>
        <w:t>a</w:t>
      </w:r>
      <w:r w:rsidR="00F45824" w:rsidRPr="00FD4D41">
        <w:rPr>
          <w:rFonts w:ascii="Helvetica" w:hAnsi="Helvetica" w:cs="Helvetica"/>
          <w:color w:val="595959"/>
        </w:rPr>
        <w:t>nd</w:t>
      </w:r>
      <w:r w:rsidR="00EE6235">
        <w:rPr>
          <w:rFonts w:ascii="Helvetica" w:hAnsi="Helvetica" w:cs="Helvetica"/>
          <w:b/>
          <w:color w:val="595959"/>
        </w:rPr>
        <w:t xml:space="preserve"> </w:t>
      </w:r>
      <w:r w:rsidR="00F45824" w:rsidRPr="00FD4D41">
        <w:rPr>
          <w:rFonts w:ascii="Helvetica" w:hAnsi="Helvetica" w:cs="Helvetica"/>
          <w:b/>
          <w:i/>
          <w:iCs/>
          <w:color w:val="595959"/>
        </w:rPr>
        <w:t>Waste carbon or mix</w:t>
      </w:r>
      <w:r w:rsidR="00F45824">
        <w:rPr>
          <w:rFonts w:cs="Helvetica"/>
          <w:color w:val="595959"/>
        </w:rPr>
        <w:t xml:space="preserve"> </w:t>
      </w:r>
      <w:r w:rsidRPr="003C6D47">
        <w:rPr>
          <w:rFonts w:ascii="Helvetica" w:hAnsi="Helvetica" w:cs="Helvetica"/>
          <w:color w:val="595959"/>
        </w:rPr>
        <w:t>ha</w:t>
      </w:r>
      <w:r w:rsidR="00EF68A9">
        <w:rPr>
          <w:rFonts w:ascii="Helvetica" w:hAnsi="Helvetica" w:cs="Helvetica"/>
          <w:color w:val="595959"/>
        </w:rPr>
        <w:t>ve</w:t>
      </w:r>
      <w:r w:rsidRPr="003C6D47">
        <w:rPr>
          <w:rFonts w:ascii="Helvetica" w:hAnsi="Helvetica" w:cs="Helvetica"/>
          <w:color w:val="595959"/>
        </w:rPr>
        <w:t xml:space="preserve"> decreased due to the expanded reporting cohort</w:t>
      </w:r>
      <w:r>
        <w:rPr>
          <w:rFonts w:ascii="Helvetica" w:hAnsi="Helvetica" w:cs="Helvetica"/>
          <w:color w:val="595959"/>
        </w:rPr>
        <w:t xml:space="preserve">. </w:t>
      </w:r>
      <w:r w:rsidR="00EF68A9">
        <w:rPr>
          <w:rFonts w:ascii="Helvetica" w:hAnsi="Helvetica" w:cs="Helvetica"/>
          <w:color w:val="595959"/>
        </w:rPr>
        <w:t>The number of reporting sites has doubled, so has the number of reporting countries.</w:t>
      </w:r>
      <w:r w:rsidR="007B37F6">
        <w:rPr>
          <w:rFonts w:ascii="Helvetica" w:hAnsi="Helvetica" w:cs="Helvetica"/>
          <w:color w:val="595959"/>
        </w:rPr>
        <w:t xml:space="preserve"> 2019 data is taken as more appropriate.</w:t>
      </w:r>
    </w:p>
    <w:p w14:paraId="46DFC8A6" w14:textId="77777777" w:rsidR="003C6D47" w:rsidRDefault="003C6D47" w:rsidP="000D0304">
      <w:pPr>
        <w:pStyle w:val="Corpsdetexte2"/>
        <w:spacing w:line="312" w:lineRule="auto"/>
        <w:ind w:left="0"/>
        <w:jc w:val="both"/>
        <w:rPr>
          <w:rFonts w:ascii="Helvetica" w:hAnsi="Helvetica" w:cs="Helvetica"/>
          <w:b/>
          <w:color w:val="595959"/>
        </w:rPr>
      </w:pPr>
    </w:p>
    <w:p w14:paraId="69112CAD" w14:textId="51765F79" w:rsidR="003C6D47" w:rsidRDefault="003C6D47" w:rsidP="003C6D47">
      <w:pPr>
        <w:widowControl w:val="0"/>
        <w:tabs>
          <w:tab w:val="left" w:pos="-1440"/>
          <w:tab w:val="left" w:pos="-720"/>
        </w:tabs>
        <w:spacing w:after="0" w:line="312" w:lineRule="auto"/>
        <w:jc w:val="both"/>
        <w:rPr>
          <w:rFonts w:cs="Helvetica"/>
          <w:color w:val="595959"/>
          <w:szCs w:val="20"/>
        </w:rPr>
      </w:pPr>
      <w:r w:rsidRPr="003C6D47">
        <w:rPr>
          <w:rFonts w:eastAsia="Times New Roman" w:cs="Helvetica"/>
          <w:b/>
          <w:i/>
          <w:iCs/>
          <w:color w:val="595959"/>
          <w:szCs w:val="20"/>
          <w:lang w:eastAsia="ar-SA"/>
        </w:rPr>
        <w:t>Nitrous oxides into air</w:t>
      </w:r>
      <w:r>
        <w:rPr>
          <w:rFonts w:cs="Helvetica"/>
          <w:color w:val="595959"/>
          <w:szCs w:val="20"/>
        </w:rPr>
        <w:t xml:space="preserve"> from the process of electrolysis has nearly doubled. There were two facilities reported much higher emissions intensity than the rest. Also, number of reporting facilities dropped by 1/3 from 2015 to 2019. In this case, 2015 data is more </w:t>
      </w:r>
      <w:r w:rsidR="005C3E51">
        <w:rPr>
          <w:rFonts w:cs="Helvetica"/>
          <w:color w:val="595959"/>
          <w:szCs w:val="20"/>
        </w:rPr>
        <w:t>representative</w:t>
      </w:r>
      <w:r>
        <w:rPr>
          <w:rFonts w:cs="Helvetica"/>
          <w:color w:val="595959"/>
          <w:szCs w:val="20"/>
        </w:rPr>
        <w:t>.</w:t>
      </w:r>
    </w:p>
    <w:p w14:paraId="10D20E3E" w14:textId="6B5139A6" w:rsidR="003C6D47" w:rsidRDefault="003C6D47" w:rsidP="003C6D47">
      <w:pPr>
        <w:widowControl w:val="0"/>
        <w:tabs>
          <w:tab w:val="left" w:pos="-1440"/>
          <w:tab w:val="left" w:pos="-720"/>
        </w:tabs>
        <w:spacing w:after="0" w:line="312" w:lineRule="auto"/>
        <w:jc w:val="both"/>
        <w:rPr>
          <w:rFonts w:cs="Helvetica"/>
          <w:color w:val="595959"/>
          <w:szCs w:val="20"/>
        </w:rPr>
      </w:pPr>
    </w:p>
    <w:p w14:paraId="0AC2DBAF" w14:textId="4539773A" w:rsidR="003C6D47" w:rsidRDefault="003C6D47" w:rsidP="003C6D47">
      <w:pPr>
        <w:spacing w:after="0" w:line="312" w:lineRule="auto"/>
        <w:jc w:val="both"/>
        <w:rPr>
          <w:rFonts w:cs="Helvetica"/>
          <w:iCs/>
          <w:color w:val="595959"/>
        </w:rPr>
      </w:pPr>
      <w:r>
        <w:rPr>
          <w:rFonts w:cs="Helvetica"/>
          <w:color w:val="595959"/>
        </w:rPr>
        <w:t xml:space="preserve">The 2015 response rate for </w:t>
      </w:r>
      <w:r>
        <w:rPr>
          <w:rFonts w:cs="Helvetica"/>
          <w:b/>
          <w:i/>
          <w:iCs/>
          <w:color w:val="595959"/>
        </w:rPr>
        <w:t>polycyclic aromatic hydrocarbon</w:t>
      </w:r>
      <w:r w:rsidRPr="00127FE0">
        <w:rPr>
          <w:rFonts w:cs="Helvetica"/>
          <w:iCs/>
          <w:color w:val="595959"/>
        </w:rPr>
        <w:t xml:space="preserve"> </w:t>
      </w:r>
      <w:r w:rsidRPr="009D3607">
        <w:rPr>
          <w:rFonts w:cs="Helvetica"/>
          <w:iCs/>
          <w:color w:val="595959"/>
        </w:rPr>
        <w:t xml:space="preserve">emissions to </w:t>
      </w:r>
      <w:r>
        <w:rPr>
          <w:rFonts w:cs="Helvetica"/>
          <w:iCs/>
          <w:color w:val="595959"/>
        </w:rPr>
        <w:t>air/</w:t>
      </w:r>
      <w:r w:rsidRPr="009D3607">
        <w:rPr>
          <w:rFonts w:cs="Helvetica"/>
          <w:iCs/>
          <w:color w:val="595959"/>
        </w:rPr>
        <w:t xml:space="preserve">water </w:t>
      </w:r>
      <w:r>
        <w:rPr>
          <w:rFonts w:cs="Helvetica"/>
          <w:iCs/>
          <w:color w:val="595959"/>
        </w:rPr>
        <w:t>for electrolysis was very</w:t>
      </w:r>
      <w:r w:rsidRPr="009D3607">
        <w:rPr>
          <w:rFonts w:cs="Helvetica"/>
          <w:iCs/>
          <w:color w:val="595959"/>
        </w:rPr>
        <w:t xml:space="preserve"> low </w:t>
      </w:r>
      <w:r>
        <w:rPr>
          <w:rFonts w:cs="Helvetica"/>
          <w:iCs/>
          <w:color w:val="595959"/>
        </w:rPr>
        <w:t xml:space="preserve">(respectively 16% and 6% of global production), </w:t>
      </w:r>
      <w:r w:rsidRPr="009D3607">
        <w:rPr>
          <w:rFonts w:cs="Helvetica"/>
          <w:iCs/>
          <w:color w:val="595959"/>
        </w:rPr>
        <w:t>and as such the 201</w:t>
      </w:r>
      <w:r>
        <w:rPr>
          <w:rFonts w:cs="Helvetica"/>
          <w:iCs/>
          <w:color w:val="595959"/>
        </w:rPr>
        <w:t>9</w:t>
      </w:r>
      <w:r w:rsidRPr="009D3607">
        <w:rPr>
          <w:rFonts w:cs="Helvetica"/>
          <w:b/>
          <w:iCs/>
          <w:color w:val="595959"/>
        </w:rPr>
        <w:t xml:space="preserve"> </w:t>
      </w:r>
      <w:r w:rsidRPr="009D3607">
        <w:rPr>
          <w:rFonts w:cs="Helvetica"/>
          <w:iCs/>
          <w:color w:val="595959"/>
        </w:rPr>
        <w:t>data</w:t>
      </w:r>
      <w:r>
        <w:rPr>
          <w:rFonts w:cs="Helvetica"/>
          <w:iCs/>
          <w:color w:val="595959"/>
        </w:rPr>
        <w:t xml:space="preserve"> is with an increased response rate of 18% and 15% by production respectively. </w:t>
      </w:r>
    </w:p>
    <w:p w14:paraId="1E4BED54" w14:textId="74860F34" w:rsidR="003C6D47" w:rsidRDefault="003C6D47" w:rsidP="003C6D47">
      <w:pPr>
        <w:widowControl w:val="0"/>
        <w:tabs>
          <w:tab w:val="left" w:pos="-1440"/>
          <w:tab w:val="left" w:pos="-720"/>
        </w:tabs>
        <w:spacing w:after="0" w:line="312" w:lineRule="auto"/>
        <w:jc w:val="both"/>
        <w:rPr>
          <w:rFonts w:cs="Helvetica"/>
          <w:color w:val="595959"/>
          <w:szCs w:val="20"/>
        </w:rPr>
      </w:pPr>
    </w:p>
    <w:p w14:paraId="56022178" w14:textId="19281016" w:rsidR="00104F09" w:rsidRDefault="00104F09" w:rsidP="003C6D47">
      <w:pPr>
        <w:widowControl w:val="0"/>
        <w:tabs>
          <w:tab w:val="left" w:pos="-1440"/>
          <w:tab w:val="left" w:pos="-720"/>
        </w:tabs>
        <w:spacing w:after="0" w:line="312" w:lineRule="auto"/>
        <w:jc w:val="both"/>
        <w:rPr>
          <w:rFonts w:cs="Helvetica"/>
          <w:b/>
          <w:i/>
          <w:iCs/>
          <w:color w:val="595959"/>
        </w:rPr>
      </w:pPr>
      <w:r w:rsidRPr="00104F09">
        <w:rPr>
          <w:rFonts w:cs="Helvetica"/>
          <w:b/>
          <w:i/>
          <w:iCs/>
          <w:color w:val="595959"/>
        </w:rPr>
        <w:t>Benzo(a)pyrene into air</w:t>
      </w:r>
      <w:r>
        <w:rPr>
          <w:rFonts w:cs="Helvetica"/>
          <w:b/>
          <w:i/>
          <w:iCs/>
          <w:color w:val="595959"/>
        </w:rPr>
        <w:t xml:space="preserve"> </w:t>
      </w:r>
      <w:r w:rsidRPr="00104F09">
        <w:rPr>
          <w:rFonts w:eastAsia="Times New Roman" w:cs="Helvetica"/>
          <w:color w:val="595959"/>
          <w:szCs w:val="20"/>
          <w:lang w:eastAsia="ar-SA"/>
        </w:rPr>
        <w:t xml:space="preserve">is </w:t>
      </w:r>
      <w:r>
        <w:rPr>
          <w:rFonts w:eastAsia="Times New Roman" w:cs="Helvetica"/>
          <w:color w:val="595959"/>
          <w:szCs w:val="20"/>
          <w:lang w:eastAsia="ar-SA"/>
        </w:rPr>
        <w:t>in a similar reporting condition</w:t>
      </w:r>
      <w:r w:rsidR="00CD6411">
        <w:rPr>
          <w:rFonts w:eastAsia="Times New Roman" w:cs="Helvetica"/>
          <w:color w:val="595959"/>
          <w:szCs w:val="20"/>
          <w:lang w:eastAsia="ar-SA"/>
        </w:rPr>
        <w:t xml:space="preserve"> as </w:t>
      </w:r>
      <w:r w:rsidR="00CD6411" w:rsidRPr="00CD6411">
        <w:rPr>
          <w:rFonts w:cs="Helvetica"/>
          <w:bCs/>
          <w:i/>
          <w:iCs/>
          <w:color w:val="595959"/>
        </w:rPr>
        <w:t>polycyclic aromatic hydrocarbon</w:t>
      </w:r>
      <w:r>
        <w:rPr>
          <w:rFonts w:eastAsia="Times New Roman" w:cs="Helvetica"/>
          <w:color w:val="595959"/>
          <w:szCs w:val="20"/>
          <w:lang w:eastAsia="ar-SA"/>
        </w:rPr>
        <w:t xml:space="preserve">, although response rate by production increased from 4% to 14% for anode production, 6% to 13% for electrolysis, it’s still very low. In such case, 2019 with higher response rate is recommended to be used as </w:t>
      </w:r>
      <w:r>
        <w:rPr>
          <w:rFonts w:cs="Helvetica"/>
          <w:iCs/>
          <w:color w:val="595959"/>
        </w:rPr>
        <w:t>appropriate.</w:t>
      </w:r>
    </w:p>
    <w:p w14:paraId="53040759" w14:textId="77777777" w:rsidR="00104F09" w:rsidRPr="00104F09" w:rsidRDefault="00104F09" w:rsidP="003C6D47">
      <w:pPr>
        <w:widowControl w:val="0"/>
        <w:tabs>
          <w:tab w:val="left" w:pos="-1440"/>
          <w:tab w:val="left" w:pos="-720"/>
        </w:tabs>
        <w:spacing w:after="0" w:line="312" w:lineRule="auto"/>
        <w:jc w:val="both"/>
        <w:rPr>
          <w:rFonts w:cs="Helvetica"/>
          <w:b/>
          <w:i/>
          <w:iCs/>
          <w:color w:val="595959"/>
        </w:rPr>
      </w:pPr>
    </w:p>
    <w:p w14:paraId="67FE1686" w14:textId="57353C31" w:rsidR="00405DA2" w:rsidRDefault="00405DA2" w:rsidP="000D0304">
      <w:pPr>
        <w:pStyle w:val="Corpsdetexte2"/>
        <w:spacing w:line="312" w:lineRule="auto"/>
        <w:ind w:left="0"/>
        <w:jc w:val="both"/>
        <w:rPr>
          <w:rFonts w:ascii="Helvetica" w:eastAsia="SimSun" w:hAnsi="Helvetica" w:cs="Helvetica"/>
          <w:b/>
          <w:i/>
          <w:iCs/>
          <w:color w:val="595959"/>
          <w:szCs w:val="24"/>
          <w:lang w:eastAsia="en-US"/>
        </w:rPr>
      </w:pPr>
      <w:r w:rsidRPr="00405DA2">
        <w:rPr>
          <w:rFonts w:ascii="Helvetica" w:eastAsia="SimSun" w:hAnsi="Helvetica" w:cs="Helvetica"/>
          <w:b/>
          <w:i/>
          <w:iCs/>
          <w:color w:val="595959"/>
          <w:szCs w:val="24"/>
          <w:lang w:eastAsia="en-US"/>
        </w:rPr>
        <w:t xml:space="preserve">Suspended solids into </w:t>
      </w:r>
      <w:r w:rsidRPr="00405DA2">
        <w:rPr>
          <w:rFonts w:ascii="Helvetica" w:hAnsi="Helvetica" w:cs="Helvetica"/>
          <w:b/>
          <w:bCs/>
          <w:i/>
          <w:iCs/>
          <w:color w:val="595959"/>
        </w:rPr>
        <w:t>water</w:t>
      </w:r>
      <w:r w:rsidRPr="00405DA2">
        <w:rPr>
          <w:rFonts w:ascii="Helvetica" w:hAnsi="Helvetica" w:cs="Helvetica"/>
          <w:color w:val="595959"/>
        </w:rPr>
        <w:t xml:space="preserve"> </w:t>
      </w:r>
      <w:r>
        <w:rPr>
          <w:rFonts w:ascii="Helvetica" w:hAnsi="Helvetica" w:cs="Helvetica"/>
          <w:color w:val="595959"/>
        </w:rPr>
        <w:t xml:space="preserve">and </w:t>
      </w:r>
      <w:r w:rsidRPr="00405DA2">
        <w:rPr>
          <w:rFonts w:ascii="Helvetica" w:eastAsia="SimSun" w:hAnsi="Helvetica" w:cs="Helvetica"/>
          <w:b/>
          <w:i/>
          <w:iCs/>
          <w:color w:val="595959"/>
          <w:szCs w:val="24"/>
          <w:lang w:eastAsia="en-US"/>
        </w:rPr>
        <w:t>Oil and grease/total hydrocarbons into water</w:t>
      </w:r>
      <w:r w:rsidRPr="00405DA2">
        <w:rPr>
          <w:rFonts w:ascii="Helvetica" w:hAnsi="Helvetica" w:cs="Helvetica"/>
          <w:color w:val="595959"/>
        </w:rPr>
        <w:t xml:space="preserve"> from anode production as well as casting was reported by</w:t>
      </w:r>
      <w:r>
        <w:rPr>
          <w:rFonts w:ascii="Helvetica" w:eastAsia="SimSun" w:hAnsi="Helvetica" w:cs="Helvetica"/>
          <w:b/>
          <w:i/>
          <w:iCs/>
          <w:color w:val="595959"/>
          <w:szCs w:val="24"/>
          <w:lang w:eastAsia="en-US"/>
        </w:rPr>
        <w:t xml:space="preserve"> </w:t>
      </w:r>
      <w:r>
        <w:rPr>
          <w:rFonts w:ascii="Helvetica" w:hAnsi="Helvetica" w:cs="Helvetica"/>
          <w:color w:val="595959"/>
        </w:rPr>
        <w:t>less than</w:t>
      </w:r>
      <w:r w:rsidRPr="00405DA2">
        <w:rPr>
          <w:rFonts w:ascii="Helvetica" w:hAnsi="Helvetica" w:cs="Helvetica"/>
          <w:color w:val="595959"/>
        </w:rPr>
        <w:t xml:space="preserve"> </w:t>
      </w:r>
      <w:r>
        <w:rPr>
          <w:rFonts w:ascii="Helvetica" w:hAnsi="Helvetica" w:cs="Helvetica"/>
          <w:color w:val="595959"/>
        </w:rPr>
        <w:t>5</w:t>
      </w:r>
      <w:r w:rsidRPr="00405DA2">
        <w:rPr>
          <w:rFonts w:ascii="Helvetica" w:hAnsi="Helvetica" w:cs="Helvetica"/>
          <w:color w:val="595959"/>
        </w:rPr>
        <w:t>% of global production for 2015</w:t>
      </w:r>
      <w:r>
        <w:rPr>
          <w:rFonts w:ascii="Helvetica" w:hAnsi="Helvetica" w:cs="Helvetica"/>
          <w:color w:val="595959"/>
        </w:rPr>
        <w:t xml:space="preserve">. The 2019 response rate is more than quadrupled, hence the 2019 average results are more reliable. </w:t>
      </w:r>
      <w:r>
        <w:rPr>
          <w:rFonts w:ascii="Helvetica" w:eastAsia="SimSun" w:hAnsi="Helvetica" w:cs="Helvetica"/>
          <w:b/>
          <w:i/>
          <w:iCs/>
          <w:color w:val="595959"/>
          <w:szCs w:val="24"/>
          <w:lang w:eastAsia="en-US"/>
        </w:rPr>
        <w:t xml:space="preserve"> </w:t>
      </w:r>
    </w:p>
    <w:p w14:paraId="7DE121FF" w14:textId="27E06E8E" w:rsidR="00405DA2" w:rsidRPr="00405DA2" w:rsidRDefault="00405DA2" w:rsidP="000D0304">
      <w:pPr>
        <w:pStyle w:val="Corpsdetexte2"/>
        <w:spacing w:line="312" w:lineRule="auto"/>
        <w:ind w:left="0"/>
        <w:jc w:val="both"/>
        <w:rPr>
          <w:rFonts w:ascii="Helvetica" w:hAnsi="Helvetica" w:cs="Helvetica"/>
          <w:color w:val="595959"/>
        </w:rPr>
      </w:pPr>
      <w:r>
        <w:rPr>
          <w:rFonts w:ascii="Helvetica" w:hAnsi="Helvetica" w:cs="Helvetica"/>
          <w:color w:val="595959"/>
        </w:rPr>
        <w:lastRenderedPageBreak/>
        <w:t xml:space="preserve"> </w:t>
      </w:r>
    </w:p>
    <w:p w14:paraId="13276A62" w14:textId="3E27648A" w:rsidR="000D019D" w:rsidRDefault="007659B9" w:rsidP="000D0304">
      <w:pPr>
        <w:pStyle w:val="Corpsdetexte2"/>
        <w:spacing w:line="312" w:lineRule="auto"/>
        <w:ind w:left="0"/>
        <w:jc w:val="both"/>
        <w:rPr>
          <w:rFonts w:ascii="Helvetica" w:hAnsi="Helvetica" w:cs="Helvetica"/>
          <w:color w:val="595959"/>
        </w:rPr>
      </w:pPr>
      <w:r w:rsidRPr="00FD4D41">
        <w:rPr>
          <w:rFonts w:ascii="Helvetica" w:eastAsia="SimSun" w:hAnsi="Helvetica" w:cs="Helvetica"/>
          <w:b/>
          <w:i/>
          <w:iCs/>
          <w:color w:val="595959"/>
          <w:szCs w:val="24"/>
          <w:lang w:eastAsia="en-US"/>
        </w:rPr>
        <w:t>Recycled Refractory</w:t>
      </w:r>
      <w:r w:rsidR="00C8611A">
        <w:rPr>
          <w:rFonts w:ascii="Helvetica" w:hAnsi="Helvetica" w:cs="Helvetica"/>
          <w:b/>
          <w:color w:val="595959"/>
        </w:rPr>
        <w:t xml:space="preserve"> </w:t>
      </w:r>
      <w:r w:rsidR="00C8611A" w:rsidRPr="00C8611A">
        <w:rPr>
          <w:rFonts w:ascii="Helvetica" w:hAnsi="Helvetica" w:cs="Helvetica"/>
          <w:color w:val="595959"/>
        </w:rPr>
        <w:t xml:space="preserve">from </w:t>
      </w:r>
      <w:r>
        <w:rPr>
          <w:rFonts w:ascii="Helvetica" w:hAnsi="Helvetica" w:cs="Helvetica"/>
          <w:color w:val="595959"/>
        </w:rPr>
        <w:t>electrolysis</w:t>
      </w:r>
      <w:r w:rsidR="00C8611A">
        <w:rPr>
          <w:rFonts w:ascii="Helvetica" w:hAnsi="Helvetica" w:cs="Helvetica"/>
          <w:b/>
          <w:color w:val="595959"/>
        </w:rPr>
        <w:t xml:space="preserve"> </w:t>
      </w:r>
      <w:r w:rsidR="00C8611A">
        <w:rPr>
          <w:rFonts w:ascii="Helvetica" w:hAnsi="Helvetica" w:cs="Helvetica"/>
          <w:color w:val="595959"/>
        </w:rPr>
        <w:t>appear to</w:t>
      </w:r>
      <w:r w:rsidR="00C8611A" w:rsidRPr="00C8611A">
        <w:rPr>
          <w:rFonts w:ascii="Helvetica" w:hAnsi="Helvetica" w:cs="Helvetica"/>
          <w:color w:val="595959"/>
        </w:rPr>
        <w:t xml:space="preserve"> </w:t>
      </w:r>
      <w:r w:rsidR="00C8611A">
        <w:rPr>
          <w:rFonts w:ascii="Helvetica" w:hAnsi="Helvetica" w:cs="Helvetica"/>
          <w:color w:val="595959"/>
        </w:rPr>
        <w:t xml:space="preserve">have </w:t>
      </w:r>
      <w:r>
        <w:rPr>
          <w:rFonts w:ascii="Helvetica" w:hAnsi="Helvetica" w:cs="Helvetica"/>
          <w:color w:val="595959"/>
        </w:rPr>
        <w:t xml:space="preserve">decreased a lot. There was </w:t>
      </w:r>
      <w:r w:rsidR="003433D1">
        <w:rPr>
          <w:rFonts w:ascii="Helvetica" w:hAnsi="Helvetica" w:cs="Helvetica"/>
          <w:color w:val="595959"/>
        </w:rPr>
        <w:t xml:space="preserve">one </w:t>
      </w:r>
      <w:r w:rsidR="00F002B8">
        <w:rPr>
          <w:rFonts w:ascii="Helvetica" w:hAnsi="Helvetica" w:cs="Helvetica"/>
          <w:color w:val="595959"/>
        </w:rPr>
        <w:t>site</w:t>
      </w:r>
      <w:r>
        <w:rPr>
          <w:rFonts w:ascii="Helvetica" w:hAnsi="Helvetica" w:cs="Helvetica"/>
          <w:color w:val="595959"/>
        </w:rPr>
        <w:t xml:space="preserve"> reported very high recycling rate for 2010 and was</w:t>
      </w:r>
      <w:r w:rsidR="003433D1">
        <w:rPr>
          <w:rFonts w:ascii="Helvetica" w:hAnsi="Helvetica" w:cs="Helvetica"/>
          <w:color w:val="595959"/>
        </w:rPr>
        <w:t xml:space="preserve"> included in the </w:t>
      </w:r>
      <w:r>
        <w:rPr>
          <w:rFonts w:ascii="Helvetica" w:hAnsi="Helvetica" w:cs="Helvetica"/>
          <w:color w:val="595959"/>
        </w:rPr>
        <w:t xml:space="preserve">2015 </w:t>
      </w:r>
      <w:r w:rsidR="00C8611A">
        <w:rPr>
          <w:rFonts w:ascii="Helvetica" w:hAnsi="Helvetica" w:cs="Helvetica"/>
          <w:color w:val="595959"/>
        </w:rPr>
        <w:t>dataset</w:t>
      </w:r>
      <w:r w:rsidR="009831A3">
        <w:rPr>
          <w:rFonts w:ascii="Helvetica" w:hAnsi="Helvetica" w:cs="Helvetica"/>
          <w:color w:val="595959"/>
        </w:rPr>
        <w:t xml:space="preserve">.  </w:t>
      </w:r>
      <w:r>
        <w:rPr>
          <w:rFonts w:ascii="Helvetica" w:hAnsi="Helvetica" w:cs="Helvetica"/>
          <w:color w:val="595959"/>
        </w:rPr>
        <w:t>If remove this site, the recycling rate of refectory from electrolysis is similar between 2015 and 2019.</w:t>
      </w:r>
      <w:r w:rsidR="009831A3">
        <w:rPr>
          <w:rFonts w:ascii="Helvetica" w:hAnsi="Helvetica" w:cs="Helvetica"/>
          <w:color w:val="595959"/>
        </w:rPr>
        <w:t xml:space="preserve"> </w:t>
      </w:r>
      <w:r w:rsidR="007A4FF4" w:rsidRPr="007A4FF4">
        <w:rPr>
          <w:rFonts w:ascii="Helvetica" w:hAnsi="Helvetica" w:cs="Helvetica"/>
          <w:color w:val="595959"/>
        </w:rPr>
        <w:t>Also, it should be noted that bauxite residue recycling is often a cyclical process and therefore annual recycling rates can vary</w:t>
      </w:r>
      <w:r w:rsidR="007A4FF4">
        <w:rPr>
          <w:rFonts w:ascii="Helvetica" w:hAnsi="Helvetica" w:cs="Helvetica"/>
          <w:color w:val="595959"/>
        </w:rPr>
        <w:t>.</w:t>
      </w:r>
      <w:r w:rsidR="009831A3">
        <w:rPr>
          <w:rFonts w:ascii="Helvetica" w:hAnsi="Helvetica" w:cs="Helvetica"/>
          <w:color w:val="595959"/>
        </w:rPr>
        <w:t xml:space="preserve"> </w:t>
      </w:r>
    </w:p>
    <w:p w14:paraId="611CA9A2" w14:textId="097049D2" w:rsidR="007D52B8" w:rsidRDefault="007D52B8" w:rsidP="000D0304">
      <w:pPr>
        <w:pStyle w:val="Corpsdetexte2"/>
        <w:spacing w:line="312" w:lineRule="auto"/>
        <w:ind w:left="0"/>
        <w:jc w:val="both"/>
        <w:rPr>
          <w:rFonts w:ascii="Helvetica" w:hAnsi="Helvetica" w:cs="Helvetica"/>
          <w:color w:val="595959"/>
        </w:rPr>
      </w:pPr>
    </w:p>
    <w:p w14:paraId="63EAB5B0" w14:textId="0700A339" w:rsidR="00C80DE0" w:rsidRDefault="007D52B8" w:rsidP="00FD4D41">
      <w:pPr>
        <w:pStyle w:val="Corpsdetexte2"/>
        <w:spacing w:line="312" w:lineRule="auto"/>
        <w:ind w:left="0"/>
        <w:jc w:val="both"/>
        <w:rPr>
          <w:rFonts w:cs="Helvetica"/>
          <w:iCs/>
          <w:color w:val="595959"/>
        </w:rPr>
      </w:pPr>
      <w:r>
        <w:rPr>
          <w:rFonts w:ascii="Helvetica" w:hAnsi="Helvetica" w:cs="Helvetica"/>
          <w:color w:val="595959"/>
        </w:rPr>
        <w:t xml:space="preserve">Both </w:t>
      </w:r>
      <w:r w:rsidRPr="0069734C">
        <w:rPr>
          <w:rFonts w:ascii="Helvetica" w:eastAsia="SimSun" w:hAnsi="Helvetica" w:cs="Helvetica"/>
          <w:b/>
          <w:i/>
          <w:iCs/>
          <w:color w:val="595959"/>
          <w:szCs w:val="24"/>
          <w:lang w:eastAsia="en-US"/>
        </w:rPr>
        <w:t>Filter Dust recycled</w:t>
      </w:r>
      <w:r>
        <w:rPr>
          <w:rFonts w:ascii="Helvetica" w:hAnsi="Helvetica" w:cs="Helvetica"/>
          <w:color w:val="595959"/>
        </w:rPr>
        <w:t xml:space="preserve"> and </w:t>
      </w:r>
      <w:r w:rsidRPr="0069734C">
        <w:rPr>
          <w:rFonts w:ascii="Helvetica" w:eastAsia="SimSun" w:hAnsi="Helvetica" w:cs="Helvetica"/>
          <w:b/>
          <w:i/>
          <w:iCs/>
          <w:color w:val="595959"/>
          <w:szCs w:val="24"/>
          <w:lang w:eastAsia="en-US"/>
        </w:rPr>
        <w:t>Filter Dust landfilled</w:t>
      </w:r>
      <w:r>
        <w:rPr>
          <w:rFonts w:ascii="Helvetica" w:hAnsi="Helvetica" w:cs="Helvetica"/>
          <w:color w:val="595959"/>
        </w:rPr>
        <w:t xml:space="preserve"> received very few response for 2015, 8% and 7% of global production respectively. Response rate increased to 21% and 24% respectively for 2019. Hence 2019 data is more reliable.</w:t>
      </w:r>
    </w:p>
    <w:p w14:paraId="4B96F581" w14:textId="2DE00428" w:rsidR="00D154E7" w:rsidRDefault="00D154E7">
      <w:pPr>
        <w:spacing w:after="0"/>
        <w:rPr>
          <w:rFonts w:cs="Helvetica"/>
          <w:b/>
          <w:color w:val="595959"/>
        </w:rPr>
      </w:pPr>
    </w:p>
    <w:p w14:paraId="4F210B3F" w14:textId="77777777" w:rsidR="00D154E7" w:rsidRDefault="00D154E7" w:rsidP="00DA5301">
      <w:pPr>
        <w:pStyle w:val="Heading4"/>
        <w:numPr>
          <w:ilvl w:val="3"/>
          <w:numId w:val="72"/>
        </w:numPr>
      </w:pPr>
      <w:bookmarkStart w:id="117" w:name="_Toc120111936"/>
      <w:r w:rsidRPr="000D0304">
        <w:t>Performance Driven Differences</w:t>
      </w:r>
      <w:bookmarkEnd w:id="117"/>
    </w:p>
    <w:tbl>
      <w:tblPr>
        <w:tblStyle w:val="PlainTable11"/>
        <w:tblW w:w="5000" w:type="pct"/>
        <w:tblLook w:val="04A0" w:firstRow="1" w:lastRow="0" w:firstColumn="1" w:lastColumn="0" w:noHBand="0" w:noVBand="1"/>
      </w:tblPr>
      <w:tblGrid>
        <w:gridCol w:w="5670"/>
        <w:gridCol w:w="1544"/>
        <w:gridCol w:w="1209"/>
        <w:gridCol w:w="1206"/>
      </w:tblGrid>
      <w:tr w:rsidR="00D154E7" w:rsidRPr="00D154E7" w14:paraId="43976A6B" w14:textId="77777777" w:rsidTr="00EB327E">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2944" w:type="pct"/>
            <w:noWrap/>
            <w:vAlign w:val="center"/>
          </w:tcPr>
          <w:p w14:paraId="6BB24731" w14:textId="758C0175" w:rsidR="00D154E7" w:rsidRPr="001A5B9F" w:rsidRDefault="00D154E7" w:rsidP="00D154E7">
            <w:pPr>
              <w:spacing w:after="0"/>
              <w:rPr>
                <w:rFonts w:cs="Helvetica"/>
                <w:bCs w:val="0"/>
                <w:color w:val="595959"/>
                <w:szCs w:val="20"/>
              </w:rPr>
            </w:pPr>
            <w:bookmarkStart w:id="118" w:name="_Toc480555219"/>
            <w:bookmarkStart w:id="119" w:name="_Toc480555305"/>
            <w:bookmarkStart w:id="120" w:name="_Toc480555391"/>
            <w:bookmarkStart w:id="121" w:name="_Toc480555473"/>
            <w:bookmarkStart w:id="122" w:name="_Toc480971417"/>
            <w:bookmarkEnd w:id="118"/>
            <w:bookmarkEnd w:id="119"/>
            <w:bookmarkEnd w:id="120"/>
            <w:bookmarkEnd w:id="121"/>
            <w:bookmarkEnd w:id="122"/>
            <w:r w:rsidRPr="001A5B9F">
              <w:rPr>
                <w:rFonts w:cs="Helvetica"/>
                <w:color w:val="595959"/>
                <w:szCs w:val="20"/>
              </w:rPr>
              <w:t>Inventory Flow</w:t>
            </w:r>
          </w:p>
        </w:tc>
        <w:tc>
          <w:tcPr>
            <w:tcW w:w="802" w:type="pct"/>
            <w:vAlign w:val="center"/>
          </w:tcPr>
          <w:p w14:paraId="31620269" w14:textId="77777777" w:rsidR="00D154E7" w:rsidRPr="001A5B9F" w:rsidRDefault="00D154E7" w:rsidP="00D154E7">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Cs w:val="0"/>
                <w:color w:val="595959"/>
                <w:szCs w:val="20"/>
              </w:rPr>
            </w:pPr>
            <w:r w:rsidRPr="001A5B9F">
              <w:rPr>
                <w:rFonts w:cs="Helvetica"/>
                <w:color w:val="595959"/>
                <w:szCs w:val="20"/>
              </w:rPr>
              <w:t>Unit</w:t>
            </w:r>
          </w:p>
        </w:tc>
        <w:tc>
          <w:tcPr>
            <w:tcW w:w="628" w:type="pct"/>
            <w:noWrap/>
            <w:vAlign w:val="center"/>
            <w:hideMark/>
          </w:tcPr>
          <w:p w14:paraId="1803474B" w14:textId="6535B5C5" w:rsidR="00D154E7" w:rsidRPr="001A5B9F" w:rsidRDefault="00D154E7" w:rsidP="00D154E7">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Cs w:val="0"/>
                <w:color w:val="595959"/>
                <w:szCs w:val="20"/>
              </w:rPr>
            </w:pPr>
            <w:r w:rsidRPr="001A5B9F">
              <w:rPr>
                <w:rFonts w:cs="Helvetica"/>
                <w:color w:val="595959"/>
                <w:szCs w:val="20"/>
              </w:rPr>
              <w:t>201</w:t>
            </w:r>
            <w:r w:rsidR="003C6D47">
              <w:rPr>
                <w:rFonts w:cs="Helvetica"/>
                <w:color w:val="595959"/>
                <w:szCs w:val="20"/>
              </w:rPr>
              <w:t>9</w:t>
            </w:r>
          </w:p>
        </w:tc>
        <w:tc>
          <w:tcPr>
            <w:tcW w:w="626" w:type="pct"/>
            <w:vAlign w:val="center"/>
          </w:tcPr>
          <w:p w14:paraId="50D2D738" w14:textId="77777777" w:rsidR="00D154E7" w:rsidRPr="001A5B9F" w:rsidRDefault="00D154E7" w:rsidP="00D154E7">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Cs w:val="0"/>
                <w:color w:val="595959"/>
                <w:szCs w:val="20"/>
              </w:rPr>
            </w:pPr>
            <w:r w:rsidRPr="001A5B9F">
              <w:rPr>
                <w:rFonts w:cs="Helvetica"/>
                <w:color w:val="595959"/>
                <w:szCs w:val="20"/>
              </w:rPr>
              <w:t>2015</w:t>
            </w:r>
          </w:p>
        </w:tc>
      </w:tr>
      <w:tr w:rsidR="003C6D47" w:rsidRPr="003C6D47" w14:paraId="2E02C713" w14:textId="77777777" w:rsidTr="00EB327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944" w:type="pct"/>
            <w:noWrap/>
            <w:vAlign w:val="center"/>
          </w:tcPr>
          <w:p w14:paraId="3C635757" w14:textId="1993AA7A" w:rsidR="003C6D47" w:rsidRPr="003C6D47" w:rsidRDefault="003C6D47" w:rsidP="003C6D47">
            <w:pPr>
              <w:widowControl w:val="0"/>
              <w:tabs>
                <w:tab w:val="left" w:pos="-1440"/>
                <w:tab w:val="left" w:pos="-720"/>
              </w:tabs>
              <w:spacing w:after="0" w:line="312" w:lineRule="auto"/>
              <w:rPr>
                <w:rFonts w:cs="Helvetica"/>
                <w:color w:val="595959"/>
                <w:szCs w:val="20"/>
              </w:rPr>
            </w:pPr>
            <w:r w:rsidRPr="00C977C8">
              <w:rPr>
                <w:rFonts w:cs="Helvetica"/>
                <w:color w:val="595959"/>
                <w:szCs w:val="20"/>
              </w:rPr>
              <w:t>Refractory material</w:t>
            </w:r>
            <w:r>
              <w:rPr>
                <w:rFonts w:cs="Helvetica"/>
                <w:color w:val="595959"/>
                <w:szCs w:val="20"/>
              </w:rPr>
              <w:t xml:space="preserve"> input – anode production </w:t>
            </w:r>
          </w:p>
        </w:tc>
        <w:tc>
          <w:tcPr>
            <w:tcW w:w="802" w:type="pct"/>
            <w:vAlign w:val="center"/>
          </w:tcPr>
          <w:p w14:paraId="4A1A67F7" w14:textId="3408E3DF" w:rsidR="003C6D47" w:rsidRPr="003C6D47" w:rsidRDefault="003C6D47" w:rsidP="003C6D47">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1A5B9F">
              <w:rPr>
                <w:rFonts w:cs="Helvetica"/>
                <w:color w:val="595959"/>
                <w:szCs w:val="20"/>
              </w:rPr>
              <w:t>kg/t Al ingot</w:t>
            </w:r>
          </w:p>
        </w:tc>
        <w:tc>
          <w:tcPr>
            <w:tcW w:w="628" w:type="pct"/>
            <w:noWrap/>
            <w:vAlign w:val="center"/>
          </w:tcPr>
          <w:p w14:paraId="721353E2" w14:textId="7D49767A" w:rsidR="003C6D47" w:rsidRPr="003C6D47" w:rsidRDefault="003C6D47" w:rsidP="003C6D47">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1</w:t>
            </w:r>
            <w:r w:rsidRPr="001A5B9F">
              <w:rPr>
                <w:rFonts w:cs="Helvetica"/>
                <w:color w:val="595959"/>
                <w:szCs w:val="20"/>
              </w:rPr>
              <w:t xml:space="preserve"> </w:t>
            </w:r>
          </w:p>
        </w:tc>
        <w:tc>
          <w:tcPr>
            <w:tcW w:w="626" w:type="pct"/>
            <w:vAlign w:val="center"/>
          </w:tcPr>
          <w:p w14:paraId="6A85E72E" w14:textId="3F3BD187" w:rsidR="003C6D47" w:rsidRPr="003C6D47" w:rsidRDefault="003C6D47" w:rsidP="003C6D47">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3</w:t>
            </w:r>
          </w:p>
        </w:tc>
      </w:tr>
      <w:tr w:rsidR="003C6D47" w:rsidRPr="003C6D47" w14:paraId="4A3755A2" w14:textId="77777777" w:rsidTr="00EB327E">
        <w:trPr>
          <w:trHeight w:val="354"/>
        </w:trPr>
        <w:tc>
          <w:tcPr>
            <w:cnfStyle w:val="001000000000" w:firstRow="0" w:lastRow="0" w:firstColumn="1" w:lastColumn="0" w:oddVBand="0" w:evenVBand="0" w:oddHBand="0" w:evenHBand="0" w:firstRowFirstColumn="0" w:firstRowLastColumn="0" w:lastRowFirstColumn="0" w:lastRowLastColumn="0"/>
            <w:tcW w:w="2944" w:type="pct"/>
            <w:noWrap/>
            <w:vAlign w:val="center"/>
          </w:tcPr>
          <w:p w14:paraId="65885C06" w14:textId="57B5E167" w:rsidR="003C6D47" w:rsidRPr="001A5B9F" w:rsidRDefault="003C6D47" w:rsidP="003C6D47">
            <w:pPr>
              <w:widowControl w:val="0"/>
              <w:tabs>
                <w:tab w:val="left" w:pos="-1440"/>
                <w:tab w:val="left" w:pos="-720"/>
              </w:tabs>
              <w:spacing w:after="0" w:line="312" w:lineRule="auto"/>
              <w:rPr>
                <w:rFonts w:cs="Helvetica"/>
                <w:color w:val="595959"/>
                <w:szCs w:val="20"/>
              </w:rPr>
            </w:pPr>
            <w:r w:rsidRPr="003C6D47">
              <w:rPr>
                <w:rFonts w:cs="Helvetica"/>
                <w:color w:val="595959"/>
                <w:szCs w:val="20"/>
              </w:rPr>
              <w:t>Chlorine input</w:t>
            </w:r>
            <w:r w:rsidRPr="003C6D47">
              <w:rPr>
                <w:rFonts w:cs="Helvetica"/>
                <w:color w:val="595959"/>
                <w:szCs w:val="20"/>
              </w:rPr>
              <w:tab/>
            </w:r>
          </w:p>
        </w:tc>
        <w:tc>
          <w:tcPr>
            <w:tcW w:w="802" w:type="pct"/>
            <w:vAlign w:val="center"/>
          </w:tcPr>
          <w:p w14:paraId="3B3F3FF3" w14:textId="1D079151" w:rsidR="003C6D47" w:rsidRPr="001A5B9F" w:rsidRDefault="003C6D47" w:rsidP="003C6D47">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C6D47">
              <w:rPr>
                <w:rFonts w:cs="Helvetica"/>
                <w:color w:val="595959"/>
                <w:szCs w:val="20"/>
              </w:rPr>
              <w:t>kg/t Al ingot</w:t>
            </w:r>
          </w:p>
        </w:tc>
        <w:tc>
          <w:tcPr>
            <w:tcW w:w="628" w:type="pct"/>
            <w:noWrap/>
            <w:vAlign w:val="center"/>
          </w:tcPr>
          <w:p w14:paraId="04852B17" w14:textId="565BE372" w:rsidR="003C6D47" w:rsidRPr="001A5B9F" w:rsidRDefault="003C6D47" w:rsidP="003C6D47">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C6D47">
              <w:rPr>
                <w:rFonts w:cs="Helvetica"/>
                <w:color w:val="595959"/>
                <w:szCs w:val="20"/>
              </w:rPr>
              <w:t>0.</w:t>
            </w:r>
            <w:r w:rsidR="0069734C" w:rsidRPr="003C6D47">
              <w:rPr>
                <w:rFonts w:cs="Helvetica"/>
                <w:color w:val="595959"/>
                <w:szCs w:val="20"/>
              </w:rPr>
              <w:t>0</w:t>
            </w:r>
            <w:r w:rsidR="0069734C">
              <w:rPr>
                <w:rFonts w:cs="Helvetica"/>
                <w:color w:val="595959"/>
                <w:szCs w:val="20"/>
              </w:rPr>
              <w:t>05</w:t>
            </w:r>
          </w:p>
        </w:tc>
        <w:tc>
          <w:tcPr>
            <w:tcW w:w="626" w:type="pct"/>
            <w:vAlign w:val="center"/>
          </w:tcPr>
          <w:p w14:paraId="03D2D4B8" w14:textId="1E316A4D" w:rsidR="003C6D47" w:rsidRPr="001A5B9F" w:rsidRDefault="003C6D47" w:rsidP="003C6D47">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C6D47">
              <w:rPr>
                <w:rFonts w:cs="Helvetica"/>
                <w:color w:val="595959"/>
                <w:szCs w:val="20"/>
              </w:rPr>
              <w:t>0.</w:t>
            </w:r>
            <w:r w:rsidR="0069734C" w:rsidRPr="003C6D47">
              <w:rPr>
                <w:rFonts w:cs="Helvetica"/>
                <w:color w:val="595959"/>
                <w:szCs w:val="20"/>
              </w:rPr>
              <w:t>0</w:t>
            </w:r>
            <w:r w:rsidR="0069734C">
              <w:rPr>
                <w:rFonts w:cs="Helvetica"/>
                <w:color w:val="595959"/>
                <w:szCs w:val="20"/>
              </w:rPr>
              <w:t>1</w:t>
            </w:r>
          </w:p>
        </w:tc>
      </w:tr>
      <w:tr w:rsidR="00544580" w:rsidRPr="00D154E7" w14:paraId="2ECA2600" w14:textId="77777777" w:rsidTr="00EB327E">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944" w:type="pct"/>
            <w:noWrap/>
            <w:vAlign w:val="center"/>
          </w:tcPr>
          <w:p w14:paraId="22DA5401" w14:textId="5EF3100E" w:rsidR="00544580" w:rsidRPr="001A5B9F" w:rsidRDefault="00544580" w:rsidP="00544580">
            <w:pPr>
              <w:widowControl w:val="0"/>
              <w:tabs>
                <w:tab w:val="left" w:pos="-1440"/>
                <w:tab w:val="left" w:pos="-720"/>
              </w:tabs>
              <w:spacing w:after="0" w:line="312" w:lineRule="auto"/>
              <w:rPr>
                <w:rFonts w:cs="Helvetica"/>
                <w:color w:val="595959"/>
                <w:szCs w:val="20"/>
              </w:rPr>
            </w:pPr>
            <w:r w:rsidRPr="00C977C8">
              <w:rPr>
                <w:rFonts w:cs="Helvetica"/>
                <w:color w:val="595959"/>
                <w:szCs w:val="20"/>
              </w:rPr>
              <w:t>Fluoride</w:t>
            </w:r>
            <w:r>
              <w:rPr>
                <w:rFonts w:cs="Helvetica"/>
                <w:color w:val="595959"/>
                <w:szCs w:val="20"/>
              </w:rPr>
              <w:t xml:space="preserve"> into water - Electrolysis</w:t>
            </w:r>
          </w:p>
        </w:tc>
        <w:tc>
          <w:tcPr>
            <w:tcW w:w="802" w:type="pct"/>
            <w:vAlign w:val="center"/>
          </w:tcPr>
          <w:p w14:paraId="2CD568A1" w14:textId="5EC62F76" w:rsidR="00544580" w:rsidRPr="001A5B9F" w:rsidRDefault="00544580" w:rsidP="00544580">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1A5B9F">
              <w:rPr>
                <w:rFonts w:cs="Helvetica"/>
                <w:color w:val="595959"/>
                <w:szCs w:val="20"/>
              </w:rPr>
              <w:t>kg/t Al ingot</w:t>
            </w:r>
          </w:p>
        </w:tc>
        <w:tc>
          <w:tcPr>
            <w:tcW w:w="628" w:type="pct"/>
            <w:noWrap/>
            <w:vAlign w:val="center"/>
          </w:tcPr>
          <w:p w14:paraId="121BC028" w14:textId="7417BDA5" w:rsidR="00544580" w:rsidRPr="001A5B9F" w:rsidRDefault="00544580" w:rsidP="00544580">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0.3</w:t>
            </w:r>
          </w:p>
        </w:tc>
        <w:tc>
          <w:tcPr>
            <w:tcW w:w="626" w:type="pct"/>
            <w:vAlign w:val="center"/>
          </w:tcPr>
          <w:p w14:paraId="4DA785F0" w14:textId="2DBBD8F5" w:rsidR="00544580" w:rsidRPr="001A5B9F" w:rsidRDefault="00544580" w:rsidP="00544580">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0.1</w:t>
            </w:r>
          </w:p>
        </w:tc>
      </w:tr>
      <w:tr w:rsidR="00EB327E" w:rsidRPr="00D154E7" w14:paraId="04687388" w14:textId="77777777" w:rsidTr="00EB327E">
        <w:trPr>
          <w:trHeight w:val="385"/>
        </w:trPr>
        <w:tc>
          <w:tcPr>
            <w:cnfStyle w:val="001000000000" w:firstRow="0" w:lastRow="0" w:firstColumn="1" w:lastColumn="0" w:oddVBand="0" w:evenVBand="0" w:oddHBand="0" w:evenHBand="0" w:firstRowFirstColumn="0" w:firstRowLastColumn="0" w:lastRowFirstColumn="0" w:lastRowLastColumn="0"/>
            <w:tcW w:w="2944" w:type="pct"/>
            <w:noWrap/>
            <w:vAlign w:val="center"/>
          </w:tcPr>
          <w:p w14:paraId="1C20915D" w14:textId="5B8D227B" w:rsidR="00EB327E" w:rsidRPr="001A5B9F" w:rsidRDefault="00EB327E" w:rsidP="00EB327E">
            <w:pPr>
              <w:widowControl w:val="0"/>
              <w:tabs>
                <w:tab w:val="left" w:pos="-1440"/>
                <w:tab w:val="left" w:pos="-720"/>
              </w:tabs>
              <w:spacing w:after="0" w:line="312" w:lineRule="auto"/>
              <w:rPr>
                <w:rFonts w:cs="Helvetica"/>
                <w:color w:val="595959"/>
                <w:szCs w:val="20"/>
              </w:rPr>
            </w:pPr>
            <w:r w:rsidRPr="00FD4D41">
              <w:rPr>
                <w:rFonts w:cs="Helvetica"/>
                <w:color w:val="595959"/>
                <w:szCs w:val="20"/>
              </w:rPr>
              <w:t>Recycled Spent pot lining</w:t>
            </w:r>
          </w:p>
        </w:tc>
        <w:tc>
          <w:tcPr>
            <w:tcW w:w="802" w:type="pct"/>
            <w:vAlign w:val="center"/>
          </w:tcPr>
          <w:p w14:paraId="28755B94" w14:textId="5070AB10" w:rsidR="00EB327E" w:rsidRPr="001A5B9F" w:rsidRDefault="00EB327E" w:rsidP="00EB327E">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C6D47">
              <w:rPr>
                <w:rFonts w:cs="Helvetica"/>
                <w:color w:val="595959"/>
                <w:szCs w:val="20"/>
              </w:rPr>
              <w:t>kg/t Al ingot</w:t>
            </w:r>
          </w:p>
        </w:tc>
        <w:tc>
          <w:tcPr>
            <w:tcW w:w="628" w:type="pct"/>
            <w:noWrap/>
            <w:vAlign w:val="center"/>
          </w:tcPr>
          <w:p w14:paraId="3946F87C" w14:textId="489FD6D8" w:rsidR="00EB327E" w:rsidRPr="001A5B9F" w:rsidRDefault="005C3E51" w:rsidP="00EB327E">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cs="Helvetica"/>
                <w:color w:val="595959"/>
                <w:szCs w:val="20"/>
              </w:rPr>
              <w:t>10</w:t>
            </w:r>
          </w:p>
        </w:tc>
        <w:tc>
          <w:tcPr>
            <w:tcW w:w="626" w:type="pct"/>
            <w:vAlign w:val="center"/>
          </w:tcPr>
          <w:p w14:paraId="72B77DF7" w14:textId="21963D9F" w:rsidR="00EB327E" w:rsidRPr="001A5B9F" w:rsidRDefault="00EB327E" w:rsidP="00EB327E">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cs="Helvetica"/>
                <w:color w:val="595959"/>
                <w:szCs w:val="20"/>
              </w:rPr>
              <w:t>17</w:t>
            </w:r>
          </w:p>
        </w:tc>
      </w:tr>
      <w:tr w:rsidR="00EB327E" w:rsidRPr="00D154E7" w14:paraId="45422967" w14:textId="77777777" w:rsidTr="00EB327E">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944" w:type="pct"/>
            <w:noWrap/>
            <w:vAlign w:val="center"/>
          </w:tcPr>
          <w:p w14:paraId="3624D331" w14:textId="7B3B8240" w:rsidR="00EB327E" w:rsidRPr="001A5B9F" w:rsidRDefault="00EB327E" w:rsidP="00EB327E">
            <w:pPr>
              <w:widowControl w:val="0"/>
              <w:tabs>
                <w:tab w:val="left" w:pos="-1440"/>
                <w:tab w:val="left" w:pos="-720"/>
              </w:tabs>
              <w:spacing w:after="0" w:line="312" w:lineRule="auto"/>
              <w:rPr>
                <w:rFonts w:cs="Helvetica"/>
                <w:color w:val="595959"/>
                <w:szCs w:val="20"/>
              </w:rPr>
            </w:pPr>
            <w:r>
              <w:rPr>
                <w:rFonts w:cs="Helvetica"/>
                <w:color w:val="595959"/>
                <w:szCs w:val="20"/>
              </w:rPr>
              <w:t>Spent pot lining for landfilling</w:t>
            </w:r>
          </w:p>
        </w:tc>
        <w:tc>
          <w:tcPr>
            <w:tcW w:w="802" w:type="pct"/>
            <w:vAlign w:val="center"/>
          </w:tcPr>
          <w:p w14:paraId="3DC6CDC7" w14:textId="3500C1DE" w:rsidR="00EB327E" w:rsidRPr="001A5B9F" w:rsidRDefault="00EB327E" w:rsidP="00EB327E">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C6D47">
              <w:rPr>
                <w:rFonts w:cs="Helvetica"/>
                <w:color w:val="595959"/>
                <w:szCs w:val="20"/>
              </w:rPr>
              <w:t>kg/t Al ingot</w:t>
            </w:r>
          </w:p>
        </w:tc>
        <w:tc>
          <w:tcPr>
            <w:tcW w:w="628" w:type="pct"/>
            <w:noWrap/>
            <w:vAlign w:val="center"/>
          </w:tcPr>
          <w:p w14:paraId="0ED11001" w14:textId="791A3BC9" w:rsidR="00EB327E" w:rsidRPr="001A5B9F" w:rsidRDefault="00EB327E" w:rsidP="00EB327E">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25</w:t>
            </w:r>
          </w:p>
        </w:tc>
        <w:tc>
          <w:tcPr>
            <w:tcW w:w="626" w:type="pct"/>
            <w:vAlign w:val="center"/>
          </w:tcPr>
          <w:p w14:paraId="055FBF7F" w14:textId="7E747B90" w:rsidR="00EB327E" w:rsidRPr="001A5B9F" w:rsidRDefault="00EB327E" w:rsidP="00EB327E">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8</w:t>
            </w:r>
          </w:p>
        </w:tc>
      </w:tr>
      <w:tr w:rsidR="007659B9" w:rsidRPr="00D154E7" w14:paraId="7CAEA001" w14:textId="77777777" w:rsidTr="00EB327E">
        <w:trPr>
          <w:trHeight w:val="385"/>
        </w:trPr>
        <w:tc>
          <w:tcPr>
            <w:cnfStyle w:val="001000000000" w:firstRow="0" w:lastRow="0" w:firstColumn="1" w:lastColumn="0" w:oddVBand="0" w:evenVBand="0" w:oddHBand="0" w:evenHBand="0" w:firstRowFirstColumn="0" w:firstRowLastColumn="0" w:lastRowFirstColumn="0" w:lastRowLastColumn="0"/>
            <w:tcW w:w="2944" w:type="pct"/>
            <w:noWrap/>
            <w:vAlign w:val="center"/>
          </w:tcPr>
          <w:p w14:paraId="0A9B9C1A" w14:textId="44276468" w:rsidR="007659B9" w:rsidRDefault="007659B9" w:rsidP="00EB327E">
            <w:pPr>
              <w:widowControl w:val="0"/>
              <w:tabs>
                <w:tab w:val="left" w:pos="-1440"/>
                <w:tab w:val="left" w:pos="-720"/>
              </w:tabs>
              <w:spacing w:after="0" w:line="312" w:lineRule="auto"/>
              <w:rPr>
                <w:rFonts w:cs="Helvetica"/>
                <w:color w:val="595959"/>
                <w:szCs w:val="20"/>
              </w:rPr>
            </w:pPr>
            <w:r w:rsidRPr="007659B9">
              <w:rPr>
                <w:rFonts w:cs="Helvetica"/>
                <w:color w:val="595959"/>
                <w:szCs w:val="20"/>
              </w:rPr>
              <w:t xml:space="preserve">Recycled Refractory </w:t>
            </w:r>
            <w:r w:rsidR="00D40A5E">
              <w:rPr>
                <w:rFonts w:cs="Helvetica"/>
                <w:color w:val="595959"/>
                <w:szCs w:val="20"/>
              </w:rPr>
              <w:t>–</w:t>
            </w:r>
            <w:r w:rsidRPr="007659B9">
              <w:rPr>
                <w:rFonts w:cs="Helvetica"/>
                <w:color w:val="595959"/>
                <w:szCs w:val="20"/>
              </w:rPr>
              <w:t xml:space="preserve"> </w:t>
            </w:r>
            <w:r>
              <w:rPr>
                <w:rFonts w:cs="Helvetica"/>
                <w:color w:val="595959"/>
                <w:szCs w:val="20"/>
              </w:rPr>
              <w:t>anode</w:t>
            </w:r>
            <w:r w:rsidR="00D40A5E">
              <w:rPr>
                <w:rFonts w:cs="Helvetica"/>
                <w:color w:val="595959"/>
                <w:szCs w:val="20"/>
              </w:rPr>
              <w:t xml:space="preserve"> production</w:t>
            </w:r>
          </w:p>
        </w:tc>
        <w:tc>
          <w:tcPr>
            <w:tcW w:w="802" w:type="pct"/>
            <w:vAlign w:val="center"/>
          </w:tcPr>
          <w:p w14:paraId="0EC0551C" w14:textId="4E238F47" w:rsidR="007659B9" w:rsidRPr="003C6D47" w:rsidRDefault="007659B9" w:rsidP="00EB327E">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7659B9">
              <w:rPr>
                <w:rFonts w:cs="Helvetica"/>
                <w:color w:val="595959"/>
                <w:szCs w:val="20"/>
              </w:rPr>
              <w:t>kg/t Al ingot</w:t>
            </w:r>
          </w:p>
        </w:tc>
        <w:tc>
          <w:tcPr>
            <w:tcW w:w="628" w:type="pct"/>
            <w:noWrap/>
            <w:vAlign w:val="center"/>
          </w:tcPr>
          <w:p w14:paraId="038DC77A" w14:textId="64D9EF73" w:rsidR="007659B9" w:rsidRDefault="007659B9" w:rsidP="00EB327E">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cs="Helvetica"/>
                <w:color w:val="595959"/>
                <w:szCs w:val="20"/>
              </w:rPr>
              <w:t>1.3</w:t>
            </w:r>
          </w:p>
        </w:tc>
        <w:tc>
          <w:tcPr>
            <w:tcW w:w="626" w:type="pct"/>
            <w:vAlign w:val="center"/>
          </w:tcPr>
          <w:p w14:paraId="712A3E8D" w14:textId="2454F9C0" w:rsidR="007659B9" w:rsidRDefault="007659B9" w:rsidP="00EB327E">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cs="Helvetica"/>
                <w:color w:val="595959"/>
                <w:szCs w:val="20"/>
              </w:rPr>
              <w:t>3.5</w:t>
            </w:r>
          </w:p>
        </w:tc>
      </w:tr>
    </w:tbl>
    <w:p w14:paraId="5E0249D8" w14:textId="77777777" w:rsidR="0069734C" w:rsidRDefault="0069734C" w:rsidP="0069734C">
      <w:pPr>
        <w:spacing w:after="0" w:line="312" w:lineRule="auto"/>
        <w:jc w:val="both"/>
        <w:rPr>
          <w:rFonts w:cs="Helvetica"/>
          <w:b/>
          <w:color w:val="595959"/>
        </w:rPr>
      </w:pPr>
    </w:p>
    <w:p w14:paraId="3689F2CC" w14:textId="3701F017" w:rsidR="0069734C" w:rsidRDefault="00817724" w:rsidP="0069734C">
      <w:pPr>
        <w:spacing w:after="0" w:line="312" w:lineRule="auto"/>
        <w:jc w:val="both"/>
        <w:rPr>
          <w:rFonts w:cs="Helvetica"/>
          <w:i/>
          <w:color w:val="595959"/>
        </w:rPr>
      </w:pPr>
      <w:r>
        <w:rPr>
          <w:rFonts w:cs="Helvetica"/>
          <w:b/>
          <w:color w:val="595959"/>
        </w:rPr>
        <w:t xml:space="preserve">Table </w:t>
      </w:r>
      <w:r w:rsidR="00360851">
        <w:rPr>
          <w:rFonts w:cs="Helvetica"/>
          <w:b/>
          <w:color w:val="595959"/>
        </w:rPr>
        <w:t>6</w:t>
      </w:r>
      <w:r w:rsidR="0069734C">
        <w:rPr>
          <w:rFonts w:cs="Helvetica"/>
          <w:b/>
          <w:color w:val="595959"/>
        </w:rPr>
        <w:t>.2</w:t>
      </w:r>
      <w:r w:rsidRPr="008A6654">
        <w:rPr>
          <w:rFonts w:cs="Helvetica"/>
          <w:b/>
          <w:color w:val="595959"/>
        </w:rPr>
        <w:t>:</w:t>
      </w:r>
      <w:r w:rsidR="00D154E7">
        <w:rPr>
          <w:rFonts w:cs="Helvetica"/>
          <w:b/>
          <w:color w:val="595959"/>
        </w:rPr>
        <w:tab/>
      </w:r>
      <w:r>
        <w:rPr>
          <w:rFonts w:cs="Helvetica"/>
          <w:b/>
          <w:color w:val="595959"/>
        </w:rPr>
        <w:t xml:space="preserve">Life cycle inventory </w:t>
      </w:r>
      <w:r w:rsidRPr="00E6098F">
        <w:rPr>
          <w:rFonts w:cs="Helvetica"/>
          <w:b/>
          <w:color w:val="595959"/>
        </w:rPr>
        <w:t xml:space="preserve">data </w:t>
      </w:r>
      <w:r>
        <w:rPr>
          <w:rFonts w:cs="Helvetica"/>
          <w:b/>
          <w:color w:val="595959"/>
        </w:rPr>
        <w:t xml:space="preserve">differences for year </w:t>
      </w:r>
      <w:r w:rsidR="005C3E51">
        <w:rPr>
          <w:rFonts w:cs="Helvetica"/>
          <w:b/>
          <w:color w:val="595959"/>
        </w:rPr>
        <w:t xml:space="preserve">2019 </w:t>
      </w:r>
      <w:r>
        <w:rPr>
          <w:rFonts w:cs="Helvetica"/>
          <w:b/>
          <w:color w:val="595959"/>
        </w:rPr>
        <w:t>and 2015</w:t>
      </w:r>
      <w:r w:rsidR="0069734C">
        <w:rPr>
          <w:rFonts w:cs="Helvetica"/>
          <w:b/>
          <w:color w:val="595959"/>
        </w:rPr>
        <w:t xml:space="preserve"> – Anode </w:t>
      </w:r>
      <w:r w:rsidR="0069734C" w:rsidRPr="0069734C">
        <w:rPr>
          <w:rFonts w:cs="Helvetica"/>
          <w:b/>
          <w:color w:val="595959"/>
        </w:rPr>
        <w:t>Production, Electrolysis &amp; Ingot Casting</w:t>
      </w:r>
    </w:p>
    <w:p w14:paraId="32622811" w14:textId="77777777" w:rsidR="00817724" w:rsidRPr="001A5B9F" w:rsidRDefault="00817724" w:rsidP="001A5B9F">
      <w:pPr>
        <w:spacing w:after="0"/>
        <w:jc w:val="right"/>
        <w:rPr>
          <w:rFonts w:cs="Helvetica"/>
          <w:i/>
          <w:color w:val="595959"/>
        </w:rPr>
      </w:pPr>
    </w:p>
    <w:p w14:paraId="1B9B32F7" w14:textId="1CCF5F78" w:rsidR="003C6D47" w:rsidRDefault="00EF68A9" w:rsidP="00FE6088">
      <w:pPr>
        <w:spacing w:after="0" w:line="312" w:lineRule="auto"/>
        <w:jc w:val="both"/>
        <w:rPr>
          <w:rFonts w:cs="Helvetica"/>
          <w:b/>
          <w:bCs/>
          <w:i/>
          <w:color w:val="595959"/>
          <w:kern w:val="32"/>
          <w:szCs w:val="20"/>
        </w:rPr>
      </w:pPr>
      <w:bookmarkStart w:id="123" w:name="_Toc477507028"/>
      <w:bookmarkStart w:id="124" w:name="_Toc477507083"/>
      <w:bookmarkStart w:id="125" w:name="_Toc479170782"/>
      <w:bookmarkStart w:id="126" w:name="_Toc479170834"/>
      <w:bookmarkStart w:id="127" w:name="_Toc480549133"/>
      <w:r w:rsidRPr="00C6549D">
        <w:rPr>
          <w:rFonts w:cs="Helvetica"/>
          <w:b/>
          <w:bCs/>
          <w:i/>
          <w:color w:val="595959"/>
          <w:kern w:val="32"/>
          <w:szCs w:val="20"/>
        </w:rPr>
        <w:t xml:space="preserve">Refractory material input </w:t>
      </w:r>
      <w:r w:rsidRPr="00C6549D">
        <w:rPr>
          <w:rFonts w:cs="Helvetica"/>
          <w:color w:val="595959"/>
        </w:rPr>
        <w:t>– anode production</w:t>
      </w:r>
      <w:r w:rsidR="00C6549D">
        <w:rPr>
          <w:rFonts w:cs="Helvetica"/>
          <w:color w:val="595959"/>
          <w:szCs w:val="20"/>
        </w:rPr>
        <w:t xml:space="preserve"> and </w:t>
      </w:r>
      <w:r w:rsidR="003C6D47" w:rsidRPr="003C6D47">
        <w:rPr>
          <w:rFonts w:cs="Helvetica"/>
          <w:b/>
          <w:bCs/>
          <w:i/>
          <w:color w:val="595959"/>
          <w:kern w:val="32"/>
          <w:szCs w:val="20"/>
        </w:rPr>
        <w:t>Chlorine inpu</w:t>
      </w:r>
      <w:r w:rsidR="00C6549D">
        <w:rPr>
          <w:rFonts w:cs="Helvetica"/>
          <w:b/>
          <w:bCs/>
          <w:i/>
          <w:color w:val="595959"/>
          <w:kern w:val="32"/>
          <w:szCs w:val="20"/>
        </w:rPr>
        <w:t xml:space="preserve">t </w:t>
      </w:r>
      <w:r w:rsidR="003C6D47" w:rsidRPr="00D154E7">
        <w:rPr>
          <w:rFonts w:cs="Helvetica"/>
          <w:color w:val="595959"/>
        </w:rPr>
        <w:t>have decreased</w:t>
      </w:r>
      <w:r w:rsidR="003C6D47" w:rsidRPr="00D154E7">
        <w:rPr>
          <w:rFonts w:cs="Helvetica"/>
          <w:b/>
          <w:color w:val="595959"/>
        </w:rPr>
        <w:t xml:space="preserve"> </w:t>
      </w:r>
      <w:r w:rsidR="003C6D47" w:rsidRPr="00D154E7">
        <w:rPr>
          <w:rFonts w:cs="Helvetica"/>
          <w:color w:val="595959"/>
        </w:rPr>
        <w:t xml:space="preserve">as </w:t>
      </w:r>
      <w:r w:rsidR="003C6D47">
        <w:rPr>
          <w:rFonts w:cs="Helvetica"/>
          <w:color w:val="595959"/>
        </w:rPr>
        <w:t>most sites have</w:t>
      </w:r>
      <w:r w:rsidR="003C6D47" w:rsidRPr="003C6D47">
        <w:rPr>
          <w:rFonts w:cs="Helvetica"/>
          <w:color w:val="595959"/>
        </w:rPr>
        <w:t xml:space="preserve"> remained relatively stable or decreased </w:t>
      </w:r>
      <w:r w:rsidR="003C6D47">
        <w:rPr>
          <w:rFonts w:cs="Helvetica"/>
          <w:color w:val="595959"/>
        </w:rPr>
        <w:t xml:space="preserve">in the use </w:t>
      </w:r>
      <w:r w:rsidR="003C6D47" w:rsidRPr="003C6D47">
        <w:rPr>
          <w:rFonts w:cs="Helvetica"/>
          <w:color w:val="595959"/>
        </w:rPr>
        <w:t>since 201</w:t>
      </w:r>
      <w:r w:rsidR="003C6D47">
        <w:rPr>
          <w:rFonts w:cs="Helvetica"/>
          <w:color w:val="595959"/>
        </w:rPr>
        <w:t xml:space="preserve">5. New survey participants also reported a lower input than 2015 average. </w:t>
      </w:r>
    </w:p>
    <w:bookmarkEnd w:id="123"/>
    <w:bookmarkEnd w:id="124"/>
    <w:bookmarkEnd w:id="125"/>
    <w:bookmarkEnd w:id="126"/>
    <w:bookmarkEnd w:id="127"/>
    <w:p w14:paraId="15D0733C" w14:textId="77777777" w:rsidR="00F7356E" w:rsidRPr="001A5B9F" w:rsidRDefault="00F7356E">
      <w:pPr>
        <w:spacing w:after="0" w:line="312" w:lineRule="auto"/>
        <w:jc w:val="both"/>
        <w:rPr>
          <w:bCs/>
          <w:color w:val="595959"/>
          <w:kern w:val="32"/>
          <w:szCs w:val="20"/>
        </w:rPr>
      </w:pPr>
    </w:p>
    <w:p w14:paraId="78E17978" w14:textId="6064711A" w:rsidR="00C8611A" w:rsidRPr="00D154E7" w:rsidRDefault="001D2392">
      <w:pPr>
        <w:spacing w:after="0" w:line="312" w:lineRule="auto"/>
        <w:jc w:val="both"/>
        <w:rPr>
          <w:rFonts w:cs="Helvetica"/>
          <w:b/>
          <w:color w:val="595959"/>
        </w:rPr>
      </w:pPr>
      <w:r w:rsidRPr="00FE6088">
        <w:rPr>
          <w:rFonts w:cs="Helvetica"/>
          <w:b/>
          <w:i/>
          <w:color w:val="595959"/>
          <w:szCs w:val="20"/>
        </w:rPr>
        <w:t>Fluoride emissions</w:t>
      </w:r>
      <w:r w:rsidRPr="00D154E7">
        <w:rPr>
          <w:rFonts w:cs="Helvetica"/>
          <w:b/>
          <w:color w:val="595959"/>
          <w:szCs w:val="20"/>
        </w:rPr>
        <w:t xml:space="preserve"> </w:t>
      </w:r>
      <w:r w:rsidRPr="00D154E7">
        <w:rPr>
          <w:rFonts w:cs="Helvetica"/>
          <w:b/>
          <w:i/>
          <w:color w:val="595959"/>
          <w:szCs w:val="20"/>
        </w:rPr>
        <w:t xml:space="preserve">to </w:t>
      </w:r>
      <w:r w:rsidR="00544580">
        <w:rPr>
          <w:rFonts w:cs="Helvetica"/>
          <w:b/>
          <w:i/>
          <w:color w:val="595959"/>
          <w:szCs w:val="20"/>
        </w:rPr>
        <w:t xml:space="preserve">water </w:t>
      </w:r>
      <w:r w:rsidRPr="00D154E7">
        <w:rPr>
          <w:rFonts w:cs="Helvetica"/>
          <w:color w:val="595959"/>
          <w:szCs w:val="20"/>
        </w:rPr>
        <w:t>from electrolysis ha</w:t>
      </w:r>
      <w:r w:rsidR="00D520C1" w:rsidRPr="00D154E7">
        <w:rPr>
          <w:rFonts w:cs="Helvetica"/>
          <w:color w:val="595959"/>
          <w:szCs w:val="20"/>
        </w:rPr>
        <w:t>ve</w:t>
      </w:r>
      <w:r w:rsidRPr="00D154E7">
        <w:rPr>
          <w:rFonts w:cs="Helvetica"/>
          <w:color w:val="595959"/>
          <w:szCs w:val="20"/>
        </w:rPr>
        <w:t xml:space="preserve"> </w:t>
      </w:r>
      <w:r w:rsidR="00544580">
        <w:rPr>
          <w:rFonts w:cs="Helvetica"/>
          <w:color w:val="595959"/>
          <w:szCs w:val="20"/>
        </w:rPr>
        <w:t>nearly tripled</w:t>
      </w:r>
      <w:r w:rsidR="00544580" w:rsidRPr="00D154E7">
        <w:rPr>
          <w:rFonts w:cs="Helvetica"/>
          <w:color w:val="595959"/>
          <w:szCs w:val="20"/>
        </w:rPr>
        <w:t xml:space="preserve"> </w:t>
      </w:r>
      <w:r w:rsidR="00887BA3" w:rsidRPr="00D154E7">
        <w:rPr>
          <w:rFonts w:cs="Helvetica"/>
          <w:color w:val="595959"/>
          <w:szCs w:val="20"/>
        </w:rPr>
        <w:t>from Prebake technolog</w:t>
      </w:r>
      <w:r w:rsidR="00D520C1" w:rsidRPr="00D154E7">
        <w:rPr>
          <w:rFonts w:cs="Helvetica"/>
          <w:color w:val="595959"/>
          <w:szCs w:val="20"/>
        </w:rPr>
        <w:t>ies</w:t>
      </w:r>
      <w:r w:rsidR="00887BA3" w:rsidRPr="00D154E7">
        <w:rPr>
          <w:rFonts w:cs="Helvetica"/>
          <w:color w:val="595959"/>
          <w:szCs w:val="20"/>
        </w:rPr>
        <w:t xml:space="preserve"> </w:t>
      </w:r>
      <w:r w:rsidR="00544580">
        <w:rPr>
          <w:rFonts w:cs="Helvetica"/>
          <w:color w:val="595959"/>
          <w:szCs w:val="20"/>
        </w:rPr>
        <w:t xml:space="preserve">due to the increased emissions from both Europe and Gulf area. </w:t>
      </w:r>
      <w:r w:rsidR="005C3E51" w:rsidRPr="005C3E51">
        <w:rPr>
          <w:rFonts w:cs="Helvetica"/>
          <w:color w:val="595959"/>
          <w:szCs w:val="20"/>
        </w:rPr>
        <w:t xml:space="preserve">Electrolysis operated in all other </w:t>
      </w:r>
      <w:r w:rsidR="00544580">
        <w:rPr>
          <w:rFonts w:cs="Helvetica"/>
          <w:color w:val="595959"/>
          <w:szCs w:val="20"/>
        </w:rPr>
        <w:t xml:space="preserve">regions remained </w:t>
      </w:r>
      <w:r w:rsidR="005C3E51">
        <w:rPr>
          <w:rFonts w:cs="Helvetica"/>
          <w:color w:val="595959"/>
          <w:szCs w:val="20"/>
        </w:rPr>
        <w:t xml:space="preserve">at </w:t>
      </w:r>
      <w:r w:rsidR="00544580">
        <w:rPr>
          <w:rFonts w:cs="Helvetica"/>
          <w:color w:val="595959"/>
          <w:szCs w:val="20"/>
        </w:rPr>
        <w:t>a stable emission level between 2015 and 2019.</w:t>
      </w:r>
    </w:p>
    <w:p w14:paraId="7CFDE507" w14:textId="5A9E2442" w:rsidR="00D471E7" w:rsidRDefault="00D471E7" w:rsidP="001A5B9F">
      <w:pPr>
        <w:spacing w:after="0" w:line="312" w:lineRule="auto"/>
        <w:jc w:val="both"/>
        <w:rPr>
          <w:color w:val="595959"/>
        </w:rPr>
      </w:pPr>
      <w:bookmarkStart w:id="128" w:name="_Toc363829112"/>
      <w:bookmarkStart w:id="129" w:name="_Toc355003532"/>
      <w:bookmarkStart w:id="130" w:name="__RefHeading__27_1147413177"/>
      <w:bookmarkStart w:id="131" w:name="__RefHeading__29_1147413177"/>
      <w:bookmarkStart w:id="132" w:name="__RefHeading__25_11474131771"/>
      <w:bookmarkStart w:id="133" w:name="__RefHeading__31_1147413177"/>
    </w:p>
    <w:p w14:paraId="7FE1ED9C" w14:textId="31350E2A" w:rsidR="00EB327E" w:rsidRPr="00FD4D41" w:rsidRDefault="00EB327E" w:rsidP="001A5B9F">
      <w:pPr>
        <w:spacing w:after="0" w:line="312" w:lineRule="auto"/>
        <w:jc w:val="both"/>
        <w:rPr>
          <w:rFonts w:cs="Helvetica"/>
          <w:b/>
          <w:i/>
          <w:color w:val="595959"/>
        </w:rPr>
      </w:pPr>
      <w:r w:rsidRPr="00FD4D41">
        <w:rPr>
          <w:rFonts w:cs="Helvetica"/>
          <w:b/>
          <w:i/>
          <w:color w:val="595959"/>
        </w:rPr>
        <w:t>Spent pot lining</w:t>
      </w:r>
      <w:r>
        <w:rPr>
          <w:rFonts w:cs="Helvetica"/>
          <w:b/>
          <w:i/>
          <w:color w:val="595959"/>
        </w:rPr>
        <w:t xml:space="preserve"> </w:t>
      </w:r>
      <w:r w:rsidRPr="00FD4D41">
        <w:rPr>
          <w:rFonts w:cs="Helvetica"/>
          <w:color w:val="595959"/>
          <w:szCs w:val="20"/>
        </w:rPr>
        <w:t xml:space="preserve">is </w:t>
      </w:r>
      <w:r>
        <w:rPr>
          <w:rFonts w:cs="Helvetica"/>
          <w:color w:val="595959"/>
          <w:szCs w:val="20"/>
        </w:rPr>
        <w:t>the 2</w:t>
      </w:r>
      <w:r w:rsidRPr="00FD4D41">
        <w:rPr>
          <w:rFonts w:cs="Helvetica"/>
          <w:color w:val="595959"/>
          <w:szCs w:val="20"/>
          <w:vertAlign w:val="superscript"/>
        </w:rPr>
        <w:t>nd</w:t>
      </w:r>
      <w:r>
        <w:rPr>
          <w:rFonts w:cs="Helvetica"/>
          <w:color w:val="595959"/>
          <w:szCs w:val="20"/>
        </w:rPr>
        <w:t xml:space="preserve"> largest solid waste from the aluminium industry. By comparing the 2015 and 2019 survey results, it appears that Oceania is the only region </w:t>
      </w:r>
      <w:r w:rsidR="007F58C6">
        <w:rPr>
          <w:rFonts w:cs="Helvetica"/>
          <w:color w:val="595959"/>
          <w:szCs w:val="20"/>
        </w:rPr>
        <w:t xml:space="preserve">that </w:t>
      </w:r>
      <w:r>
        <w:rPr>
          <w:rFonts w:cs="Helvetica"/>
          <w:color w:val="595959"/>
          <w:szCs w:val="20"/>
        </w:rPr>
        <w:t xml:space="preserve">made progress in increasing spent pot lining recycling. As more spent pot lining went into landfilling, the 2019 global average is tripled. </w:t>
      </w:r>
      <w:r w:rsidR="007A4FF4">
        <w:rPr>
          <w:rFonts w:cs="Helvetica"/>
          <w:color w:val="595959"/>
          <w:szCs w:val="20"/>
        </w:rPr>
        <w:t xml:space="preserve">However, it should be noted that </w:t>
      </w:r>
      <w:r w:rsidR="007A4FF4" w:rsidRPr="00CF0F96">
        <w:rPr>
          <w:rFonts w:cs="Helvetica"/>
          <w:color w:val="595959"/>
          <w:szCs w:val="20"/>
        </w:rPr>
        <w:t>SPL recycling is often a cyclical process, and therefore annual rates can vary. This survey result may not necessarily reflect the actual changes in operational performance.</w:t>
      </w:r>
      <w:r w:rsidR="007A4FF4">
        <w:rPr>
          <w:rFonts w:ascii="Arial" w:eastAsia="Times New Roman" w:hAnsi="Arial" w:cs="Arial"/>
          <w:szCs w:val="20"/>
          <w:lang w:val="en-US"/>
        </w:rPr>
        <w:t xml:space="preserve">  </w:t>
      </w:r>
    </w:p>
    <w:p w14:paraId="4E41C707" w14:textId="552F0C2A" w:rsidR="00D40A5E" w:rsidRDefault="00D471E7" w:rsidP="001A5B9F">
      <w:pPr>
        <w:spacing w:after="0" w:line="312" w:lineRule="auto"/>
        <w:jc w:val="both"/>
        <w:rPr>
          <w:rFonts w:cs="Helvetica"/>
          <w:color w:val="595959"/>
        </w:rPr>
      </w:pPr>
      <w:r w:rsidRPr="00D154E7">
        <w:rPr>
          <w:rFonts w:cs="Helvetica"/>
          <w:color w:val="595959"/>
        </w:rPr>
        <w:t xml:space="preserve"> </w:t>
      </w:r>
    </w:p>
    <w:p w14:paraId="5FD948DE" w14:textId="25147378" w:rsidR="00D40A5E" w:rsidRDefault="00D40A5E" w:rsidP="001A5B9F">
      <w:pPr>
        <w:spacing w:after="0" w:line="312" w:lineRule="auto"/>
        <w:jc w:val="both"/>
        <w:rPr>
          <w:rFonts w:cs="Helvetica"/>
          <w:color w:val="595959"/>
        </w:rPr>
      </w:pPr>
      <w:r w:rsidRPr="004C37B1">
        <w:rPr>
          <w:rFonts w:cs="Helvetica"/>
          <w:b/>
          <w:i/>
          <w:iCs/>
          <w:color w:val="595959"/>
        </w:rPr>
        <w:t>Recycled Refractory</w:t>
      </w:r>
      <w:r>
        <w:rPr>
          <w:rFonts w:cs="Helvetica"/>
          <w:b/>
          <w:color w:val="595959"/>
        </w:rPr>
        <w:t xml:space="preserve"> </w:t>
      </w:r>
      <w:r w:rsidRPr="00C8611A">
        <w:rPr>
          <w:rFonts w:cs="Helvetica"/>
          <w:color w:val="595959"/>
        </w:rPr>
        <w:t xml:space="preserve">from </w:t>
      </w:r>
      <w:r>
        <w:rPr>
          <w:rFonts w:cs="Helvetica"/>
          <w:color w:val="595959"/>
        </w:rPr>
        <w:t xml:space="preserve">anode production decreased because recycling reduced in most regions since 2015, Also, some sites with good recycling performance in North America were closed. </w:t>
      </w:r>
    </w:p>
    <w:p w14:paraId="1CC55261" w14:textId="77777777" w:rsidR="00D40A5E" w:rsidRDefault="00D40A5E" w:rsidP="001A5B9F">
      <w:pPr>
        <w:spacing w:after="0" w:line="312" w:lineRule="auto"/>
        <w:jc w:val="both"/>
        <w:rPr>
          <w:rFonts w:cs="Helvetica"/>
          <w:color w:val="595959"/>
        </w:rPr>
      </w:pPr>
    </w:p>
    <w:p w14:paraId="6FB0BCAB" w14:textId="77777777" w:rsidR="00C977C8" w:rsidRPr="009462C9" w:rsidRDefault="00C977C8" w:rsidP="00DA5301">
      <w:pPr>
        <w:pStyle w:val="Heading4"/>
        <w:numPr>
          <w:ilvl w:val="3"/>
          <w:numId w:val="72"/>
        </w:numPr>
      </w:pPr>
      <w:bookmarkStart w:id="134" w:name="_Toc120111937"/>
      <w:r w:rsidRPr="00413A3B">
        <w:lastRenderedPageBreak/>
        <w:t>Methodology Differences</w:t>
      </w:r>
      <w:bookmarkEnd w:id="134"/>
    </w:p>
    <w:p w14:paraId="5A24C932" w14:textId="6236E836" w:rsidR="00DA5301" w:rsidRDefault="00DA5301" w:rsidP="00DA5301">
      <w:pPr>
        <w:pStyle w:val="Default"/>
        <w:spacing w:line="312" w:lineRule="auto"/>
        <w:jc w:val="both"/>
        <w:rPr>
          <w:rFonts w:ascii="Helvetica" w:eastAsia="Times New Roman" w:hAnsi="Helvetica" w:cs="Helvetica"/>
          <w:color w:val="595959"/>
          <w:lang w:val="en-GB"/>
        </w:rPr>
      </w:pPr>
      <w:r>
        <w:rPr>
          <w:rFonts w:ascii="Helvetica" w:eastAsia="Times New Roman" w:hAnsi="Helvetica" w:cs="Helvetica"/>
          <w:color w:val="595959"/>
          <w:lang w:val="en-GB"/>
        </w:rPr>
        <w:t>Emissions of t</w:t>
      </w:r>
      <w:r w:rsidRPr="00F747D7">
        <w:rPr>
          <w:rFonts w:ascii="Helvetica" w:eastAsia="Times New Roman" w:hAnsi="Helvetica" w:cs="Helvetica"/>
          <w:color w:val="595959"/>
          <w:lang w:val="en-GB"/>
        </w:rPr>
        <w:t>he perfluorocarbon</w:t>
      </w:r>
      <w:r>
        <w:rPr>
          <w:rFonts w:ascii="Helvetica" w:eastAsia="Times New Roman" w:hAnsi="Helvetica" w:cs="Helvetica"/>
          <w:color w:val="595959"/>
          <w:lang w:val="en-GB"/>
        </w:rPr>
        <w:t xml:space="preserve"> (PFC)</w:t>
      </w:r>
      <w:r w:rsidRPr="00F747D7">
        <w:rPr>
          <w:rFonts w:ascii="Helvetica" w:eastAsia="Times New Roman" w:hAnsi="Helvetica" w:cs="Helvetica"/>
          <w:color w:val="595959"/>
          <w:lang w:val="en-GB"/>
        </w:rPr>
        <w:t xml:space="preserve"> gas </w:t>
      </w:r>
      <w:r w:rsidRPr="0099240B">
        <w:rPr>
          <w:rFonts w:ascii="Helvetica" w:eastAsia="Times New Roman" w:hAnsi="Helvetica" w:cs="Helvetica"/>
          <w:b/>
          <w:i/>
          <w:color w:val="595959"/>
          <w:lang w:val="en-GB"/>
        </w:rPr>
        <w:t>tetrafluoromethane</w:t>
      </w:r>
      <w:r w:rsidRPr="0099240B">
        <w:rPr>
          <w:rFonts w:ascii="Helvetica" w:eastAsia="Times New Roman" w:hAnsi="Helvetica" w:cs="Helvetica"/>
          <w:b/>
          <w:color w:val="595959"/>
          <w:lang w:val="en-GB"/>
        </w:rPr>
        <w:t xml:space="preserve"> </w:t>
      </w:r>
      <w:r w:rsidRPr="00F747D7">
        <w:rPr>
          <w:rFonts w:ascii="Helvetica" w:eastAsia="Times New Roman" w:hAnsi="Helvetica" w:cs="Helvetica"/>
          <w:color w:val="595959"/>
          <w:lang w:val="en-GB"/>
        </w:rPr>
        <w:t>(CF</w:t>
      </w:r>
      <w:r w:rsidRPr="00693DF0">
        <w:rPr>
          <w:rFonts w:ascii="Helvetica" w:eastAsia="Times New Roman" w:hAnsi="Helvetica" w:cs="Helvetica"/>
          <w:color w:val="595959"/>
          <w:vertAlign w:val="subscript"/>
          <w:lang w:val="en-GB"/>
        </w:rPr>
        <w:t>4</w:t>
      </w:r>
      <w:r w:rsidRPr="00F747D7">
        <w:rPr>
          <w:rFonts w:ascii="Helvetica" w:eastAsia="Times New Roman" w:hAnsi="Helvetica" w:cs="Helvetica"/>
          <w:color w:val="595959"/>
          <w:lang w:val="en-GB"/>
        </w:rPr>
        <w:t xml:space="preserve">) </w:t>
      </w:r>
      <w:r>
        <w:rPr>
          <w:rFonts w:ascii="Helvetica" w:eastAsia="Times New Roman" w:hAnsi="Helvetica" w:cs="Helvetica"/>
          <w:color w:val="595959"/>
          <w:lang w:val="en-GB"/>
        </w:rPr>
        <w:t>appear</w:t>
      </w:r>
      <w:r w:rsidRPr="00F747D7">
        <w:rPr>
          <w:rFonts w:ascii="Helvetica" w:eastAsia="Times New Roman" w:hAnsi="Helvetica" w:cs="Helvetica"/>
          <w:color w:val="595959"/>
          <w:lang w:val="en-GB"/>
        </w:rPr>
        <w:t xml:space="preserve"> to ha</w:t>
      </w:r>
      <w:r>
        <w:rPr>
          <w:rFonts w:ascii="Helvetica" w:eastAsia="Times New Roman" w:hAnsi="Helvetica" w:cs="Helvetica"/>
          <w:color w:val="595959"/>
          <w:lang w:val="en-GB"/>
        </w:rPr>
        <w:t xml:space="preserve">ve increased by 41%, mainly due to the inclusion </w:t>
      </w:r>
      <w:r>
        <w:rPr>
          <w:rFonts w:ascii="Helvetica" w:hAnsi="Helvetica" w:cs="Helvetica"/>
          <w:color w:val="454545"/>
        </w:rPr>
        <w:t xml:space="preserve">of </w:t>
      </w:r>
      <w:r w:rsidRPr="009D7734">
        <w:rPr>
          <w:rFonts w:ascii="Helvetica" w:eastAsia="Times New Roman" w:hAnsi="Helvetica" w:cs="Helvetica"/>
          <w:color w:val="595959"/>
          <w:lang w:val="en-GB"/>
        </w:rPr>
        <w:t>low voltage</w:t>
      </w:r>
      <w:r>
        <w:rPr>
          <w:rFonts w:ascii="Helvetica" w:eastAsia="Times New Roman" w:hAnsi="Helvetica" w:cs="Helvetica"/>
          <w:color w:val="595959"/>
          <w:lang w:val="en-GB"/>
        </w:rPr>
        <w:t xml:space="preserve"> (LV)</w:t>
      </w:r>
      <w:r w:rsidRPr="009D7734">
        <w:rPr>
          <w:rFonts w:ascii="Helvetica" w:eastAsia="Times New Roman" w:hAnsi="Helvetica" w:cs="Helvetica"/>
          <w:color w:val="595959"/>
          <w:lang w:val="en-GB"/>
        </w:rPr>
        <w:t xml:space="preserve"> </w:t>
      </w:r>
      <w:r>
        <w:rPr>
          <w:rFonts w:ascii="Helvetica" w:eastAsia="Times New Roman" w:hAnsi="Helvetica" w:cs="Helvetica"/>
          <w:color w:val="595959"/>
          <w:lang w:val="en-GB"/>
        </w:rPr>
        <w:t xml:space="preserve">PFC emissions.  </w:t>
      </w:r>
      <w:r w:rsidRPr="009D7734">
        <w:rPr>
          <w:rFonts w:ascii="Helvetica" w:eastAsia="Times New Roman" w:hAnsi="Helvetica" w:cs="Helvetica"/>
          <w:color w:val="595959"/>
          <w:lang w:val="en-GB"/>
        </w:rPr>
        <w:t>T</w:t>
      </w:r>
      <w:r w:rsidRPr="00C4049B">
        <w:rPr>
          <w:rFonts w:ascii="Helvetica" w:eastAsia="Times New Roman" w:hAnsi="Helvetica" w:cs="Helvetica"/>
          <w:color w:val="595959"/>
          <w:lang w:val="en-GB"/>
        </w:rPr>
        <w:t xml:space="preserve">he latest information on the main methods for measuring LV, HV (including cell start-up, CSU) PFC emissions </w:t>
      </w:r>
      <w:r>
        <w:rPr>
          <w:rFonts w:ascii="Helvetica" w:eastAsia="Times New Roman" w:hAnsi="Helvetica" w:cs="Helvetica"/>
          <w:color w:val="595959"/>
          <w:lang w:val="en-GB"/>
        </w:rPr>
        <w:t>i</w:t>
      </w:r>
      <w:r w:rsidRPr="00C4049B">
        <w:rPr>
          <w:rFonts w:ascii="Helvetica" w:eastAsia="Times New Roman" w:hAnsi="Helvetica" w:cs="Helvetica"/>
          <w:color w:val="595959"/>
          <w:lang w:val="en-GB"/>
        </w:rPr>
        <w:t>s outlined in the 2019 Refinement to the 2006 IPCC Guidelines for National Greenhouse Gas Inventories.</w:t>
      </w:r>
    </w:p>
    <w:p w14:paraId="50477C06" w14:textId="77777777" w:rsidR="00DA5301" w:rsidRDefault="00DA5301" w:rsidP="00DA5301">
      <w:pPr>
        <w:pStyle w:val="Default"/>
        <w:spacing w:line="312" w:lineRule="auto"/>
        <w:jc w:val="both"/>
        <w:rPr>
          <w:rFonts w:ascii="Helvetica" w:eastAsia="Times New Roman" w:hAnsi="Helvetica" w:cs="Helvetica"/>
          <w:color w:val="595959"/>
          <w:lang w:val="en-GB"/>
        </w:rPr>
      </w:pPr>
    </w:p>
    <w:p w14:paraId="616DCB7E" w14:textId="77777777" w:rsidR="00DA5301" w:rsidRDefault="00DA5301" w:rsidP="00DA5301">
      <w:pPr>
        <w:pStyle w:val="Default"/>
        <w:spacing w:line="312" w:lineRule="auto"/>
        <w:jc w:val="both"/>
        <w:rPr>
          <w:rFonts w:ascii="Helvetica" w:eastAsia="Times New Roman" w:hAnsi="Helvetica" w:cs="Helvetica"/>
          <w:color w:val="595959"/>
          <w:lang w:val="en-GB"/>
        </w:rPr>
      </w:pPr>
      <w:r>
        <w:rPr>
          <w:rFonts w:ascii="Helvetica" w:eastAsia="Times New Roman" w:hAnsi="Helvetica" w:cs="Helvetica"/>
          <w:color w:val="595959"/>
          <w:lang w:val="en-GB"/>
        </w:rPr>
        <w:t xml:space="preserve">If consider HV PFC emissions only, the smelters achieved 10% reduction in emission intensity of CO2e. </w:t>
      </w:r>
    </w:p>
    <w:p w14:paraId="18017A80" w14:textId="252F33FA" w:rsidR="00C977C8" w:rsidRPr="00E6098F" w:rsidRDefault="00C4049B" w:rsidP="00C977C8">
      <w:pPr>
        <w:spacing w:after="0" w:line="312" w:lineRule="auto"/>
        <w:jc w:val="both"/>
        <w:rPr>
          <w:rFonts w:cs="Helvetica"/>
          <w:noProof/>
          <w:color w:val="595959"/>
          <w:lang w:eastAsia="en-GB"/>
        </w:rPr>
      </w:pPr>
      <w:r>
        <w:rPr>
          <w:noProof/>
        </w:rPr>
        <w:drawing>
          <wp:inline distT="0" distB="0" distL="0" distR="0" wp14:anchorId="1EE9BB7D" wp14:editId="07D5E4F6">
            <wp:extent cx="5934075" cy="3933825"/>
            <wp:effectExtent l="0" t="0" r="9525" b="9525"/>
            <wp:docPr id="26" name="Chart 26">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BC5309C" w14:textId="0AD631E1" w:rsidR="00C977C8" w:rsidRPr="00E00339" w:rsidRDefault="00C977C8" w:rsidP="00C977C8">
      <w:pPr>
        <w:spacing w:after="0" w:line="312" w:lineRule="auto"/>
        <w:jc w:val="center"/>
        <w:rPr>
          <w:rFonts w:cs="Helvetica"/>
          <w:color w:val="595959"/>
        </w:rPr>
      </w:pPr>
    </w:p>
    <w:p w14:paraId="26E67550" w14:textId="412F9477" w:rsidR="00C977C8" w:rsidRDefault="00C977C8" w:rsidP="00C977C8">
      <w:pPr>
        <w:spacing w:before="120" w:after="0" w:line="312" w:lineRule="auto"/>
        <w:jc w:val="right"/>
        <w:rPr>
          <w:rFonts w:cs="Helvetica"/>
          <w:b/>
          <w:color w:val="595959"/>
        </w:rPr>
      </w:pPr>
      <w:r w:rsidRPr="00E6098F">
        <w:rPr>
          <w:rFonts w:cs="Helvetica"/>
          <w:b/>
          <w:color w:val="595959"/>
        </w:rPr>
        <w:t xml:space="preserve">Figure </w:t>
      </w:r>
      <w:r w:rsidR="00634F72">
        <w:rPr>
          <w:rFonts w:cs="Helvetica"/>
          <w:b/>
          <w:color w:val="595959"/>
        </w:rPr>
        <w:t>7</w:t>
      </w:r>
      <w:r w:rsidRPr="00E6098F">
        <w:rPr>
          <w:rFonts w:cs="Helvetica"/>
          <w:b/>
          <w:color w:val="595959"/>
        </w:rPr>
        <w:t>:</w:t>
      </w:r>
      <w:r>
        <w:rPr>
          <w:rFonts w:cs="Helvetica"/>
          <w:b/>
          <w:color w:val="595959"/>
        </w:rPr>
        <w:tab/>
        <w:t>T</w:t>
      </w:r>
      <w:r w:rsidRPr="00283BA1">
        <w:rPr>
          <w:rFonts w:cs="Helvetica"/>
          <w:b/>
          <w:color w:val="595959"/>
        </w:rPr>
        <w:t xml:space="preserve">otal global </w:t>
      </w:r>
      <w:r>
        <w:rPr>
          <w:rFonts w:cs="Helvetica"/>
          <w:b/>
          <w:color w:val="595959"/>
        </w:rPr>
        <w:t xml:space="preserve">aluminium industry </w:t>
      </w:r>
      <w:r w:rsidRPr="00283BA1">
        <w:rPr>
          <w:rFonts w:cs="Helvetica"/>
          <w:b/>
          <w:color w:val="595959"/>
        </w:rPr>
        <w:t>perfluorocarbon emissions</w:t>
      </w:r>
      <w:r w:rsidR="00DA5301">
        <w:rPr>
          <w:rFonts w:cs="Helvetica"/>
          <w:b/>
          <w:color w:val="595959"/>
        </w:rPr>
        <w:t xml:space="preserve"> (blue curve, exclusive of</w:t>
      </w:r>
      <w:r w:rsidR="00DA5301" w:rsidRPr="00C4049B">
        <w:rPr>
          <w:rFonts w:cs="Helvetica"/>
          <w:b/>
          <w:color w:val="595959"/>
        </w:rPr>
        <w:t xml:space="preserve"> LV</w:t>
      </w:r>
      <w:r w:rsidR="00DA5301">
        <w:rPr>
          <w:rFonts w:cs="Helvetica"/>
          <w:b/>
          <w:color w:val="595959"/>
        </w:rPr>
        <w:t xml:space="preserve"> </w:t>
      </w:r>
      <w:r w:rsidR="00DA5301" w:rsidRPr="00C4049B">
        <w:rPr>
          <w:rFonts w:cs="Helvetica"/>
          <w:b/>
          <w:color w:val="595959"/>
        </w:rPr>
        <w:t>PFC emissions</w:t>
      </w:r>
      <w:r w:rsidR="00DA5301">
        <w:rPr>
          <w:rFonts w:cs="Helvetica"/>
          <w:b/>
          <w:color w:val="595959"/>
        </w:rPr>
        <w:t>)</w:t>
      </w:r>
      <w:r w:rsidRPr="00283BA1">
        <w:rPr>
          <w:rFonts w:cs="Helvetica"/>
          <w:b/>
          <w:color w:val="595959"/>
        </w:rPr>
        <w:t xml:space="preserve"> </w:t>
      </w:r>
      <w:r>
        <w:rPr>
          <w:rFonts w:cs="Helvetica"/>
          <w:b/>
          <w:color w:val="595959"/>
        </w:rPr>
        <w:t>against global production</w:t>
      </w:r>
      <w:r w:rsidR="00DA5301">
        <w:rPr>
          <w:rFonts w:cs="Helvetica"/>
          <w:b/>
          <w:color w:val="595959"/>
        </w:rPr>
        <w:t xml:space="preserve"> (green columns)</w:t>
      </w:r>
      <w:r w:rsidR="00C4049B">
        <w:rPr>
          <w:rFonts w:cs="Helvetica"/>
          <w:b/>
          <w:color w:val="595959"/>
        </w:rPr>
        <w:t xml:space="preserve"> </w:t>
      </w:r>
    </w:p>
    <w:p w14:paraId="6A94F610" w14:textId="48642F28" w:rsidR="004E40EB" w:rsidRDefault="004E40EB">
      <w:pPr>
        <w:spacing w:after="0"/>
        <w:rPr>
          <w:rFonts w:cs="Helvetica"/>
          <w:color w:val="595959"/>
        </w:rPr>
      </w:pPr>
      <w:r>
        <w:rPr>
          <w:rFonts w:cs="Helvetica"/>
          <w:color w:val="595959"/>
        </w:rPr>
        <w:br w:type="page"/>
      </w:r>
    </w:p>
    <w:p w14:paraId="77080806" w14:textId="29D11B61" w:rsidR="002D3B7D" w:rsidRPr="000B4A8D" w:rsidRDefault="005F45C8" w:rsidP="00DA5301">
      <w:pPr>
        <w:pStyle w:val="Heading2"/>
      </w:pPr>
      <w:bookmarkStart w:id="135" w:name="_Toc105622925"/>
      <w:bookmarkStart w:id="136" w:name="_Toc120111938"/>
      <w:bookmarkEnd w:id="135"/>
      <w:r w:rsidRPr="000B4A8D">
        <w:lastRenderedPageBreak/>
        <w:t>Interpretation</w:t>
      </w:r>
      <w:bookmarkEnd w:id="128"/>
      <w:bookmarkEnd w:id="136"/>
    </w:p>
    <w:p w14:paraId="0A28D368" w14:textId="77777777" w:rsidR="005F45C8" w:rsidRPr="000B4A8D" w:rsidRDefault="002407CB" w:rsidP="000D0304">
      <w:pPr>
        <w:spacing w:line="312" w:lineRule="auto"/>
        <w:jc w:val="both"/>
      </w:pPr>
      <w:r w:rsidRPr="000B4A8D">
        <w:rPr>
          <w:b/>
          <w:noProof/>
          <w:lang w:eastAsia="zh-CN"/>
        </w:rPr>
        <mc:AlternateContent>
          <mc:Choice Requires="wps">
            <w:drawing>
              <wp:inline distT="0" distB="0" distL="0" distR="0" wp14:anchorId="3DCC68D4" wp14:editId="65DE65A7">
                <wp:extent cx="6115050" cy="670560"/>
                <wp:effectExtent l="0" t="0" r="19050" b="158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670560"/>
                        </a:xfrm>
                        <a:prstGeom prst="rect">
                          <a:avLst/>
                        </a:prstGeom>
                        <a:solidFill>
                          <a:schemeClr val="accent5">
                            <a:lumMod val="20000"/>
                            <a:lumOff val="80000"/>
                          </a:schemeClr>
                        </a:solidFill>
                        <a:ln w="9525">
                          <a:solidFill>
                            <a:srgbClr val="000000"/>
                          </a:solidFill>
                          <a:miter lim="800000"/>
                          <a:headEnd/>
                          <a:tailEnd/>
                        </a:ln>
                      </wps:spPr>
                      <wps:txbx>
                        <w:txbxContent>
                          <w:p w14:paraId="7147341C" w14:textId="77777777" w:rsidR="003E19DF" w:rsidRPr="00E42804" w:rsidRDefault="003E19DF" w:rsidP="00E42804">
                            <w:pPr>
                              <w:spacing w:after="0" w:line="312" w:lineRule="auto"/>
                              <w:jc w:val="both"/>
                              <w:rPr>
                                <w:rFonts w:cs="Helvetica"/>
                                <w:color w:val="595959"/>
                              </w:rPr>
                            </w:pPr>
                            <w:r>
                              <w:rPr>
                                <w:rFonts w:cs="Helvetica"/>
                                <w:b/>
                                <w:color w:val="595959"/>
                              </w:rPr>
                              <w:t xml:space="preserve">Goal &amp; Scope: </w:t>
                            </w:r>
                            <w:r>
                              <w:rPr>
                                <w:rFonts w:cs="Helvetica"/>
                                <w:color w:val="595959"/>
                              </w:rPr>
                              <w:t>The purpose of this i</w:t>
                            </w:r>
                            <w:r w:rsidRPr="009F1382">
                              <w:rPr>
                                <w:rFonts w:cs="Helvetica"/>
                                <w:color w:val="595959"/>
                              </w:rPr>
                              <w:t>nv</w:t>
                            </w:r>
                            <w:r>
                              <w:rPr>
                                <w:rFonts w:cs="Helvetica"/>
                                <w:color w:val="595959"/>
                              </w:rPr>
                              <w:t>entory r</w:t>
                            </w:r>
                            <w:r w:rsidRPr="009F1382">
                              <w:rPr>
                                <w:rFonts w:cs="Helvetica"/>
                                <w:color w:val="595959"/>
                              </w:rPr>
                              <w:t xml:space="preserve">eport is to characterize accurately </w:t>
                            </w:r>
                            <w:r>
                              <w:rPr>
                                <w:rFonts w:cs="Helvetica"/>
                                <w:color w:val="595959"/>
                              </w:rPr>
                              <w:t xml:space="preserve">at the global level, and where possible, the regional level, </w:t>
                            </w:r>
                            <w:r w:rsidRPr="009F1382">
                              <w:rPr>
                                <w:rFonts w:cs="Helvetica"/>
                                <w:color w:val="595959"/>
                              </w:rPr>
                              <w:t xml:space="preserve">resource </w:t>
                            </w:r>
                            <w:r>
                              <w:rPr>
                                <w:rFonts w:cs="Helvetica"/>
                                <w:color w:val="595959"/>
                              </w:rPr>
                              <w:t>inputs</w:t>
                            </w:r>
                            <w:r w:rsidRPr="009F1382">
                              <w:rPr>
                                <w:rFonts w:cs="Helvetica"/>
                                <w:color w:val="595959"/>
                              </w:rPr>
                              <w:t xml:space="preserve"> and significant </w:t>
                            </w:r>
                            <w:r>
                              <w:rPr>
                                <w:rFonts w:cs="Helvetica"/>
                                <w:color w:val="595959"/>
                              </w:rPr>
                              <w:t xml:space="preserve">environmental releases </w:t>
                            </w:r>
                            <w:r w:rsidRPr="009F1382">
                              <w:rPr>
                                <w:rFonts w:cs="Helvetica"/>
                                <w:color w:val="595959"/>
                              </w:rPr>
                              <w:t>associated with the production of primary aluminium</w:t>
                            </w:r>
                            <w:r>
                              <w:rPr>
                                <w:rFonts w:cs="Helvetica"/>
                                <w:color w:val="595959"/>
                              </w:rPr>
                              <w:t xml:space="preserve"> from bauxite mining to ingot casting</w:t>
                            </w:r>
                            <w:r w:rsidRPr="009F1382">
                              <w:rPr>
                                <w:rFonts w:cs="Helvetica"/>
                                <w:color w:val="595959"/>
                              </w:rPr>
                              <w:t>.</w:t>
                            </w:r>
                          </w:p>
                        </w:txbxContent>
                      </wps:txbx>
                      <wps:bodyPr rot="0" vert="horz" wrap="square" lIns="91440" tIns="45720" rIns="91440" bIns="45720" anchor="t" anchorCtr="0" upright="1">
                        <a:spAutoFit/>
                      </wps:bodyPr>
                    </wps:wsp>
                  </a:graphicData>
                </a:graphic>
              </wp:inline>
            </w:drawing>
          </mc:Choice>
          <mc:Fallback>
            <w:pict>
              <v:shapetype w14:anchorId="3DCC68D4" id="_x0000_t202" coordsize="21600,21600" o:spt="202" path="m,l,21600r21600,l21600,xe">
                <v:stroke joinstyle="miter"/>
                <v:path gradientshapeok="t" o:connecttype="rect"/>
              </v:shapetype>
              <v:shape id="Text Box 2" o:spid="_x0000_s1026" type="#_x0000_t202" style="width:481.5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" fillcolor="#f8f0d2 [664]">
                <v:textbox style="mso-fit-shape-to-text:t">
                  <w:txbxContent>
                    <w:p w14:paraId="7147341C" w14:textId="77777777" w:rsidR="003E19DF" w:rsidRPr="00E42804" w:rsidRDefault="003E19DF" w:rsidP="00E42804">
                      <w:pPr>
                        <w:spacing w:after="0" w:line="312" w:lineRule="auto"/>
                        <w:jc w:val="both"/>
                        <w:rPr>
                          <w:rFonts w:cs="Helvetica"/>
                          <w:color w:val="595959"/>
                        </w:rPr>
                      </w:pPr>
                      <w:r>
                        <w:rPr>
                          <w:rFonts w:cs="Helvetica"/>
                          <w:b/>
                          <w:color w:val="595959"/>
                        </w:rPr>
                        <w:t xml:space="preserve">Goal &amp; Scope: </w:t>
                      </w:r>
                      <w:r>
                        <w:rPr>
                          <w:rFonts w:cs="Helvetica"/>
                          <w:color w:val="595959"/>
                        </w:rPr>
                        <w:t>The purpose of this i</w:t>
                      </w:r>
                      <w:r w:rsidRPr="009F1382">
                        <w:rPr>
                          <w:rFonts w:cs="Helvetica"/>
                          <w:color w:val="595959"/>
                        </w:rPr>
                        <w:t>nv</w:t>
                      </w:r>
                      <w:r>
                        <w:rPr>
                          <w:rFonts w:cs="Helvetica"/>
                          <w:color w:val="595959"/>
                        </w:rPr>
                        <w:t>entory r</w:t>
                      </w:r>
                      <w:r w:rsidRPr="009F1382">
                        <w:rPr>
                          <w:rFonts w:cs="Helvetica"/>
                          <w:color w:val="595959"/>
                        </w:rPr>
                        <w:t xml:space="preserve">eport is to characterize accurately </w:t>
                      </w:r>
                      <w:r>
                        <w:rPr>
                          <w:rFonts w:cs="Helvetica"/>
                          <w:color w:val="595959"/>
                        </w:rPr>
                        <w:t xml:space="preserve">at the global level, and where possible, the regional level, </w:t>
                      </w:r>
                      <w:r w:rsidRPr="009F1382">
                        <w:rPr>
                          <w:rFonts w:cs="Helvetica"/>
                          <w:color w:val="595959"/>
                        </w:rPr>
                        <w:t xml:space="preserve">resource </w:t>
                      </w:r>
                      <w:r>
                        <w:rPr>
                          <w:rFonts w:cs="Helvetica"/>
                          <w:color w:val="595959"/>
                        </w:rPr>
                        <w:t>inputs</w:t>
                      </w:r>
                      <w:r w:rsidRPr="009F1382">
                        <w:rPr>
                          <w:rFonts w:cs="Helvetica"/>
                          <w:color w:val="595959"/>
                        </w:rPr>
                        <w:t xml:space="preserve"> and significant </w:t>
                      </w:r>
                      <w:r>
                        <w:rPr>
                          <w:rFonts w:cs="Helvetica"/>
                          <w:color w:val="595959"/>
                        </w:rPr>
                        <w:t xml:space="preserve">environmental releases </w:t>
                      </w:r>
                      <w:r w:rsidRPr="009F1382">
                        <w:rPr>
                          <w:rFonts w:cs="Helvetica"/>
                          <w:color w:val="595959"/>
                        </w:rPr>
                        <w:t>associated with the production of primary aluminium</w:t>
                      </w:r>
                      <w:r>
                        <w:rPr>
                          <w:rFonts w:cs="Helvetica"/>
                          <w:color w:val="595959"/>
                        </w:rPr>
                        <w:t xml:space="preserve"> from bauxite mining to ingot casting</w:t>
                      </w:r>
                      <w:r w:rsidRPr="009F1382">
                        <w:rPr>
                          <w:rFonts w:cs="Helvetica"/>
                          <w:color w:val="595959"/>
                        </w:rPr>
                        <w:t>.</w:t>
                      </w:r>
                    </w:p>
                  </w:txbxContent>
                </v:textbox>
                <w10:anchorlock/>
              </v:shape>
            </w:pict>
          </mc:Fallback>
        </mc:AlternateContent>
      </w:r>
    </w:p>
    <w:p w14:paraId="5B42EEC2" w14:textId="09FB6EDE" w:rsidR="008A125A" w:rsidRPr="000B4A8D" w:rsidRDefault="00A46BAB" w:rsidP="009E11C8">
      <w:pPr>
        <w:spacing w:line="312" w:lineRule="auto"/>
        <w:jc w:val="both"/>
        <w:rPr>
          <w:rFonts w:cs="Helvetica"/>
          <w:color w:val="595959"/>
          <w:szCs w:val="20"/>
        </w:rPr>
      </w:pPr>
      <w:r w:rsidRPr="000B4A8D">
        <w:rPr>
          <w:rFonts w:cs="Helvetica"/>
          <w:color w:val="595959"/>
        </w:rPr>
        <w:t xml:space="preserve">This </w:t>
      </w:r>
      <w:r w:rsidR="00E5458B" w:rsidRPr="000B4A8D">
        <w:rPr>
          <w:rFonts w:cs="Helvetica"/>
          <w:color w:val="595959"/>
        </w:rPr>
        <w:t xml:space="preserve">2019 </w:t>
      </w:r>
      <w:r w:rsidR="00085D52" w:rsidRPr="000B4A8D">
        <w:rPr>
          <w:rFonts w:cs="Helvetica"/>
          <w:color w:val="595959"/>
        </w:rPr>
        <w:t>life cycle</w:t>
      </w:r>
      <w:r w:rsidRPr="000B4A8D">
        <w:rPr>
          <w:rFonts w:cs="Helvetica"/>
          <w:color w:val="595959"/>
          <w:szCs w:val="20"/>
        </w:rPr>
        <w:t xml:space="preserve"> inventory </w:t>
      </w:r>
      <w:r w:rsidR="00F06C77" w:rsidRPr="000B4A8D">
        <w:rPr>
          <w:rFonts w:cs="Helvetica"/>
          <w:color w:val="595959"/>
          <w:szCs w:val="20"/>
        </w:rPr>
        <w:t>is</w:t>
      </w:r>
      <w:r w:rsidRPr="000B4A8D">
        <w:rPr>
          <w:rFonts w:cs="Helvetica"/>
          <w:color w:val="595959"/>
          <w:szCs w:val="20"/>
        </w:rPr>
        <w:t xml:space="preserve"> the most accurate and up-to-date of any published </w:t>
      </w:r>
      <w:r w:rsidR="008A125A" w:rsidRPr="000B4A8D">
        <w:rPr>
          <w:rFonts w:cs="Helvetica"/>
          <w:color w:val="595959"/>
          <w:szCs w:val="20"/>
        </w:rPr>
        <w:t>on primary aluminium production</w:t>
      </w:r>
      <w:r w:rsidR="009831A3" w:rsidRPr="000B4A8D">
        <w:rPr>
          <w:rFonts w:cs="Helvetica"/>
          <w:color w:val="595959"/>
          <w:szCs w:val="20"/>
        </w:rPr>
        <w:t xml:space="preserve">.  </w:t>
      </w:r>
    </w:p>
    <w:p w14:paraId="31CE683C" w14:textId="7C048A69" w:rsidR="009339EF" w:rsidRPr="000B4A8D" w:rsidRDefault="008A125A" w:rsidP="009E11C8">
      <w:pPr>
        <w:spacing w:line="312" w:lineRule="auto"/>
        <w:jc w:val="both"/>
        <w:rPr>
          <w:rFonts w:cs="Helvetica"/>
          <w:color w:val="595959"/>
          <w:szCs w:val="20"/>
        </w:rPr>
      </w:pPr>
      <w:r w:rsidRPr="000B4A8D">
        <w:rPr>
          <w:rFonts w:cs="Helvetica"/>
          <w:color w:val="595959"/>
          <w:szCs w:val="20"/>
        </w:rPr>
        <w:t>W</w:t>
      </w:r>
      <w:r w:rsidR="002F6C92" w:rsidRPr="000B4A8D">
        <w:rPr>
          <w:rFonts w:cs="Helvetica"/>
          <w:color w:val="595959"/>
          <w:szCs w:val="20"/>
        </w:rPr>
        <w:t xml:space="preserve">ith a continued focus on </w:t>
      </w:r>
      <w:r w:rsidR="009339EF" w:rsidRPr="000B4A8D">
        <w:rPr>
          <w:rFonts w:cs="Helvetica"/>
          <w:color w:val="595959"/>
          <w:szCs w:val="20"/>
        </w:rPr>
        <w:t>energy</w:t>
      </w:r>
      <w:r w:rsidR="000E3EFD" w:rsidRPr="000B4A8D">
        <w:rPr>
          <w:rFonts w:cs="Helvetica"/>
          <w:color w:val="595959"/>
          <w:szCs w:val="20"/>
        </w:rPr>
        <w:t>,</w:t>
      </w:r>
      <w:r w:rsidR="009339EF" w:rsidRPr="000B4A8D">
        <w:rPr>
          <w:rFonts w:cs="Helvetica"/>
          <w:color w:val="595959"/>
          <w:szCs w:val="20"/>
        </w:rPr>
        <w:t xml:space="preserve"> </w:t>
      </w:r>
      <w:r w:rsidR="00A46BAB" w:rsidRPr="000B4A8D">
        <w:rPr>
          <w:rFonts w:cs="Helvetica"/>
          <w:color w:val="595959"/>
          <w:szCs w:val="20"/>
        </w:rPr>
        <w:t>water use</w:t>
      </w:r>
      <w:r w:rsidR="007F3E0C" w:rsidRPr="000B4A8D">
        <w:rPr>
          <w:rFonts w:cs="Helvetica"/>
          <w:color w:val="595959"/>
          <w:szCs w:val="20"/>
        </w:rPr>
        <w:t xml:space="preserve">, emissions to air, emissions to water and waste generation, </w:t>
      </w:r>
      <w:r w:rsidR="00A46BAB" w:rsidRPr="000B4A8D">
        <w:rPr>
          <w:rFonts w:cs="Helvetica"/>
          <w:color w:val="595959"/>
          <w:szCs w:val="20"/>
        </w:rPr>
        <w:t>and</w:t>
      </w:r>
      <w:r w:rsidR="009339EF" w:rsidRPr="000B4A8D">
        <w:rPr>
          <w:rFonts w:cs="Helvetica"/>
          <w:color w:val="595959"/>
          <w:szCs w:val="20"/>
        </w:rPr>
        <w:t xml:space="preserve"> the</w:t>
      </w:r>
      <w:r w:rsidR="002F6C92" w:rsidRPr="000B4A8D">
        <w:rPr>
          <w:rFonts w:cs="Helvetica"/>
          <w:color w:val="595959"/>
          <w:szCs w:val="20"/>
        </w:rPr>
        <w:t xml:space="preserve"> inclusion of new inventory flows such as </w:t>
      </w:r>
      <w:r w:rsidR="00574B01" w:rsidRPr="000B4A8D">
        <w:rPr>
          <w:rFonts w:cs="Helvetica"/>
          <w:color w:val="595959"/>
          <w:szCs w:val="20"/>
        </w:rPr>
        <w:t>SF</w:t>
      </w:r>
      <w:r w:rsidR="00AE1627" w:rsidRPr="000B4A8D">
        <w:rPr>
          <w:rFonts w:cs="Helvetica"/>
          <w:color w:val="595959"/>
          <w:szCs w:val="20"/>
          <w:vertAlign w:val="subscript"/>
        </w:rPr>
        <w:t>6</w:t>
      </w:r>
      <w:r w:rsidR="007347B9" w:rsidRPr="000B4A8D">
        <w:rPr>
          <w:rFonts w:cs="Helvetica"/>
          <w:color w:val="595959"/>
          <w:szCs w:val="20"/>
        </w:rPr>
        <w:t xml:space="preserve">, </w:t>
      </w:r>
      <w:r w:rsidR="00634F72">
        <w:rPr>
          <w:rFonts w:cs="Helvetica"/>
          <w:color w:val="595959"/>
          <w:szCs w:val="20"/>
        </w:rPr>
        <w:t>O</w:t>
      </w:r>
      <w:r w:rsidR="007347B9" w:rsidRPr="000B4A8D">
        <w:rPr>
          <w:rFonts w:cs="Helvetica"/>
          <w:color w:val="595959"/>
          <w:szCs w:val="20"/>
        </w:rPr>
        <w:t xml:space="preserve">ther energy input </w:t>
      </w:r>
      <w:r w:rsidR="002F6C92" w:rsidRPr="000B4A8D">
        <w:rPr>
          <w:rFonts w:cs="Helvetica"/>
          <w:color w:val="595959"/>
          <w:szCs w:val="20"/>
        </w:rPr>
        <w:t xml:space="preserve">and </w:t>
      </w:r>
      <w:r w:rsidR="00AE1627" w:rsidRPr="000B4A8D">
        <w:rPr>
          <w:rFonts w:cs="Helvetica"/>
          <w:color w:val="595959"/>
          <w:szCs w:val="20"/>
        </w:rPr>
        <w:t>Overbur</w:t>
      </w:r>
      <w:r w:rsidR="00782FEF" w:rsidRPr="000B4A8D">
        <w:rPr>
          <w:rFonts w:cs="Helvetica"/>
          <w:color w:val="595959"/>
          <w:szCs w:val="20"/>
        </w:rPr>
        <w:t>den</w:t>
      </w:r>
      <w:r w:rsidR="00AE1627" w:rsidRPr="000B4A8D">
        <w:rPr>
          <w:rFonts w:cs="Helvetica"/>
          <w:color w:val="595959"/>
          <w:szCs w:val="20"/>
        </w:rPr>
        <w:t xml:space="preserve"> in bauxite mining</w:t>
      </w:r>
      <w:r w:rsidR="002F6C92" w:rsidRPr="000B4A8D">
        <w:rPr>
          <w:rFonts w:cs="Helvetica"/>
          <w:color w:val="595959"/>
          <w:szCs w:val="20"/>
        </w:rPr>
        <w:t xml:space="preserve">, </w:t>
      </w:r>
      <w:r w:rsidR="00A46BAB" w:rsidRPr="000B4A8D">
        <w:rPr>
          <w:rFonts w:cs="Helvetica"/>
          <w:color w:val="595959"/>
          <w:szCs w:val="20"/>
        </w:rPr>
        <w:t xml:space="preserve">the coverage of relevant inputs/outputs can be seen to have improved on the </w:t>
      </w:r>
      <w:r w:rsidR="00805149" w:rsidRPr="000B4A8D">
        <w:rPr>
          <w:rFonts w:cs="Helvetica"/>
          <w:color w:val="595959"/>
          <w:szCs w:val="20"/>
        </w:rPr>
        <w:t xml:space="preserve">2015 </w:t>
      </w:r>
      <w:r w:rsidR="00A46BAB" w:rsidRPr="000B4A8D">
        <w:rPr>
          <w:rFonts w:cs="Helvetica"/>
          <w:color w:val="595959"/>
          <w:szCs w:val="20"/>
        </w:rPr>
        <w:t>inventory</w:t>
      </w:r>
      <w:r w:rsidR="009831A3" w:rsidRPr="000B4A8D">
        <w:rPr>
          <w:rFonts w:cs="Helvetica"/>
          <w:color w:val="595959"/>
          <w:szCs w:val="20"/>
        </w:rPr>
        <w:t xml:space="preserve">.  </w:t>
      </w:r>
    </w:p>
    <w:p w14:paraId="4EB97285" w14:textId="0EA5006E" w:rsidR="00D154E7" w:rsidRDefault="00571250" w:rsidP="000D0304">
      <w:pPr>
        <w:spacing w:after="0" w:line="312" w:lineRule="auto"/>
        <w:jc w:val="both"/>
        <w:rPr>
          <w:rFonts w:cs="Helvetica"/>
          <w:color w:val="595959"/>
          <w:szCs w:val="20"/>
        </w:rPr>
      </w:pPr>
      <w:r w:rsidRPr="000B4A8D">
        <w:rPr>
          <w:rFonts w:cs="Helvetica"/>
          <w:color w:val="595959"/>
          <w:szCs w:val="20"/>
        </w:rPr>
        <w:t xml:space="preserve">The data, methods and interpretation </w:t>
      </w:r>
      <w:r w:rsidR="00085D52" w:rsidRPr="000B4A8D">
        <w:rPr>
          <w:rFonts w:cs="Helvetica"/>
          <w:color w:val="595959"/>
          <w:szCs w:val="20"/>
        </w:rPr>
        <w:t xml:space="preserve">of </w:t>
      </w:r>
      <w:r w:rsidRPr="000B4A8D">
        <w:rPr>
          <w:rFonts w:cs="Helvetica"/>
          <w:color w:val="595959"/>
          <w:szCs w:val="20"/>
        </w:rPr>
        <w:t xml:space="preserve">this </w:t>
      </w:r>
      <w:r w:rsidR="00085D52" w:rsidRPr="000B4A8D">
        <w:rPr>
          <w:rFonts w:cs="Helvetica"/>
          <w:color w:val="595959"/>
          <w:szCs w:val="20"/>
        </w:rPr>
        <w:t>LCI</w:t>
      </w:r>
      <w:r w:rsidRPr="000B4A8D">
        <w:rPr>
          <w:rFonts w:cs="Helvetica"/>
          <w:color w:val="595959"/>
          <w:szCs w:val="20"/>
        </w:rPr>
        <w:t xml:space="preserve"> have been subject to ongoing</w:t>
      </w:r>
      <w:r w:rsidR="00085D52" w:rsidRPr="000B4A8D">
        <w:rPr>
          <w:rFonts w:cs="Helvetica"/>
          <w:color w:val="595959"/>
          <w:szCs w:val="20"/>
        </w:rPr>
        <w:t>,</w:t>
      </w:r>
      <w:r w:rsidRPr="000B4A8D">
        <w:rPr>
          <w:rFonts w:cs="Helvetica"/>
          <w:color w:val="595959"/>
          <w:szCs w:val="20"/>
        </w:rPr>
        <w:t xml:space="preserve"> independent</w:t>
      </w:r>
      <w:r w:rsidR="00085D52" w:rsidRPr="000B4A8D">
        <w:rPr>
          <w:rFonts w:cs="Helvetica"/>
          <w:color w:val="595959"/>
          <w:szCs w:val="20"/>
        </w:rPr>
        <w:t>,</w:t>
      </w:r>
      <w:r w:rsidRPr="000B4A8D">
        <w:rPr>
          <w:rFonts w:cs="Helvetica"/>
          <w:color w:val="595959"/>
          <w:szCs w:val="20"/>
        </w:rPr>
        <w:t xml:space="preserve"> third party review</w:t>
      </w:r>
      <w:r w:rsidR="00004A39">
        <w:rPr>
          <w:rFonts w:cs="Helvetica"/>
          <w:color w:val="595959"/>
          <w:szCs w:val="20"/>
        </w:rPr>
        <w:t>.</w:t>
      </w:r>
    </w:p>
    <w:p w14:paraId="4490ED0F" w14:textId="77777777" w:rsidR="001B1834" w:rsidRDefault="001B1834" w:rsidP="001B1834">
      <w:pPr>
        <w:spacing w:after="0"/>
        <w:rPr>
          <w:rFonts w:cs="Helvetica"/>
          <w:color w:val="595959"/>
          <w:szCs w:val="20"/>
        </w:rPr>
      </w:pPr>
      <w:r>
        <w:rPr>
          <w:rFonts w:cs="Helvetica"/>
          <w:color w:val="595959"/>
          <w:szCs w:val="20"/>
        </w:rPr>
        <w:t>Following the feedback from the review of 2015 LCIs,</w:t>
      </w:r>
      <w:r w:rsidRPr="00AF2D8A">
        <w:rPr>
          <w:rFonts w:cs="Helvetica"/>
          <w:color w:val="595959"/>
          <w:szCs w:val="20"/>
        </w:rPr>
        <w:t xml:space="preserve"> </w:t>
      </w:r>
      <w:r w:rsidRPr="00EC51B8">
        <w:rPr>
          <w:rFonts w:cs="Helvetica"/>
          <w:color w:val="595959"/>
          <w:szCs w:val="20"/>
        </w:rPr>
        <w:t>a number of improvements have been made</w:t>
      </w:r>
      <w:r>
        <w:rPr>
          <w:rFonts w:cs="Helvetica"/>
          <w:color w:val="595959"/>
          <w:szCs w:val="20"/>
        </w:rPr>
        <w:t xml:space="preserve"> to the following area:</w:t>
      </w:r>
    </w:p>
    <w:p w14:paraId="06E33178" w14:textId="77777777" w:rsidR="001B1834" w:rsidRDefault="001B1834" w:rsidP="001B1834">
      <w:pPr>
        <w:spacing w:after="0"/>
        <w:rPr>
          <w:rFonts w:cs="Helvetica"/>
          <w:color w:val="595959"/>
          <w:szCs w:val="20"/>
        </w:rPr>
      </w:pPr>
    </w:p>
    <w:p w14:paraId="54ED73FA" w14:textId="77777777" w:rsidR="001B1834" w:rsidRPr="000D0304" w:rsidRDefault="001B1834" w:rsidP="001B1834">
      <w:pPr>
        <w:pStyle w:val="ListParagraph"/>
        <w:numPr>
          <w:ilvl w:val="0"/>
          <w:numId w:val="10"/>
        </w:numPr>
        <w:spacing w:after="0" w:line="312" w:lineRule="auto"/>
        <w:ind w:left="714" w:hanging="357"/>
        <w:jc w:val="both"/>
        <w:rPr>
          <w:rFonts w:cs="Helvetica"/>
          <w:color w:val="595959"/>
          <w:szCs w:val="20"/>
        </w:rPr>
      </w:pPr>
      <w:r>
        <w:rPr>
          <w:rFonts w:cs="Helvetica"/>
          <w:color w:val="595959"/>
          <w:szCs w:val="20"/>
        </w:rPr>
        <w:t>Incorporate site specific data</w:t>
      </w:r>
      <w:r w:rsidRPr="00705461">
        <w:rPr>
          <w:rFonts w:cs="Helvetica"/>
          <w:color w:val="595959"/>
          <w:szCs w:val="20"/>
        </w:rPr>
        <w:t xml:space="preserve"> </w:t>
      </w:r>
      <w:r>
        <w:rPr>
          <w:rFonts w:cs="Helvetica"/>
          <w:color w:val="595959"/>
          <w:szCs w:val="20"/>
        </w:rPr>
        <w:t xml:space="preserve">of the </w:t>
      </w:r>
      <w:r w:rsidRPr="00600814">
        <w:rPr>
          <w:rFonts w:cs="Helvetica"/>
          <w:color w:val="595959"/>
          <w:szCs w:val="20"/>
        </w:rPr>
        <w:t xml:space="preserve">Chinese </w:t>
      </w:r>
      <w:r>
        <w:rPr>
          <w:rFonts w:cs="Helvetica"/>
          <w:color w:val="595959"/>
          <w:szCs w:val="20"/>
        </w:rPr>
        <w:t>aluminium industry,</w:t>
      </w:r>
      <w:r w:rsidRPr="006E33C5">
        <w:rPr>
          <w:rFonts w:cs="Helvetica"/>
          <w:color w:val="595959"/>
          <w:szCs w:val="20"/>
        </w:rPr>
        <w:t xml:space="preserve"> </w:t>
      </w:r>
      <w:r>
        <w:rPr>
          <w:rFonts w:cs="Helvetica"/>
          <w:color w:val="595959"/>
          <w:szCs w:val="20"/>
        </w:rPr>
        <w:t xml:space="preserve">hence </w:t>
      </w:r>
      <w:r w:rsidRPr="006E33C5">
        <w:rPr>
          <w:rFonts w:cs="Helvetica"/>
          <w:color w:val="595959"/>
          <w:szCs w:val="20"/>
        </w:rPr>
        <w:t>the 201</w:t>
      </w:r>
      <w:r>
        <w:rPr>
          <w:rFonts w:cs="Helvetica"/>
          <w:color w:val="595959"/>
          <w:szCs w:val="20"/>
        </w:rPr>
        <w:t>9</w:t>
      </w:r>
      <w:r w:rsidRPr="006E33C5">
        <w:rPr>
          <w:rFonts w:cs="Helvetica"/>
          <w:color w:val="595959"/>
          <w:szCs w:val="20"/>
        </w:rPr>
        <w:t xml:space="preserve"> dataset has greatly improved </w:t>
      </w:r>
      <w:r>
        <w:rPr>
          <w:rFonts w:cs="Helvetica"/>
          <w:color w:val="595959"/>
          <w:szCs w:val="20"/>
        </w:rPr>
        <w:t>accuracy</w:t>
      </w:r>
      <w:r w:rsidRPr="006E33C5">
        <w:rPr>
          <w:rFonts w:cs="Helvetica"/>
          <w:color w:val="595959"/>
          <w:szCs w:val="20"/>
        </w:rPr>
        <w:t xml:space="preserve"> for energy input (fuel combustion and electricity consumption/power mix) and anode consumption</w:t>
      </w:r>
      <w:r w:rsidRPr="000D0304">
        <w:rPr>
          <w:rFonts w:cs="Helvetica"/>
          <w:color w:val="595959"/>
          <w:szCs w:val="20"/>
        </w:rPr>
        <w:t>;</w:t>
      </w:r>
    </w:p>
    <w:p w14:paraId="34871E2E" w14:textId="77777777" w:rsidR="001B1834" w:rsidRPr="000D0304" w:rsidRDefault="001B1834" w:rsidP="001B1834">
      <w:pPr>
        <w:pStyle w:val="ListParagraph"/>
        <w:numPr>
          <w:ilvl w:val="0"/>
          <w:numId w:val="10"/>
        </w:numPr>
        <w:spacing w:after="0" w:line="312" w:lineRule="auto"/>
        <w:ind w:left="714" w:hanging="357"/>
        <w:jc w:val="both"/>
        <w:rPr>
          <w:rFonts w:cs="Helvetica"/>
          <w:color w:val="595959"/>
          <w:szCs w:val="20"/>
        </w:rPr>
      </w:pPr>
      <w:r>
        <w:rPr>
          <w:rFonts w:cs="Helvetica"/>
          <w:color w:val="595959"/>
          <w:szCs w:val="20"/>
        </w:rPr>
        <w:t xml:space="preserve">Inclusion </w:t>
      </w:r>
      <w:r w:rsidRPr="00860D66">
        <w:rPr>
          <w:rFonts w:cs="Helvetica"/>
          <w:color w:val="595959"/>
          <w:szCs w:val="20"/>
        </w:rPr>
        <w:t>of reporting site</w:t>
      </w:r>
      <w:r w:rsidRPr="00085D52" w:rsidDel="00705461">
        <w:rPr>
          <w:rFonts w:cs="Helvetica"/>
          <w:color w:val="595959"/>
          <w:szCs w:val="20"/>
        </w:rPr>
        <w:t xml:space="preserve"> </w:t>
      </w:r>
      <w:proofErr w:type="spellStart"/>
      <w:r w:rsidRPr="000D0304">
        <w:rPr>
          <w:rFonts w:cs="Helvetica"/>
          <w:color w:val="595959"/>
          <w:szCs w:val="20"/>
        </w:rPr>
        <w:t>casthouse</w:t>
      </w:r>
      <w:proofErr w:type="spellEnd"/>
      <w:r w:rsidRPr="000D0304">
        <w:rPr>
          <w:rFonts w:cs="Helvetica"/>
          <w:color w:val="595959"/>
          <w:szCs w:val="20"/>
        </w:rPr>
        <w:t xml:space="preserve"> mix</w:t>
      </w:r>
      <w:r>
        <w:rPr>
          <w:rFonts w:cs="Helvetica"/>
          <w:color w:val="595959"/>
          <w:szCs w:val="20"/>
        </w:rPr>
        <w:t xml:space="preserve"> data (input and output)</w:t>
      </w:r>
      <w:r w:rsidRPr="000D0304">
        <w:rPr>
          <w:rFonts w:cs="Helvetica"/>
          <w:color w:val="595959"/>
          <w:szCs w:val="20"/>
        </w:rPr>
        <w:t>;</w:t>
      </w:r>
    </w:p>
    <w:p w14:paraId="3E9D94D1" w14:textId="77777777" w:rsidR="001B1834" w:rsidRPr="000D0304" w:rsidRDefault="001B1834" w:rsidP="001B1834">
      <w:pPr>
        <w:pStyle w:val="ListParagraph"/>
        <w:numPr>
          <w:ilvl w:val="0"/>
          <w:numId w:val="10"/>
        </w:numPr>
        <w:spacing w:after="0" w:line="312" w:lineRule="auto"/>
        <w:ind w:left="714" w:hanging="357"/>
        <w:jc w:val="both"/>
        <w:rPr>
          <w:rFonts w:cs="Helvetica"/>
          <w:color w:val="595959"/>
          <w:szCs w:val="20"/>
        </w:rPr>
      </w:pPr>
      <w:r>
        <w:rPr>
          <w:rFonts w:cs="Helvetica"/>
          <w:color w:val="595959"/>
          <w:szCs w:val="20"/>
        </w:rPr>
        <w:t>D</w:t>
      </w:r>
      <w:r w:rsidRPr="000D0304">
        <w:rPr>
          <w:rFonts w:cs="Helvetica"/>
          <w:color w:val="595959"/>
          <w:szCs w:val="20"/>
        </w:rPr>
        <w:t>istinction between input and output flows for metallurgical alumina production and chemical alumina production from refineries that produce both types of alumina</w:t>
      </w:r>
      <w:r>
        <w:rPr>
          <w:rFonts w:cs="Helvetica"/>
          <w:color w:val="595959"/>
          <w:szCs w:val="20"/>
        </w:rPr>
        <w:t>.</w:t>
      </w:r>
    </w:p>
    <w:p w14:paraId="3E62E20E" w14:textId="77777777" w:rsidR="001B1834" w:rsidRDefault="001B1834" w:rsidP="001B1834">
      <w:pPr>
        <w:spacing w:after="0"/>
        <w:rPr>
          <w:rFonts w:cs="Helvetica"/>
          <w:color w:val="595959"/>
          <w:szCs w:val="20"/>
        </w:rPr>
      </w:pPr>
    </w:p>
    <w:p w14:paraId="7286FB8A" w14:textId="027984A5" w:rsidR="001B1834" w:rsidRDefault="001B1834" w:rsidP="001B1834">
      <w:pPr>
        <w:spacing w:after="0" w:line="312" w:lineRule="auto"/>
        <w:jc w:val="both"/>
        <w:rPr>
          <w:rFonts w:cs="Helvetica"/>
          <w:color w:val="595959"/>
          <w:szCs w:val="20"/>
        </w:rPr>
      </w:pPr>
      <w:r>
        <w:rPr>
          <w:rFonts w:cs="Helvetica"/>
          <w:color w:val="595959"/>
          <w:szCs w:val="20"/>
        </w:rPr>
        <w:t>As in previously published LCIs, the quality of reported data varies significantly between survey questions, depending on reporting rates for each.  Reporting rates as a percentage of global or regional production have therefore been included in the data tables (</w:t>
      </w:r>
      <w:r w:rsidRPr="0056661D">
        <w:rPr>
          <w:rFonts w:cs="Helvetica"/>
          <w:color w:val="595959"/>
          <w:szCs w:val="20"/>
        </w:rPr>
        <w:t>in Appendix A</w:t>
      </w:r>
      <w:r>
        <w:rPr>
          <w:rFonts w:cs="Helvetica"/>
          <w:color w:val="595959"/>
          <w:szCs w:val="20"/>
        </w:rPr>
        <w:t>) in order to allow users of the data to evaluate confidence in the results on a data point-by-data point basis.  Reporting rates are generally equal to or better than those published in the 201</w:t>
      </w:r>
      <w:r w:rsidR="00941006">
        <w:rPr>
          <w:rFonts w:cs="Helvetica"/>
          <w:color w:val="595959"/>
          <w:szCs w:val="20"/>
        </w:rPr>
        <w:t>5</w:t>
      </w:r>
      <w:r>
        <w:rPr>
          <w:rFonts w:cs="Helvetica"/>
          <w:color w:val="595959"/>
          <w:szCs w:val="20"/>
        </w:rPr>
        <w:t xml:space="preserve"> LCI, signalling an improvement in the overall quality and representativeness of the 201</w:t>
      </w:r>
      <w:r w:rsidR="0052783B">
        <w:rPr>
          <w:rFonts w:cs="Helvetica"/>
          <w:color w:val="595959"/>
          <w:szCs w:val="20"/>
        </w:rPr>
        <w:t>9</w:t>
      </w:r>
      <w:r>
        <w:rPr>
          <w:rFonts w:cs="Helvetica"/>
          <w:color w:val="595959"/>
          <w:szCs w:val="20"/>
        </w:rPr>
        <w:t xml:space="preserve"> dataset compared to previous years.  </w:t>
      </w:r>
    </w:p>
    <w:p w14:paraId="3F6CCFC6" w14:textId="77777777" w:rsidR="001B1834" w:rsidRDefault="001B1834" w:rsidP="001B1834">
      <w:pPr>
        <w:spacing w:after="0" w:line="312" w:lineRule="auto"/>
        <w:jc w:val="both"/>
        <w:rPr>
          <w:rFonts w:cs="Helvetica"/>
          <w:color w:val="595959"/>
          <w:szCs w:val="20"/>
        </w:rPr>
      </w:pPr>
    </w:p>
    <w:p w14:paraId="4C6BB579" w14:textId="77777777" w:rsidR="001B1834" w:rsidRDefault="001B1834" w:rsidP="001B1834">
      <w:pPr>
        <w:spacing w:after="0" w:line="312" w:lineRule="auto"/>
        <w:jc w:val="both"/>
        <w:rPr>
          <w:rFonts w:cs="Helvetica"/>
          <w:color w:val="595959"/>
          <w:szCs w:val="20"/>
        </w:rPr>
      </w:pPr>
      <w:r>
        <w:rPr>
          <w:rFonts w:cs="Helvetica"/>
          <w:color w:val="595959"/>
          <w:szCs w:val="20"/>
        </w:rPr>
        <w:t xml:space="preserve">Significant differences in </w:t>
      </w:r>
      <w:r w:rsidRPr="00283BA1">
        <w:rPr>
          <w:rFonts w:cs="Helvetica"/>
          <w:color w:val="595959"/>
          <w:szCs w:val="20"/>
        </w:rPr>
        <w:t>aluminium</w:t>
      </w:r>
      <w:r>
        <w:rPr>
          <w:rFonts w:cs="Helvetica"/>
          <w:color w:val="595959"/>
          <w:szCs w:val="20"/>
        </w:rPr>
        <w:t xml:space="preserve"> industry smelting process</w:t>
      </w:r>
      <w:r w:rsidRPr="00283BA1">
        <w:rPr>
          <w:rFonts w:cs="Helvetica"/>
          <w:color w:val="595959"/>
          <w:szCs w:val="20"/>
        </w:rPr>
        <w:t xml:space="preserve"> </w:t>
      </w:r>
      <w:r>
        <w:rPr>
          <w:rFonts w:cs="Helvetica"/>
          <w:color w:val="595959"/>
          <w:szCs w:val="20"/>
        </w:rPr>
        <w:t>i</w:t>
      </w:r>
      <w:r w:rsidRPr="00283BA1">
        <w:rPr>
          <w:rFonts w:cs="Helvetica"/>
          <w:color w:val="595959"/>
          <w:szCs w:val="20"/>
        </w:rPr>
        <w:t xml:space="preserve">nput-output data tend to be a function of technology in use </w:t>
      </w:r>
      <w:r>
        <w:rPr>
          <w:rFonts w:cs="Helvetica"/>
          <w:color w:val="595959"/>
          <w:szCs w:val="20"/>
        </w:rPr>
        <w:t xml:space="preserve">rather </w:t>
      </w:r>
      <w:r w:rsidRPr="00283BA1">
        <w:rPr>
          <w:rFonts w:cs="Helvetica"/>
          <w:color w:val="595959"/>
          <w:szCs w:val="20"/>
        </w:rPr>
        <w:t>than location</w:t>
      </w:r>
      <w:r>
        <w:rPr>
          <w:rFonts w:cs="Helvetica"/>
          <w:color w:val="595959"/>
          <w:szCs w:val="20"/>
        </w:rPr>
        <w:t>.  A</w:t>
      </w:r>
      <w:r w:rsidRPr="006E33C5">
        <w:rPr>
          <w:rFonts w:cs="Helvetica"/>
          <w:color w:val="595959"/>
          <w:szCs w:val="20"/>
        </w:rPr>
        <w:t>lthough Chinese LCI data is lacking for a number of inventory flows</w:t>
      </w:r>
      <w:r>
        <w:rPr>
          <w:rFonts w:cs="Helvetica"/>
          <w:color w:val="595959"/>
          <w:szCs w:val="20"/>
        </w:rPr>
        <w:t>,</w:t>
      </w:r>
      <w:r w:rsidRPr="00283BA1">
        <w:rPr>
          <w:rFonts w:cs="Helvetica"/>
          <w:color w:val="595959"/>
          <w:szCs w:val="20"/>
        </w:rPr>
        <w:t xml:space="preserve"> China employs 100% point fed prebake smelters and its alumina </w:t>
      </w:r>
      <w:r>
        <w:rPr>
          <w:rFonts w:cs="Helvetica"/>
          <w:color w:val="595959"/>
          <w:szCs w:val="20"/>
        </w:rPr>
        <w:t xml:space="preserve">production </w:t>
      </w:r>
      <w:r w:rsidRPr="00283BA1">
        <w:rPr>
          <w:rFonts w:cs="Helvetica"/>
          <w:color w:val="595959"/>
          <w:szCs w:val="20"/>
        </w:rPr>
        <w:t xml:space="preserve">technology is </w:t>
      </w:r>
      <w:r>
        <w:rPr>
          <w:rFonts w:cs="Helvetica"/>
          <w:color w:val="595959"/>
          <w:szCs w:val="20"/>
        </w:rPr>
        <w:t xml:space="preserve">considered to be </w:t>
      </w:r>
      <w:r w:rsidRPr="00283BA1">
        <w:rPr>
          <w:rFonts w:cs="Helvetica"/>
          <w:color w:val="595959"/>
          <w:szCs w:val="20"/>
        </w:rPr>
        <w:t>relatively similar to the rest of the world</w:t>
      </w:r>
      <w:r>
        <w:rPr>
          <w:rFonts w:cs="Helvetica"/>
          <w:color w:val="595959"/>
          <w:szCs w:val="20"/>
        </w:rPr>
        <w:t>, and so global averages of non-energy input-outputs can be assumed to approximate</w:t>
      </w:r>
      <w:r w:rsidRPr="00283BA1">
        <w:rPr>
          <w:rFonts w:cs="Helvetica"/>
          <w:color w:val="595959"/>
          <w:szCs w:val="20"/>
        </w:rPr>
        <w:t xml:space="preserve"> reasonabl</w:t>
      </w:r>
      <w:r>
        <w:rPr>
          <w:rFonts w:cs="Helvetica"/>
          <w:color w:val="595959"/>
          <w:szCs w:val="20"/>
        </w:rPr>
        <w:t>y</w:t>
      </w:r>
      <w:r w:rsidRPr="00283BA1">
        <w:rPr>
          <w:rFonts w:cs="Helvetica"/>
          <w:color w:val="595959"/>
          <w:szCs w:val="20"/>
        </w:rPr>
        <w:t xml:space="preserve"> the Chinese industry’s</w:t>
      </w:r>
      <w:r>
        <w:rPr>
          <w:rFonts w:cs="Helvetica"/>
          <w:color w:val="595959"/>
          <w:szCs w:val="20"/>
        </w:rPr>
        <w:t xml:space="preserve"> performance.  </w:t>
      </w:r>
    </w:p>
    <w:p w14:paraId="5B1DB4ED" w14:textId="77777777" w:rsidR="001B1834" w:rsidRPr="00283BA1" w:rsidRDefault="001B1834" w:rsidP="001B1834">
      <w:pPr>
        <w:spacing w:after="0" w:line="312" w:lineRule="auto"/>
        <w:jc w:val="both"/>
        <w:rPr>
          <w:rFonts w:cs="Helvetica"/>
          <w:color w:val="595959"/>
          <w:szCs w:val="20"/>
        </w:rPr>
      </w:pPr>
    </w:p>
    <w:p w14:paraId="1DB2DD5D" w14:textId="77777777" w:rsidR="001B1834" w:rsidRPr="00283BA1" w:rsidRDefault="001B1834" w:rsidP="001B1834">
      <w:pPr>
        <w:spacing w:after="0" w:line="312" w:lineRule="auto"/>
        <w:jc w:val="both"/>
        <w:rPr>
          <w:rFonts w:cs="Helvetica"/>
          <w:color w:val="595959"/>
          <w:szCs w:val="20"/>
        </w:rPr>
      </w:pPr>
      <w:r>
        <w:rPr>
          <w:rFonts w:cs="Helvetica"/>
          <w:color w:val="595959"/>
          <w:szCs w:val="20"/>
        </w:rPr>
        <w:t xml:space="preserve">As observed in previous publications, power mix is the most significant influence on primary aluminium environmental impacts and, as such, </w:t>
      </w:r>
      <w:r w:rsidRPr="00283BA1">
        <w:rPr>
          <w:rFonts w:cs="Helvetica"/>
          <w:color w:val="595959"/>
          <w:szCs w:val="20"/>
        </w:rPr>
        <w:t xml:space="preserve">users of this inventory data should ensure that they utilise aluminium industry specific power mix data </w:t>
      </w:r>
      <w:r>
        <w:rPr>
          <w:rFonts w:cs="Helvetica"/>
          <w:color w:val="595959"/>
          <w:szCs w:val="20"/>
        </w:rPr>
        <w:t xml:space="preserve">where possible. </w:t>
      </w:r>
    </w:p>
    <w:p w14:paraId="614193B9" w14:textId="431B5DD8" w:rsidR="00C22FEE" w:rsidRPr="004A3398" w:rsidRDefault="00C22FEE" w:rsidP="004A3398">
      <w:pPr>
        <w:spacing w:after="0" w:line="312" w:lineRule="auto"/>
        <w:jc w:val="both"/>
        <w:rPr>
          <w:rFonts w:cs="Helvetica"/>
          <w:color w:val="595959"/>
          <w:sz w:val="22"/>
          <w:szCs w:val="22"/>
        </w:rPr>
      </w:pPr>
      <w:r>
        <w:rPr>
          <w:rFonts w:cs="Helvetica"/>
          <w:color w:val="595959"/>
          <w:sz w:val="22"/>
          <w:szCs w:val="22"/>
        </w:rPr>
        <w:br w:type="page"/>
      </w:r>
    </w:p>
    <w:p w14:paraId="3FBA0271" w14:textId="77777777" w:rsidR="00337965" w:rsidRPr="000D0304" w:rsidRDefault="006D76FD" w:rsidP="000D0304">
      <w:pPr>
        <w:pStyle w:val="Heading1"/>
      </w:pPr>
      <w:bookmarkStart w:id="137" w:name="_Toc120111939"/>
      <w:r w:rsidRPr="000D0304">
        <w:lastRenderedPageBreak/>
        <w:t xml:space="preserve">Life Cycle Impact </w:t>
      </w:r>
      <w:r w:rsidR="00117712" w:rsidRPr="000D0304">
        <w:t>Assessment (</w:t>
      </w:r>
      <w:r w:rsidRPr="000D0304">
        <w:t>LCIA)</w:t>
      </w:r>
      <w:bookmarkEnd w:id="137"/>
    </w:p>
    <w:p w14:paraId="5DFC7FAB" w14:textId="307EBCEE" w:rsidR="006D76FD" w:rsidRPr="000D0304" w:rsidRDefault="00634F72" w:rsidP="00DA5301">
      <w:pPr>
        <w:pStyle w:val="Heading2"/>
        <w:numPr>
          <w:ilvl w:val="1"/>
          <w:numId w:val="58"/>
        </w:numPr>
      </w:pPr>
      <w:bookmarkStart w:id="138" w:name="_Toc120111940"/>
      <w:r>
        <w:t>Introduction</w:t>
      </w:r>
      <w:bookmarkEnd w:id="138"/>
      <w:r w:rsidR="006D76FD" w:rsidRPr="000D0304">
        <w:t xml:space="preserve"> </w:t>
      </w:r>
    </w:p>
    <w:p w14:paraId="3ABA9C10" w14:textId="12CCE307" w:rsidR="000E53BB" w:rsidRPr="000D0304" w:rsidRDefault="00337965" w:rsidP="009E11C8">
      <w:pPr>
        <w:autoSpaceDE w:val="0"/>
        <w:autoSpaceDN w:val="0"/>
        <w:adjustRightInd w:val="0"/>
        <w:spacing w:after="0" w:line="312" w:lineRule="auto"/>
        <w:jc w:val="both"/>
        <w:rPr>
          <w:rFonts w:cs="Helvetica"/>
          <w:color w:val="595959"/>
          <w:szCs w:val="20"/>
          <w:lang w:eastAsia="en-GB"/>
        </w:rPr>
      </w:pPr>
      <w:r w:rsidRPr="000D0304">
        <w:rPr>
          <w:rFonts w:cs="Helvetica"/>
          <w:color w:val="595959"/>
          <w:szCs w:val="20"/>
          <w:lang w:eastAsia="en-GB"/>
        </w:rPr>
        <w:t xml:space="preserve">The Life Cycle Impact Assessment (LCIA) phase is to evaluate potential impacts </w:t>
      </w:r>
      <w:r w:rsidR="00564105">
        <w:rPr>
          <w:rFonts w:cs="Helvetica"/>
          <w:color w:val="595959"/>
          <w:szCs w:val="20"/>
          <w:lang w:eastAsia="en-GB"/>
        </w:rPr>
        <w:t xml:space="preserve">on ecosystems, humans and </w:t>
      </w:r>
      <w:proofErr w:type="spellStart"/>
      <w:r w:rsidR="00564105">
        <w:rPr>
          <w:rFonts w:cs="Helvetica"/>
          <w:color w:val="595959"/>
          <w:szCs w:val="20"/>
          <w:lang w:eastAsia="en-GB"/>
        </w:rPr>
        <w:t>aboiotic</w:t>
      </w:r>
      <w:proofErr w:type="spellEnd"/>
      <w:r w:rsidR="00564105" w:rsidRPr="000D0304">
        <w:rPr>
          <w:rFonts w:cs="Helvetica"/>
          <w:color w:val="595959"/>
          <w:szCs w:val="20"/>
          <w:lang w:eastAsia="en-GB"/>
        </w:rPr>
        <w:t xml:space="preserve"> </w:t>
      </w:r>
      <w:r w:rsidRPr="000D0304">
        <w:rPr>
          <w:rFonts w:cs="Helvetica"/>
          <w:color w:val="595959"/>
          <w:szCs w:val="20"/>
          <w:lang w:eastAsia="en-GB"/>
        </w:rPr>
        <w:t>resource</w:t>
      </w:r>
      <w:r w:rsidR="00564105">
        <w:rPr>
          <w:rFonts w:cs="Helvetica"/>
          <w:color w:val="595959"/>
          <w:szCs w:val="20"/>
          <w:lang w:eastAsia="en-GB"/>
        </w:rPr>
        <w:t>s</w:t>
      </w:r>
      <w:r w:rsidRPr="000D0304">
        <w:rPr>
          <w:rFonts w:cs="Helvetica"/>
          <w:color w:val="595959"/>
          <w:szCs w:val="20"/>
          <w:lang w:eastAsia="en-GB"/>
        </w:rPr>
        <w:t xml:space="preserve"> by an industrial process or processes, identified during the Life Cycle Inventory</w:t>
      </w:r>
      <w:r w:rsidR="000918EE">
        <w:rPr>
          <w:rFonts w:cs="Helvetica"/>
          <w:color w:val="595959"/>
          <w:szCs w:val="20"/>
          <w:lang w:eastAsia="en-GB"/>
        </w:rPr>
        <w:t xml:space="preserve"> phase</w:t>
      </w:r>
      <w:r w:rsidR="009831A3">
        <w:rPr>
          <w:rFonts w:cs="Helvetica"/>
          <w:color w:val="595959"/>
          <w:szCs w:val="20"/>
          <w:lang w:eastAsia="en-GB"/>
        </w:rPr>
        <w:t xml:space="preserve">.  </w:t>
      </w:r>
    </w:p>
    <w:p w14:paraId="2401DC98" w14:textId="77777777" w:rsidR="000E53BB" w:rsidRPr="000D0304" w:rsidRDefault="000E53BB" w:rsidP="009E11C8">
      <w:pPr>
        <w:autoSpaceDE w:val="0"/>
        <w:autoSpaceDN w:val="0"/>
        <w:adjustRightInd w:val="0"/>
        <w:spacing w:after="0" w:line="312" w:lineRule="auto"/>
        <w:jc w:val="both"/>
        <w:rPr>
          <w:rFonts w:cs="Helvetica"/>
          <w:color w:val="595959"/>
          <w:szCs w:val="20"/>
          <w:lang w:eastAsia="en-GB"/>
        </w:rPr>
      </w:pPr>
    </w:p>
    <w:p w14:paraId="76787155" w14:textId="77777777" w:rsidR="00A63CC8" w:rsidRDefault="00337965" w:rsidP="009E11C8">
      <w:pPr>
        <w:autoSpaceDE w:val="0"/>
        <w:autoSpaceDN w:val="0"/>
        <w:adjustRightInd w:val="0"/>
        <w:spacing w:after="0" w:line="312" w:lineRule="auto"/>
        <w:jc w:val="both"/>
        <w:rPr>
          <w:rFonts w:cs="Helvetica"/>
          <w:color w:val="595959"/>
          <w:szCs w:val="20"/>
          <w:lang w:eastAsia="en-GB"/>
        </w:rPr>
      </w:pPr>
      <w:r w:rsidRPr="000D0304">
        <w:rPr>
          <w:rFonts w:cs="Helvetica"/>
          <w:color w:val="595959"/>
          <w:szCs w:val="20"/>
          <w:lang w:eastAsia="en-GB"/>
        </w:rPr>
        <w:t xml:space="preserve">The </w:t>
      </w:r>
      <w:r w:rsidRPr="000D0304">
        <w:rPr>
          <w:rFonts w:cs="Helvetica"/>
          <w:b/>
          <w:color w:val="595959"/>
          <w:szCs w:val="20"/>
          <w:lang w:eastAsia="en-GB"/>
        </w:rPr>
        <w:t>system boundary</w:t>
      </w:r>
      <w:r w:rsidRPr="000D0304">
        <w:rPr>
          <w:rFonts w:cs="Helvetica"/>
          <w:color w:val="595959"/>
          <w:szCs w:val="20"/>
          <w:lang w:eastAsia="en-GB"/>
        </w:rPr>
        <w:t xml:space="preserve"> for t</w:t>
      </w:r>
      <w:r w:rsidR="000918EE">
        <w:rPr>
          <w:rFonts w:cs="Helvetica"/>
          <w:color w:val="595959"/>
          <w:szCs w:val="20"/>
          <w:lang w:eastAsia="en-GB"/>
        </w:rPr>
        <w:t>his</w:t>
      </w:r>
      <w:r w:rsidRPr="000D0304">
        <w:rPr>
          <w:rFonts w:cs="Helvetica"/>
          <w:color w:val="595959"/>
          <w:szCs w:val="20"/>
          <w:lang w:eastAsia="en-GB"/>
        </w:rPr>
        <w:t xml:space="preserve"> </w:t>
      </w:r>
      <w:r w:rsidR="000918EE">
        <w:rPr>
          <w:rFonts w:cs="Helvetica"/>
          <w:color w:val="595959"/>
          <w:szCs w:val="20"/>
          <w:lang w:eastAsia="en-GB"/>
        </w:rPr>
        <w:t xml:space="preserve">primary aluminium </w:t>
      </w:r>
      <w:r w:rsidRPr="000D0304">
        <w:rPr>
          <w:rFonts w:cs="Helvetica"/>
          <w:color w:val="595959"/>
          <w:szCs w:val="20"/>
          <w:lang w:eastAsia="en-GB"/>
        </w:rPr>
        <w:t xml:space="preserve">LCIA has been expanded from the LCI in the previous chapter to include environmental impacts of background processes, such as electricity </w:t>
      </w:r>
      <w:r w:rsidR="000E53BB" w:rsidRPr="000D0304">
        <w:rPr>
          <w:rFonts w:cs="Helvetica"/>
          <w:color w:val="595959"/>
          <w:szCs w:val="20"/>
          <w:lang w:eastAsia="en-GB"/>
        </w:rPr>
        <w:t xml:space="preserve">generation </w:t>
      </w:r>
      <w:r w:rsidRPr="000D0304">
        <w:rPr>
          <w:rFonts w:cs="Helvetica"/>
          <w:color w:val="595959"/>
          <w:szCs w:val="20"/>
          <w:lang w:eastAsia="en-GB"/>
        </w:rPr>
        <w:t>and ancillary materials production</w:t>
      </w:r>
      <w:r w:rsidR="000918EE">
        <w:rPr>
          <w:rFonts w:cs="Helvetica"/>
          <w:color w:val="595959"/>
          <w:szCs w:val="20"/>
          <w:lang w:eastAsia="en-GB"/>
        </w:rPr>
        <w:t>, making it a cradle-to-gate assessment</w:t>
      </w:r>
      <w:r w:rsidR="009831A3">
        <w:rPr>
          <w:rFonts w:cs="Helvetica"/>
          <w:color w:val="595959"/>
          <w:szCs w:val="20"/>
          <w:lang w:eastAsia="en-GB"/>
        </w:rPr>
        <w:t xml:space="preserve">.  </w:t>
      </w:r>
    </w:p>
    <w:p w14:paraId="05A0B9FA" w14:textId="77777777" w:rsidR="00A63CC8" w:rsidRDefault="00A63CC8" w:rsidP="009E11C8">
      <w:pPr>
        <w:autoSpaceDE w:val="0"/>
        <w:autoSpaceDN w:val="0"/>
        <w:adjustRightInd w:val="0"/>
        <w:spacing w:after="0" w:line="312" w:lineRule="auto"/>
        <w:jc w:val="both"/>
        <w:rPr>
          <w:rFonts w:cs="Helvetica"/>
          <w:color w:val="595959"/>
          <w:szCs w:val="20"/>
          <w:lang w:eastAsia="en-GB"/>
        </w:rPr>
      </w:pPr>
    </w:p>
    <w:p w14:paraId="020B551C" w14:textId="226B3BBD" w:rsidR="00337965" w:rsidRPr="000D0304" w:rsidRDefault="004978B2" w:rsidP="009E11C8">
      <w:pPr>
        <w:autoSpaceDE w:val="0"/>
        <w:autoSpaceDN w:val="0"/>
        <w:adjustRightInd w:val="0"/>
        <w:spacing w:after="0" w:line="312" w:lineRule="auto"/>
        <w:jc w:val="both"/>
        <w:rPr>
          <w:rFonts w:cs="Helvetica"/>
          <w:color w:val="595959"/>
          <w:szCs w:val="20"/>
          <w:lang w:eastAsia="en-GB"/>
        </w:rPr>
      </w:pPr>
      <w:r>
        <w:rPr>
          <w:rFonts w:cs="Helvetica"/>
          <w:color w:val="595959"/>
          <w:szCs w:val="20"/>
          <w:lang w:eastAsia="en-GB"/>
        </w:rPr>
        <w:t>Impact assessment as used in this study should be considered as</w:t>
      </w:r>
      <w:r w:rsidR="000E53BB" w:rsidRPr="000D0304">
        <w:rPr>
          <w:rFonts w:cs="Helvetica"/>
          <w:color w:val="595959"/>
          <w:szCs w:val="20"/>
          <w:lang w:eastAsia="en-GB"/>
        </w:rPr>
        <w:t xml:space="preserve"> an </w:t>
      </w:r>
      <w:r w:rsidR="000E53BB" w:rsidRPr="000D0304">
        <w:rPr>
          <w:rFonts w:cs="Helvetica"/>
          <w:i/>
          <w:color w:val="595959"/>
          <w:szCs w:val="20"/>
          <w:lang w:eastAsia="en-GB"/>
        </w:rPr>
        <w:t>example</w:t>
      </w:r>
      <w:r w:rsidR="000E53BB" w:rsidRPr="000D0304">
        <w:rPr>
          <w:rFonts w:cs="Helvetica"/>
          <w:color w:val="595959"/>
          <w:szCs w:val="20"/>
          <w:lang w:eastAsia="en-GB"/>
        </w:rPr>
        <w:t xml:space="preserve"> of how the data generated as part of the inventory phase can be used in life cycle assessments.</w:t>
      </w:r>
      <w:r w:rsidR="00A63CC8">
        <w:rPr>
          <w:rFonts w:cs="Helvetica"/>
          <w:color w:val="595959"/>
          <w:szCs w:val="20"/>
          <w:lang w:eastAsia="en-GB"/>
        </w:rPr>
        <w:t xml:space="preserve"> Life cycle practitioners </w:t>
      </w:r>
      <w:r w:rsidR="00916F44">
        <w:rPr>
          <w:rFonts w:cs="Helvetica"/>
          <w:color w:val="595959"/>
          <w:szCs w:val="20"/>
          <w:lang w:eastAsia="en-GB"/>
        </w:rPr>
        <w:t>may use alternative methods of impact assessment based on</w:t>
      </w:r>
      <w:r w:rsidR="00A63CC8">
        <w:rPr>
          <w:rFonts w:cs="Helvetica"/>
          <w:color w:val="595959"/>
          <w:szCs w:val="20"/>
          <w:lang w:eastAsia="en-GB"/>
        </w:rPr>
        <w:t xml:space="preserve"> the inventory data </w:t>
      </w:r>
      <w:r w:rsidR="00E740BB">
        <w:rPr>
          <w:rFonts w:cs="Helvetica"/>
          <w:color w:val="595959"/>
          <w:szCs w:val="20"/>
          <w:lang w:eastAsia="en-GB"/>
        </w:rPr>
        <w:t>i</w:t>
      </w:r>
      <w:r w:rsidR="00A63CC8">
        <w:rPr>
          <w:rFonts w:cs="Helvetica"/>
          <w:color w:val="595959"/>
          <w:szCs w:val="20"/>
          <w:lang w:eastAsia="en-GB"/>
        </w:rPr>
        <w:t xml:space="preserve">n Chapter 2 (or </w:t>
      </w:r>
      <w:r w:rsidR="00E740BB">
        <w:rPr>
          <w:rFonts w:cs="Helvetica"/>
          <w:color w:val="595959"/>
          <w:szCs w:val="20"/>
          <w:lang w:eastAsia="en-GB"/>
        </w:rPr>
        <w:t xml:space="preserve">specific </w:t>
      </w:r>
      <w:r w:rsidR="00A63CC8">
        <w:rPr>
          <w:rFonts w:cs="Helvetica"/>
          <w:color w:val="595959"/>
          <w:szCs w:val="20"/>
          <w:lang w:eastAsia="en-GB"/>
        </w:rPr>
        <w:t xml:space="preserve">supply chain data if available) to conduct their own specific life cycle assessments. </w:t>
      </w:r>
    </w:p>
    <w:p w14:paraId="07CCC9E0" w14:textId="77777777" w:rsidR="0081783E" w:rsidRPr="000D0304" w:rsidRDefault="0081783E" w:rsidP="000D0304">
      <w:pPr>
        <w:autoSpaceDE w:val="0"/>
        <w:autoSpaceDN w:val="0"/>
        <w:adjustRightInd w:val="0"/>
        <w:spacing w:after="0" w:line="312" w:lineRule="auto"/>
        <w:jc w:val="both"/>
        <w:rPr>
          <w:rFonts w:cs="Helvetica"/>
          <w:color w:val="595959"/>
          <w:szCs w:val="20"/>
          <w:lang w:eastAsia="en-GB"/>
        </w:rPr>
      </w:pPr>
    </w:p>
    <w:p w14:paraId="56693A6B" w14:textId="77777777" w:rsidR="0081783E" w:rsidRPr="000D0304" w:rsidRDefault="000E53BB" w:rsidP="009E11C8">
      <w:pPr>
        <w:autoSpaceDE w:val="0"/>
        <w:autoSpaceDN w:val="0"/>
        <w:adjustRightInd w:val="0"/>
        <w:spacing w:after="0" w:line="312" w:lineRule="auto"/>
        <w:jc w:val="both"/>
        <w:rPr>
          <w:rFonts w:cs="Helvetica"/>
          <w:color w:val="595959"/>
          <w:szCs w:val="20"/>
          <w:lang w:eastAsia="en-GB"/>
        </w:rPr>
      </w:pPr>
      <w:r w:rsidRPr="000D0304">
        <w:rPr>
          <w:rFonts w:cs="Helvetica"/>
          <w:color w:val="595959"/>
          <w:szCs w:val="20"/>
          <w:lang w:eastAsia="en-GB"/>
        </w:rPr>
        <w:t>Th</w:t>
      </w:r>
      <w:r w:rsidR="0081783E" w:rsidRPr="000D0304">
        <w:rPr>
          <w:rFonts w:cs="Helvetica"/>
          <w:color w:val="595959"/>
          <w:szCs w:val="20"/>
          <w:lang w:eastAsia="en-GB"/>
        </w:rPr>
        <w:t xml:space="preserve">e </w:t>
      </w:r>
      <w:r w:rsidR="0081783E" w:rsidRPr="000D0304">
        <w:rPr>
          <w:rFonts w:cs="Helvetica"/>
          <w:b/>
          <w:color w:val="595959"/>
          <w:szCs w:val="20"/>
          <w:lang w:eastAsia="en-GB"/>
        </w:rPr>
        <w:t>functional unit</w:t>
      </w:r>
      <w:r w:rsidRPr="000D0304">
        <w:rPr>
          <w:rFonts w:cs="Helvetica"/>
          <w:color w:val="595959"/>
          <w:szCs w:val="20"/>
          <w:lang w:eastAsia="en-GB"/>
        </w:rPr>
        <w:t xml:space="preserve"> for this impact assessment is </w:t>
      </w:r>
      <w:r w:rsidRPr="000D0304">
        <w:rPr>
          <w:rFonts w:cs="Helvetica"/>
          <w:color w:val="595959"/>
          <w:szCs w:val="20"/>
          <w:u w:val="single"/>
          <w:lang w:eastAsia="en-GB"/>
        </w:rPr>
        <w:t>1 tonne</w:t>
      </w:r>
      <w:r w:rsidR="0081783E" w:rsidRPr="000D0304">
        <w:rPr>
          <w:rFonts w:cs="Helvetica"/>
          <w:color w:val="595959"/>
          <w:szCs w:val="20"/>
          <w:u w:val="single"/>
          <w:lang w:eastAsia="en-GB"/>
        </w:rPr>
        <w:t xml:space="preserve"> of primary aluminium ingot</w:t>
      </w:r>
      <w:r w:rsidR="0081783E" w:rsidRPr="000D0304">
        <w:rPr>
          <w:rFonts w:cs="Helvetica"/>
          <w:color w:val="595959"/>
          <w:szCs w:val="20"/>
          <w:lang w:eastAsia="en-GB"/>
        </w:rPr>
        <w:t xml:space="preserve"> at the factory gate</w:t>
      </w:r>
      <w:r w:rsidR="009831A3">
        <w:rPr>
          <w:rFonts w:cs="Helvetica"/>
          <w:color w:val="595959"/>
          <w:szCs w:val="20"/>
          <w:lang w:eastAsia="en-GB"/>
        </w:rPr>
        <w:t xml:space="preserve">.  </w:t>
      </w:r>
      <w:r w:rsidR="003461C4" w:rsidRPr="000D0304">
        <w:rPr>
          <w:rFonts w:cs="Helvetica"/>
          <w:color w:val="595959"/>
          <w:szCs w:val="20"/>
          <w:lang w:eastAsia="en-GB"/>
        </w:rPr>
        <w:t>A</w:t>
      </w:r>
      <w:r w:rsidR="0081783E" w:rsidRPr="000D0304">
        <w:rPr>
          <w:rFonts w:cs="Helvetica"/>
          <w:color w:val="595959"/>
          <w:szCs w:val="20"/>
          <w:lang w:eastAsia="en-GB"/>
        </w:rPr>
        <w:t>ll results are provided per t</w:t>
      </w:r>
      <w:r w:rsidR="00F70A00" w:rsidRPr="000D0304">
        <w:rPr>
          <w:rFonts w:cs="Helvetica"/>
          <w:color w:val="595959"/>
          <w:szCs w:val="20"/>
          <w:lang w:eastAsia="en-GB"/>
        </w:rPr>
        <w:t>onne of primary a</w:t>
      </w:r>
      <w:r w:rsidR="0081783E" w:rsidRPr="000D0304">
        <w:rPr>
          <w:rFonts w:cs="Helvetica"/>
          <w:color w:val="595959"/>
          <w:szCs w:val="20"/>
          <w:lang w:eastAsia="en-GB"/>
        </w:rPr>
        <w:t>l</w:t>
      </w:r>
      <w:r w:rsidR="00F70A00" w:rsidRPr="000D0304">
        <w:rPr>
          <w:rFonts w:cs="Helvetica"/>
          <w:color w:val="595959"/>
          <w:szCs w:val="20"/>
          <w:lang w:eastAsia="en-GB"/>
        </w:rPr>
        <w:t>uminium ingot</w:t>
      </w:r>
      <w:r w:rsidR="0081783E" w:rsidRPr="000D0304">
        <w:rPr>
          <w:rFonts w:cs="Helvetica"/>
          <w:color w:val="595959"/>
          <w:szCs w:val="20"/>
          <w:lang w:eastAsia="en-GB"/>
        </w:rPr>
        <w:t>.</w:t>
      </w:r>
    </w:p>
    <w:p w14:paraId="1DF2F381" w14:textId="77777777" w:rsidR="00337965" w:rsidRPr="001A5B9F" w:rsidRDefault="00337965" w:rsidP="00FE6088">
      <w:pPr>
        <w:spacing w:after="0" w:line="312" w:lineRule="auto"/>
        <w:contextualSpacing/>
        <w:jc w:val="both"/>
        <w:rPr>
          <w:rFonts w:cs="Helvetica"/>
          <w:color w:val="595959"/>
          <w:szCs w:val="22"/>
        </w:rPr>
      </w:pPr>
    </w:p>
    <w:p w14:paraId="0C7461DA" w14:textId="16B0E614" w:rsidR="00F70A00" w:rsidRDefault="00513370" w:rsidP="009E11C8">
      <w:pPr>
        <w:autoSpaceDE w:val="0"/>
        <w:autoSpaceDN w:val="0"/>
        <w:adjustRightInd w:val="0"/>
        <w:spacing w:after="0" w:line="312" w:lineRule="auto"/>
        <w:jc w:val="both"/>
        <w:rPr>
          <w:rFonts w:cs="Helvetica"/>
          <w:color w:val="595959"/>
          <w:szCs w:val="20"/>
          <w:lang w:eastAsia="en-GB"/>
        </w:rPr>
      </w:pPr>
      <w:r w:rsidRPr="000D0304">
        <w:rPr>
          <w:rFonts w:cs="Helvetica"/>
          <w:color w:val="595959"/>
          <w:szCs w:val="20"/>
          <w:lang w:eastAsia="en-GB"/>
        </w:rPr>
        <w:t xml:space="preserve">The </w:t>
      </w:r>
      <w:r w:rsidRPr="000D0304">
        <w:rPr>
          <w:rFonts w:cs="Helvetica"/>
          <w:b/>
          <w:color w:val="595959"/>
          <w:szCs w:val="20"/>
          <w:lang w:eastAsia="en-GB"/>
        </w:rPr>
        <w:t>geographical scope</w:t>
      </w:r>
      <w:r w:rsidRPr="000D0304">
        <w:rPr>
          <w:rFonts w:cs="Helvetica"/>
          <w:color w:val="595959"/>
          <w:szCs w:val="20"/>
          <w:lang w:eastAsia="en-GB"/>
        </w:rPr>
        <w:t xml:space="preserve"> of this impact assessment is global</w:t>
      </w:r>
      <w:r w:rsidR="000918EE">
        <w:rPr>
          <w:rFonts w:cs="Helvetica"/>
          <w:color w:val="595959"/>
          <w:szCs w:val="20"/>
          <w:lang w:eastAsia="en-GB"/>
        </w:rPr>
        <w:t>,</w:t>
      </w:r>
      <w:r w:rsidRPr="000D0304">
        <w:rPr>
          <w:rFonts w:cs="Helvetica"/>
          <w:color w:val="595959"/>
          <w:szCs w:val="20"/>
          <w:lang w:eastAsia="en-GB"/>
        </w:rPr>
        <w:t xml:space="preserve"> with </w:t>
      </w:r>
      <w:r w:rsidR="00D56A0F" w:rsidRPr="000D0304">
        <w:rPr>
          <w:rFonts w:cs="Helvetica"/>
          <w:color w:val="595959"/>
          <w:szCs w:val="20"/>
          <w:lang w:eastAsia="en-GB"/>
        </w:rPr>
        <w:t>example</w:t>
      </w:r>
      <w:r w:rsidRPr="000D0304">
        <w:rPr>
          <w:rFonts w:cs="Helvetica"/>
          <w:color w:val="595959"/>
          <w:szCs w:val="20"/>
          <w:lang w:eastAsia="en-GB"/>
        </w:rPr>
        <w:t xml:space="preserve"> </w:t>
      </w:r>
      <w:r w:rsidR="00A21584" w:rsidRPr="000D0304">
        <w:rPr>
          <w:rFonts w:cs="Helvetica"/>
          <w:color w:val="595959"/>
          <w:szCs w:val="20"/>
          <w:lang w:eastAsia="en-GB"/>
        </w:rPr>
        <w:t xml:space="preserve">scenarios </w:t>
      </w:r>
      <w:r w:rsidR="000918EE">
        <w:rPr>
          <w:rFonts w:cs="Helvetica"/>
          <w:color w:val="595959"/>
          <w:szCs w:val="20"/>
          <w:lang w:eastAsia="en-GB"/>
        </w:rPr>
        <w:t>illustrating</w:t>
      </w:r>
      <w:r w:rsidR="000918EE" w:rsidRPr="000D0304">
        <w:rPr>
          <w:rFonts w:cs="Helvetica"/>
          <w:color w:val="595959"/>
          <w:szCs w:val="20"/>
          <w:lang w:eastAsia="en-GB"/>
        </w:rPr>
        <w:t xml:space="preserve"> </w:t>
      </w:r>
      <w:r w:rsidR="00A21584" w:rsidRPr="000D0304">
        <w:rPr>
          <w:rFonts w:cs="Helvetica"/>
          <w:color w:val="595959"/>
          <w:szCs w:val="20"/>
          <w:lang w:eastAsia="en-GB"/>
        </w:rPr>
        <w:t xml:space="preserve">the most significant </w:t>
      </w:r>
      <w:r w:rsidR="0085688E">
        <w:rPr>
          <w:rFonts w:cs="Helvetica"/>
          <w:color w:val="595959"/>
          <w:szCs w:val="20"/>
          <w:lang w:eastAsia="en-GB"/>
        </w:rPr>
        <w:t xml:space="preserve">2019 </w:t>
      </w:r>
      <w:r w:rsidR="00A21584" w:rsidRPr="000D0304">
        <w:rPr>
          <w:rFonts w:cs="Helvetica"/>
          <w:color w:val="595959"/>
          <w:szCs w:val="20"/>
          <w:lang w:eastAsia="en-GB"/>
        </w:rPr>
        <w:t xml:space="preserve">inter-regional flows of bauxite to alumina to aluminium, </w:t>
      </w:r>
      <w:r w:rsidRPr="000D0304">
        <w:rPr>
          <w:rFonts w:cs="Helvetica"/>
          <w:color w:val="595959"/>
          <w:szCs w:val="20"/>
          <w:lang w:eastAsia="en-GB"/>
        </w:rPr>
        <w:t>where possible</w:t>
      </w:r>
      <w:r w:rsidR="009831A3">
        <w:rPr>
          <w:rFonts w:cs="Helvetica"/>
          <w:color w:val="595959"/>
          <w:szCs w:val="20"/>
          <w:lang w:eastAsia="en-GB"/>
        </w:rPr>
        <w:t xml:space="preserve">.  </w:t>
      </w:r>
      <w:r w:rsidR="00F70A00" w:rsidRPr="000D0304">
        <w:rPr>
          <w:rFonts w:cs="Helvetica"/>
          <w:color w:val="595959"/>
          <w:szCs w:val="20"/>
          <w:lang w:eastAsia="en-GB"/>
        </w:rPr>
        <w:t>In</w:t>
      </w:r>
      <w:r w:rsidR="007426F2">
        <w:rPr>
          <w:rFonts w:cs="Helvetica"/>
          <w:color w:val="595959"/>
          <w:szCs w:val="20"/>
          <w:lang w:eastAsia="en-GB"/>
        </w:rPr>
        <w:t xml:space="preserve"> </w:t>
      </w:r>
      <w:r w:rsidR="0085688E">
        <w:rPr>
          <w:rFonts w:eastAsia="Cambria" w:cs="Helvetica"/>
          <w:color w:val="595959"/>
          <w:szCs w:val="20"/>
          <w:lang w:eastAsia="en-GB"/>
        </w:rPr>
        <w:t>order to meet</w:t>
      </w:r>
      <w:r w:rsidR="00F70A00" w:rsidRPr="000D0304">
        <w:rPr>
          <w:rFonts w:cs="Helvetica"/>
          <w:color w:val="595959"/>
          <w:szCs w:val="20"/>
          <w:lang w:eastAsia="en-GB"/>
        </w:rPr>
        <w:t xml:space="preserve"> </w:t>
      </w:r>
      <w:r w:rsidR="00C145D8" w:rsidRPr="000D0304">
        <w:rPr>
          <w:rFonts w:cs="Helvetica"/>
          <w:color w:val="595959"/>
          <w:szCs w:val="20"/>
          <w:lang w:eastAsia="en-GB"/>
        </w:rPr>
        <w:t xml:space="preserve">the need for </w:t>
      </w:r>
      <w:r w:rsidR="000E53BB" w:rsidRPr="000D0304">
        <w:rPr>
          <w:rFonts w:cs="Helvetica"/>
          <w:color w:val="595959"/>
          <w:szCs w:val="20"/>
          <w:lang w:eastAsia="en-GB"/>
        </w:rPr>
        <w:t>increasingly specific data</w:t>
      </w:r>
      <w:r w:rsidR="0085688E">
        <w:rPr>
          <w:rFonts w:cs="Helvetica"/>
          <w:color w:val="595959"/>
          <w:szCs w:val="20"/>
          <w:lang w:eastAsia="en-GB"/>
        </w:rPr>
        <w:t>,</w:t>
      </w:r>
      <w:r w:rsidRPr="000D0304">
        <w:rPr>
          <w:rFonts w:cs="Helvetica"/>
          <w:color w:val="595959"/>
          <w:szCs w:val="20"/>
          <w:lang w:eastAsia="en-GB"/>
        </w:rPr>
        <w:t xml:space="preserve"> </w:t>
      </w:r>
      <w:r w:rsidR="0085688E">
        <w:rPr>
          <w:rFonts w:cs="Helvetica"/>
          <w:color w:val="595959"/>
          <w:szCs w:val="20"/>
          <w:lang w:eastAsia="en-GB"/>
        </w:rPr>
        <w:t>IAI’s 2017 Environmental Metrics report</w:t>
      </w:r>
      <w:r w:rsidR="000E53BB" w:rsidRPr="000D0304">
        <w:rPr>
          <w:rFonts w:cs="Helvetica"/>
          <w:color w:val="595959"/>
          <w:szCs w:val="20"/>
          <w:lang w:eastAsia="en-GB"/>
        </w:rPr>
        <w:t xml:space="preserve"> </w:t>
      </w:r>
      <w:r w:rsidR="0085688E">
        <w:rPr>
          <w:rFonts w:cs="Helvetica"/>
          <w:color w:val="595959"/>
          <w:szCs w:val="20"/>
          <w:lang w:eastAsia="en-GB"/>
        </w:rPr>
        <w:t>provided</w:t>
      </w:r>
      <w:r w:rsidR="0085688E" w:rsidRPr="000D0304">
        <w:rPr>
          <w:rFonts w:cs="Helvetica"/>
          <w:color w:val="595959"/>
          <w:szCs w:val="20"/>
          <w:lang w:eastAsia="en-GB"/>
        </w:rPr>
        <w:t xml:space="preserve"> </w:t>
      </w:r>
      <w:r w:rsidR="000E53BB" w:rsidRPr="000D0304">
        <w:rPr>
          <w:rFonts w:cs="Helvetica"/>
          <w:color w:val="595959"/>
          <w:szCs w:val="20"/>
          <w:lang w:eastAsia="en-GB"/>
        </w:rPr>
        <w:t>regional inventor</w:t>
      </w:r>
      <w:r w:rsidR="0052352A">
        <w:rPr>
          <w:rFonts w:cs="Helvetica"/>
          <w:color w:val="595959"/>
          <w:szCs w:val="20"/>
          <w:lang w:eastAsia="en-GB"/>
        </w:rPr>
        <w:t>ie</w:t>
      </w:r>
      <w:r w:rsidR="000E53BB" w:rsidRPr="000D0304">
        <w:rPr>
          <w:rFonts w:cs="Helvetica"/>
          <w:color w:val="595959"/>
          <w:szCs w:val="20"/>
          <w:lang w:eastAsia="en-GB"/>
        </w:rPr>
        <w:t>s</w:t>
      </w:r>
      <w:r w:rsidR="0052352A">
        <w:rPr>
          <w:rFonts w:cs="Helvetica"/>
          <w:color w:val="595959"/>
          <w:szCs w:val="20"/>
          <w:lang w:eastAsia="en-GB"/>
        </w:rPr>
        <w:t>,</w:t>
      </w:r>
      <w:r w:rsidR="000E53BB" w:rsidRPr="000D0304">
        <w:rPr>
          <w:rFonts w:cs="Helvetica"/>
          <w:color w:val="595959"/>
          <w:szCs w:val="20"/>
          <w:lang w:eastAsia="en-GB"/>
        </w:rPr>
        <w:t xml:space="preserve"> to </w:t>
      </w:r>
      <w:r w:rsidRPr="000D0304">
        <w:rPr>
          <w:rFonts w:cs="Helvetica"/>
          <w:color w:val="595959"/>
          <w:szCs w:val="20"/>
          <w:lang w:eastAsia="en-GB"/>
        </w:rPr>
        <w:t xml:space="preserve">equip LCA practitioners with datasets that better </w:t>
      </w:r>
      <w:r w:rsidR="000E53BB" w:rsidRPr="000D0304">
        <w:rPr>
          <w:rFonts w:cs="Helvetica"/>
          <w:color w:val="595959"/>
          <w:szCs w:val="20"/>
          <w:lang w:eastAsia="en-GB"/>
        </w:rPr>
        <w:t>reflect the heterogeneity</w:t>
      </w:r>
      <w:r w:rsidR="000918EE">
        <w:rPr>
          <w:rFonts w:cs="Helvetica"/>
          <w:color w:val="595959"/>
          <w:szCs w:val="20"/>
          <w:lang w:eastAsia="en-GB"/>
        </w:rPr>
        <w:t xml:space="preserve"> of lifecycle performance that </w:t>
      </w:r>
      <w:r w:rsidR="000E53BB" w:rsidRPr="000D0304">
        <w:rPr>
          <w:rFonts w:cs="Helvetica"/>
          <w:color w:val="595959"/>
          <w:szCs w:val="20"/>
          <w:lang w:eastAsia="en-GB"/>
        </w:rPr>
        <w:t xml:space="preserve">exists </w:t>
      </w:r>
      <w:r w:rsidR="000918EE">
        <w:rPr>
          <w:rFonts w:cs="Helvetica"/>
          <w:color w:val="595959"/>
          <w:szCs w:val="20"/>
          <w:lang w:eastAsia="en-GB"/>
        </w:rPr>
        <w:t>across</w:t>
      </w:r>
      <w:r w:rsidR="000918EE" w:rsidRPr="000D0304">
        <w:rPr>
          <w:rFonts w:cs="Helvetica"/>
          <w:color w:val="595959"/>
          <w:szCs w:val="20"/>
          <w:lang w:eastAsia="en-GB"/>
        </w:rPr>
        <w:t xml:space="preserve"> </w:t>
      </w:r>
      <w:r w:rsidR="000E53BB" w:rsidRPr="000D0304">
        <w:rPr>
          <w:rFonts w:cs="Helvetica"/>
          <w:color w:val="595959"/>
          <w:szCs w:val="20"/>
          <w:lang w:eastAsia="en-GB"/>
        </w:rPr>
        <w:t xml:space="preserve">the </w:t>
      </w:r>
      <w:r w:rsidR="000918EE">
        <w:rPr>
          <w:rFonts w:cs="Helvetica"/>
          <w:color w:val="595959"/>
          <w:szCs w:val="20"/>
          <w:lang w:eastAsia="en-GB"/>
        </w:rPr>
        <w:t xml:space="preserve">global </w:t>
      </w:r>
      <w:r w:rsidR="000E53BB" w:rsidRPr="000D0304">
        <w:rPr>
          <w:rFonts w:cs="Helvetica"/>
          <w:color w:val="595959"/>
          <w:szCs w:val="20"/>
          <w:lang w:eastAsia="en-GB"/>
        </w:rPr>
        <w:t>industry</w:t>
      </w:r>
      <w:r w:rsidR="000918EE">
        <w:rPr>
          <w:rFonts w:cs="Helvetica"/>
          <w:color w:val="595959"/>
          <w:szCs w:val="20"/>
          <w:lang w:eastAsia="en-GB"/>
        </w:rPr>
        <w:t xml:space="preserve"> (predominantly driven by different energy sources)</w:t>
      </w:r>
      <w:r w:rsidR="0085688E">
        <w:rPr>
          <w:rFonts w:cs="Helvetica"/>
          <w:color w:val="595959"/>
          <w:szCs w:val="20"/>
          <w:lang w:eastAsia="en-GB"/>
        </w:rPr>
        <w:t>,</w:t>
      </w:r>
      <w:r w:rsidRPr="000D0304">
        <w:rPr>
          <w:rFonts w:cs="Helvetica"/>
          <w:color w:val="595959"/>
          <w:szCs w:val="20"/>
          <w:lang w:eastAsia="en-GB"/>
        </w:rPr>
        <w:t xml:space="preserve"> </w:t>
      </w:r>
      <w:r w:rsidR="0085688E">
        <w:rPr>
          <w:rFonts w:cs="Helvetica"/>
          <w:color w:val="595959"/>
          <w:szCs w:val="20"/>
          <w:lang w:eastAsia="en-GB"/>
        </w:rPr>
        <w:t xml:space="preserve">plus, </w:t>
      </w:r>
      <w:r w:rsidR="006B0766" w:rsidRPr="00E457BD">
        <w:rPr>
          <w:rFonts w:cs="Helvetica"/>
          <w:i/>
          <w:color w:val="595959"/>
          <w:szCs w:val="20"/>
          <w:lang w:eastAsia="en-GB"/>
        </w:rPr>
        <w:t>example</w:t>
      </w:r>
      <w:r w:rsidR="006B0766" w:rsidRPr="000D0304">
        <w:rPr>
          <w:rFonts w:cs="Helvetica"/>
          <w:color w:val="595959"/>
          <w:szCs w:val="20"/>
          <w:lang w:eastAsia="en-GB"/>
        </w:rPr>
        <w:t xml:space="preserve"> </w:t>
      </w:r>
      <w:r w:rsidRPr="000D0304">
        <w:rPr>
          <w:rFonts w:cs="Helvetica"/>
          <w:color w:val="595959"/>
          <w:szCs w:val="20"/>
          <w:lang w:eastAsia="en-GB"/>
        </w:rPr>
        <w:t xml:space="preserve">scenarios of primary aluminium production from mine to </w:t>
      </w:r>
      <w:proofErr w:type="spellStart"/>
      <w:r w:rsidRPr="000D0304">
        <w:rPr>
          <w:rFonts w:cs="Helvetica"/>
          <w:color w:val="595959"/>
          <w:szCs w:val="20"/>
          <w:lang w:eastAsia="en-GB"/>
        </w:rPr>
        <w:t>casthouse</w:t>
      </w:r>
      <w:proofErr w:type="spellEnd"/>
      <w:r w:rsidR="0085688E">
        <w:rPr>
          <w:rFonts w:cs="Helvetica"/>
          <w:color w:val="595959"/>
          <w:szCs w:val="20"/>
          <w:lang w:eastAsia="en-GB"/>
        </w:rPr>
        <w:t xml:space="preserve"> by </w:t>
      </w:r>
      <w:r w:rsidR="0085688E" w:rsidRPr="000D0304">
        <w:rPr>
          <w:rFonts w:cs="Helvetica"/>
          <w:color w:val="595959"/>
          <w:szCs w:val="20"/>
          <w:lang w:eastAsia="en-GB"/>
        </w:rPr>
        <w:t>utilis</w:t>
      </w:r>
      <w:r w:rsidR="0085688E">
        <w:rPr>
          <w:rFonts w:cs="Helvetica"/>
          <w:color w:val="595959"/>
          <w:szCs w:val="20"/>
          <w:lang w:eastAsia="en-GB"/>
        </w:rPr>
        <w:t>ing</w:t>
      </w:r>
      <w:r w:rsidR="0085688E" w:rsidRPr="000D0304">
        <w:rPr>
          <w:rFonts w:cs="Helvetica"/>
          <w:color w:val="595959"/>
          <w:szCs w:val="20"/>
          <w:lang w:eastAsia="en-GB"/>
        </w:rPr>
        <w:t xml:space="preserve"> the regional dataset</w:t>
      </w:r>
      <w:r w:rsidR="0085688E">
        <w:rPr>
          <w:rFonts w:cs="Helvetica"/>
          <w:color w:val="595959"/>
          <w:szCs w:val="20"/>
          <w:lang w:eastAsia="en-GB"/>
        </w:rPr>
        <w:t>s at the impact assessment phase. Th</w:t>
      </w:r>
      <w:r w:rsidR="008D6379">
        <w:rPr>
          <w:rFonts w:cs="Helvetica"/>
          <w:color w:val="595959"/>
          <w:szCs w:val="20"/>
          <w:lang w:eastAsia="en-GB"/>
        </w:rPr>
        <w:t>is</w:t>
      </w:r>
      <w:r w:rsidR="0085688E">
        <w:rPr>
          <w:rFonts w:cs="Helvetica"/>
          <w:color w:val="595959"/>
          <w:szCs w:val="20"/>
          <w:lang w:eastAsia="en-GB"/>
        </w:rPr>
        <w:t xml:space="preserve"> report will continue such practice.</w:t>
      </w:r>
    </w:p>
    <w:p w14:paraId="1B774038" w14:textId="77777777" w:rsidR="00634F72" w:rsidRPr="000D0304" w:rsidRDefault="00634F72" w:rsidP="009E11C8">
      <w:pPr>
        <w:autoSpaceDE w:val="0"/>
        <w:autoSpaceDN w:val="0"/>
        <w:adjustRightInd w:val="0"/>
        <w:spacing w:after="0" w:line="312" w:lineRule="auto"/>
        <w:jc w:val="both"/>
        <w:rPr>
          <w:rFonts w:cs="Helvetica"/>
          <w:color w:val="595959"/>
          <w:szCs w:val="20"/>
          <w:lang w:eastAsia="en-GB"/>
        </w:rPr>
      </w:pPr>
    </w:p>
    <w:p w14:paraId="3AC4E1DE" w14:textId="77777777" w:rsidR="00F70A00" w:rsidRPr="009831A3" w:rsidRDefault="006D76FD" w:rsidP="00DA5301">
      <w:pPr>
        <w:pStyle w:val="Heading2"/>
      </w:pPr>
      <w:bookmarkStart w:id="139" w:name="_Toc120111941"/>
      <w:r w:rsidRPr="003C293F">
        <w:t>Methodology</w:t>
      </w:r>
      <w:bookmarkEnd w:id="139"/>
      <w:r w:rsidRPr="003C293F">
        <w:t xml:space="preserve"> </w:t>
      </w:r>
    </w:p>
    <w:p w14:paraId="2E19DA71" w14:textId="77777777" w:rsidR="00F70A00" w:rsidRPr="009831A3" w:rsidRDefault="006D76FD" w:rsidP="00DA5301">
      <w:pPr>
        <w:pStyle w:val="Heading3"/>
      </w:pPr>
      <w:bookmarkStart w:id="140" w:name="_Toc480555225"/>
      <w:bookmarkStart w:id="141" w:name="_Toc480555311"/>
      <w:bookmarkStart w:id="142" w:name="_Toc480555397"/>
      <w:bookmarkStart w:id="143" w:name="_Toc480555479"/>
      <w:bookmarkStart w:id="144" w:name="_Toc480971423"/>
      <w:bookmarkStart w:id="145" w:name="_Toc120111942"/>
      <w:bookmarkEnd w:id="140"/>
      <w:bookmarkEnd w:id="141"/>
      <w:bookmarkEnd w:id="142"/>
      <w:bookmarkEnd w:id="143"/>
      <w:bookmarkEnd w:id="144"/>
      <w:r w:rsidRPr="003C293F">
        <w:t>Selection and Definition of Impact Categories</w:t>
      </w:r>
      <w:bookmarkEnd w:id="145"/>
    </w:p>
    <w:p w14:paraId="30DDDDE5" w14:textId="5BC84D75" w:rsidR="00F70A00" w:rsidRPr="000D0304" w:rsidRDefault="00B92D16" w:rsidP="009E11C8">
      <w:pPr>
        <w:spacing w:before="240" w:after="0" w:line="312" w:lineRule="auto"/>
        <w:contextualSpacing/>
        <w:jc w:val="both"/>
        <w:rPr>
          <w:rFonts w:cs="Helvetica"/>
          <w:sz w:val="22"/>
          <w:szCs w:val="22"/>
        </w:rPr>
      </w:pPr>
      <w:r w:rsidRPr="000D0304">
        <w:rPr>
          <w:rFonts w:cs="Helvetica"/>
          <w:color w:val="595959"/>
          <w:szCs w:val="20"/>
          <w:lang w:eastAsia="en-GB"/>
        </w:rPr>
        <w:t xml:space="preserve">The impact categories included in this study are aligned with </w:t>
      </w:r>
      <w:r w:rsidR="00410AAA">
        <w:rPr>
          <w:rFonts w:cs="Helvetica"/>
          <w:color w:val="595959"/>
          <w:szCs w:val="20"/>
          <w:lang w:eastAsia="en-GB"/>
        </w:rPr>
        <w:t xml:space="preserve">previously published primary aluminium industry data </w:t>
      </w:r>
      <w:r w:rsidRPr="000D0304">
        <w:rPr>
          <w:rFonts w:cs="Helvetica"/>
          <w:color w:val="595959"/>
          <w:szCs w:val="20"/>
          <w:lang w:eastAsia="en-GB"/>
        </w:rPr>
        <w:t xml:space="preserve">(IAI </w:t>
      </w:r>
      <w:r w:rsidR="0085688E" w:rsidRPr="000D0304">
        <w:rPr>
          <w:rFonts w:cs="Helvetica"/>
          <w:color w:val="595959"/>
          <w:szCs w:val="20"/>
          <w:lang w:eastAsia="en-GB"/>
        </w:rPr>
        <w:t>201</w:t>
      </w:r>
      <w:r w:rsidR="0085688E">
        <w:rPr>
          <w:rFonts w:cs="Helvetica"/>
          <w:color w:val="595959"/>
          <w:szCs w:val="20"/>
          <w:lang w:eastAsia="en-GB"/>
        </w:rPr>
        <w:t>7</w:t>
      </w:r>
      <w:r w:rsidRPr="000D0304">
        <w:rPr>
          <w:rFonts w:cs="Helvetica"/>
          <w:color w:val="595959"/>
          <w:szCs w:val="20"/>
          <w:lang w:eastAsia="en-GB"/>
        </w:rPr>
        <w:t xml:space="preserve">) and </w:t>
      </w:r>
      <w:r w:rsidR="00693DF0">
        <w:rPr>
          <w:rFonts w:cs="Helvetica"/>
          <w:color w:val="595959"/>
          <w:szCs w:val="20"/>
          <w:lang w:eastAsia="en-GB"/>
        </w:rPr>
        <w:t xml:space="preserve">are </w:t>
      </w:r>
      <w:r w:rsidRPr="000D0304">
        <w:rPr>
          <w:rFonts w:cs="Helvetica"/>
          <w:color w:val="595959"/>
          <w:szCs w:val="20"/>
          <w:lang w:eastAsia="en-GB"/>
        </w:rPr>
        <w:t>i</w:t>
      </w:r>
      <w:r w:rsidR="00F70A00" w:rsidRPr="000D0304">
        <w:rPr>
          <w:rFonts w:cs="Helvetica"/>
          <w:color w:val="595959"/>
          <w:szCs w:val="20"/>
          <w:lang w:eastAsia="en-GB"/>
        </w:rPr>
        <w:t xml:space="preserve">n accordance with </w:t>
      </w:r>
      <w:r w:rsidR="00410AAA">
        <w:rPr>
          <w:rFonts w:cs="Helvetica"/>
          <w:color w:val="595959"/>
          <w:szCs w:val="20"/>
          <w:lang w:eastAsia="en-GB"/>
        </w:rPr>
        <w:t>guidance on</w:t>
      </w:r>
      <w:r w:rsidR="00F70A00" w:rsidRPr="000D0304">
        <w:rPr>
          <w:rFonts w:cs="Helvetica"/>
          <w:color w:val="595959"/>
          <w:szCs w:val="20"/>
          <w:lang w:eastAsia="en-GB"/>
        </w:rPr>
        <w:t xml:space="preserve"> LCA methodologies for Metals</w:t>
      </w:r>
      <w:r w:rsidR="00F70A00" w:rsidRPr="000D0304">
        <w:rPr>
          <w:rFonts w:cs="Helvetica"/>
          <w:sz w:val="22"/>
          <w:szCs w:val="22"/>
        </w:rPr>
        <w:t xml:space="preserve"> </w:t>
      </w:r>
      <w:r w:rsidRPr="000D0304">
        <w:rPr>
          <w:rFonts w:cs="Helvetica"/>
          <w:color w:val="595959"/>
          <w:szCs w:val="20"/>
          <w:lang w:eastAsia="en-GB"/>
        </w:rPr>
        <w:t>(PE International 2014)</w:t>
      </w:r>
      <w:r w:rsidR="009831A3">
        <w:rPr>
          <w:rFonts w:cs="Helvetica"/>
          <w:color w:val="595959"/>
          <w:szCs w:val="20"/>
          <w:lang w:eastAsia="en-GB"/>
        </w:rPr>
        <w:t xml:space="preserve">.  </w:t>
      </w:r>
      <w:r w:rsidRPr="000D0304">
        <w:rPr>
          <w:rFonts w:cs="Helvetica"/>
          <w:color w:val="595959"/>
          <w:szCs w:val="20"/>
          <w:lang w:eastAsia="en-GB"/>
        </w:rPr>
        <w:t>T</w:t>
      </w:r>
      <w:r w:rsidR="00F70A00" w:rsidRPr="000D0304">
        <w:rPr>
          <w:rFonts w:cs="Helvetica"/>
          <w:color w:val="595959"/>
          <w:szCs w:val="20"/>
          <w:lang w:eastAsia="en-GB"/>
        </w:rPr>
        <w:t>he LCIA methodology followed in this assessment is CML</w:t>
      </w:r>
      <w:r w:rsidR="00DC2E77" w:rsidRPr="000D0304">
        <w:rPr>
          <w:rFonts w:cs="Helvetica"/>
          <w:color w:val="595959"/>
          <w:szCs w:val="20"/>
          <w:lang w:eastAsia="en-GB"/>
        </w:rPr>
        <w:t xml:space="preserve"> 2001 (</w:t>
      </w:r>
      <w:r w:rsidR="006803A0" w:rsidRPr="000D0304">
        <w:rPr>
          <w:rFonts w:cs="Helvetica"/>
          <w:color w:val="595959"/>
          <w:szCs w:val="20"/>
          <w:lang w:eastAsia="en-GB"/>
        </w:rPr>
        <w:t>Jan 2016</w:t>
      </w:r>
      <w:r w:rsidR="00DC2E77" w:rsidRPr="000D0304">
        <w:rPr>
          <w:rFonts w:cs="Helvetica"/>
          <w:color w:val="595959"/>
          <w:szCs w:val="20"/>
          <w:lang w:eastAsia="en-GB"/>
        </w:rPr>
        <w:t>)</w:t>
      </w:r>
      <w:r w:rsidR="00F70A00" w:rsidRPr="000D0304">
        <w:rPr>
          <w:rFonts w:cs="Helvetica"/>
          <w:color w:val="595959"/>
          <w:szCs w:val="20"/>
          <w:lang w:eastAsia="en-GB"/>
        </w:rPr>
        <w:t>, with the following impact categories</w:t>
      </w:r>
      <w:r w:rsidR="00F70A00" w:rsidRPr="000D0304">
        <w:rPr>
          <w:rFonts w:cs="Helvetica"/>
          <w:sz w:val="22"/>
          <w:szCs w:val="22"/>
        </w:rPr>
        <w:t xml:space="preserve"> </w:t>
      </w:r>
      <w:r w:rsidR="00F70A00" w:rsidRPr="000D0304">
        <w:rPr>
          <w:rFonts w:cs="Helvetica"/>
          <w:color w:val="595959"/>
          <w:szCs w:val="20"/>
          <w:lang w:eastAsia="en-GB"/>
        </w:rPr>
        <w:t>selected:</w:t>
      </w:r>
    </w:p>
    <w:p w14:paraId="4A96608C" w14:textId="77777777" w:rsidR="003461C4" w:rsidRPr="000D0304" w:rsidRDefault="003461C4">
      <w:pPr>
        <w:pStyle w:val="ListParagraph"/>
        <w:autoSpaceDE w:val="0"/>
        <w:autoSpaceDN w:val="0"/>
        <w:adjustRightInd w:val="0"/>
        <w:spacing w:after="0" w:line="312" w:lineRule="auto"/>
        <w:ind w:left="1080"/>
        <w:jc w:val="both"/>
        <w:rPr>
          <w:rFonts w:cs="Helvetica"/>
          <w:color w:val="595959"/>
          <w:szCs w:val="20"/>
          <w:lang w:eastAsia="en-GB"/>
        </w:rPr>
        <w:sectPr w:rsidR="003461C4" w:rsidRPr="000D0304" w:rsidSect="000D0304">
          <w:headerReference w:type="default" r:id="rId19"/>
          <w:footerReference w:type="default" r:id="rId20"/>
          <w:headerReference w:type="first" r:id="rId21"/>
          <w:pgSz w:w="11907" w:h="16839" w:code="9"/>
          <w:pgMar w:top="2552" w:right="1134" w:bottom="1276" w:left="1134" w:header="1276" w:footer="850" w:gutter="0"/>
          <w:cols w:space="708"/>
          <w:titlePg/>
          <w:docGrid w:linePitch="326"/>
        </w:sectPr>
      </w:pPr>
    </w:p>
    <w:p w14:paraId="0602CA35" w14:textId="77777777" w:rsidR="00F70A00" w:rsidRPr="000D0304" w:rsidRDefault="00F70A00" w:rsidP="000D0304">
      <w:pPr>
        <w:pStyle w:val="ListParagraph"/>
        <w:numPr>
          <w:ilvl w:val="0"/>
          <w:numId w:val="26"/>
        </w:numPr>
        <w:autoSpaceDE w:val="0"/>
        <w:autoSpaceDN w:val="0"/>
        <w:adjustRightInd w:val="0"/>
        <w:spacing w:after="0" w:line="312" w:lineRule="auto"/>
        <w:ind w:left="714" w:hanging="357"/>
        <w:jc w:val="both"/>
        <w:rPr>
          <w:rFonts w:cs="Helvetica"/>
          <w:color w:val="595959"/>
          <w:szCs w:val="20"/>
          <w:lang w:eastAsia="en-GB"/>
        </w:rPr>
      </w:pPr>
      <w:r w:rsidRPr="000D0304">
        <w:rPr>
          <w:rFonts w:cs="Helvetica"/>
          <w:color w:val="595959"/>
          <w:szCs w:val="20"/>
          <w:lang w:eastAsia="en-GB"/>
        </w:rPr>
        <w:t>Acidification potential</w:t>
      </w:r>
    </w:p>
    <w:p w14:paraId="34140395" w14:textId="77777777" w:rsidR="00F70A00" w:rsidRPr="000D0304" w:rsidRDefault="00F70A00" w:rsidP="000D0304">
      <w:pPr>
        <w:pStyle w:val="ListParagraph"/>
        <w:numPr>
          <w:ilvl w:val="0"/>
          <w:numId w:val="26"/>
        </w:numPr>
        <w:autoSpaceDE w:val="0"/>
        <w:autoSpaceDN w:val="0"/>
        <w:adjustRightInd w:val="0"/>
        <w:spacing w:after="0" w:line="312" w:lineRule="auto"/>
        <w:ind w:left="714" w:hanging="357"/>
        <w:jc w:val="both"/>
        <w:rPr>
          <w:rFonts w:cs="Helvetica"/>
          <w:color w:val="595959"/>
          <w:szCs w:val="20"/>
          <w:lang w:eastAsia="en-GB"/>
        </w:rPr>
      </w:pPr>
      <w:r w:rsidRPr="000D0304">
        <w:rPr>
          <w:rFonts w:cs="Helvetica"/>
          <w:color w:val="595959"/>
          <w:szCs w:val="20"/>
          <w:lang w:eastAsia="en-GB"/>
        </w:rPr>
        <w:t>Depletion of fossil energy resources</w:t>
      </w:r>
    </w:p>
    <w:p w14:paraId="7EDA4B09" w14:textId="77777777" w:rsidR="00F70A00" w:rsidRPr="000D0304" w:rsidRDefault="00F70A00" w:rsidP="000D0304">
      <w:pPr>
        <w:pStyle w:val="ListParagraph"/>
        <w:numPr>
          <w:ilvl w:val="0"/>
          <w:numId w:val="26"/>
        </w:numPr>
        <w:autoSpaceDE w:val="0"/>
        <w:autoSpaceDN w:val="0"/>
        <w:adjustRightInd w:val="0"/>
        <w:spacing w:after="0" w:line="312" w:lineRule="auto"/>
        <w:ind w:left="714" w:hanging="357"/>
        <w:jc w:val="both"/>
        <w:rPr>
          <w:rFonts w:cs="Helvetica"/>
          <w:color w:val="595959"/>
          <w:szCs w:val="20"/>
          <w:lang w:eastAsia="en-GB"/>
        </w:rPr>
      </w:pPr>
      <w:r w:rsidRPr="000D0304">
        <w:rPr>
          <w:rFonts w:cs="Helvetica"/>
          <w:color w:val="595959"/>
          <w:szCs w:val="20"/>
          <w:lang w:eastAsia="en-GB"/>
        </w:rPr>
        <w:t>Eutrophication potential</w:t>
      </w:r>
    </w:p>
    <w:p w14:paraId="177D854B" w14:textId="77777777" w:rsidR="00F70A00" w:rsidRPr="000D0304" w:rsidRDefault="00F70A00" w:rsidP="000D0304">
      <w:pPr>
        <w:pStyle w:val="ListParagraph"/>
        <w:numPr>
          <w:ilvl w:val="0"/>
          <w:numId w:val="26"/>
        </w:numPr>
        <w:autoSpaceDE w:val="0"/>
        <w:autoSpaceDN w:val="0"/>
        <w:adjustRightInd w:val="0"/>
        <w:spacing w:after="0" w:line="312" w:lineRule="auto"/>
        <w:ind w:left="714" w:hanging="357"/>
        <w:jc w:val="both"/>
        <w:rPr>
          <w:rFonts w:cs="Helvetica"/>
          <w:color w:val="595959"/>
          <w:szCs w:val="20"/>
          <w:lang w:eastAsia="en-GB"/>
        </w:rPr>
      </w:pPr>
      <w:r w:rsidRPr="000D0304">
        <w:rPr>
          <w:rFonts w:cs="Helvetica"/>
          <w:color w:val="595959"/>
          <w:szCs w:val="20"/>
          <w:lang w:eastAsia="en-GB"/>
        </w:rPr>
        <w:t>Global warming potential</w:t>
      </w:r>
    </w:p>
    <w:p w14:paraId="456F4CD0" w14:textId="77777777" w:rsidR="00F70A00" w:rsidRPr="000D0304" w:rsidRDefault="00F70A00" w:rsidP="000D0304">
      <w:pPr>
        <w:pStyle w:val="ListParagraph"/>
        <w:numPr>
          <w:ilvl w:val="0"/>
          <w:numId w:val="26"/>
        </w:numPr>
        <w:autoSpaceDE w:val="0"/>
        <w:autoSpaceDN w:val="0"/>
        <w:adjustRightInd w:val="0"/>
        <w:spacing w:after="0" w:line="312" w:lineRule="auto"/>
        <w:ind w:left="714" w:hanging="357"/>
        <w:jc w:val="both"/>
        <w:rPr>
          <w:rFonts w:cs="Helvetica"/>
          <w:color w:val="595959"/>
          <w:szCs w:val="20"/>
          <w:lang w:eastAsia="en-GB"/>
        </w:rPr>
      </w:pPr>
      <w:r w:rsidRPr="000D0304">
        <w:rPr>
          <w:rFonts w:cs="Helvetica"/>
          <w:color w:val="595959"/>
          <w:szCs w:val="20"/>
          <w:lang w:eastAsia="en-GB"/>
        </w:rPr>
        <w:t>Ozone depletion potential</w:t>
      </w:r>
    </w:p>
    <w:p w14:paraId="59E294BD" w14:textId="77777777" w:rsidR="003461C4" w:rsidRPr="000D0304" w:rsidRDefault="00F70A00" w:rsidP="000D0304">
      <w:pPr>
        <w:pStyle w:val="ListParagraph"/>
        <w:numPr>
          <w:ilvl w:val="0"/>
          <w:numId w:val="26"/>
        </w:numPr>
        <w:autoSpaceDE w:val="0"/>
        <w:autoSpaceDN w:val="0"/>
        <w:adjustRightInd w:val="0"/>
        <w:spacing w:after="0" w:line="312" w:lineRule="auto"/>
        <w:ind w:left="714" w:hanging="357"/>
        <w:jc w:val="both"/>
        <w:rPr>
          <w:rFonts w:cs="Helvetica"/>
          <w:color w:val="595959"/>
          <w:szCs w:val="20"/>
          <w:lang w:eastAsia="en-GB"/>
        </w:rPr>
      </w:pPr>
      <w:r w:rsidRPr="000D0304">
        <w:rPr>
          <w:rFonts w:cs="Helvetica"/>
          <w:color w:val="595959"/>
          <w:szCs w:val="20"/>
          <w:lang w:eastAsia="en-GB"/>
        </w:rPr>
        <w:t>Photo-oxidant creation potential</w:t>
      </w:r>
    </w:p>
    <w:p w14:paraId="6470F3F2" w14:textId="77777777" w:rsidR="003461C4" w:rsidRPr="000D0304" w:rsidRDefault="003461C4">
      <w:pPr>
        <w:autoSpaceDE w:val="0"/>
        <w:autoSpaceDN w:val="0"/>
        <w:adjustRightInd w:val="0"/>
        <w:spacing w:after="0" w:line="312" w:lineRule="auto"/>
        <w:jc w:val="both"/>
        <w:rPr>
          <w:rFonts w:cs="Helvetica"/>
          <w:color w:val="595959"/>
          <w:szCs w:val="20"/>
          <w:lang w:eastAsia="en-GB"/>
        </w:rPr>
        <w:sectPr w:rsidR="003461C4" w:rsidRPr="000D0304" w:rsidSect="003461C4">
          <w:type w:val="continuous"/>
          <w:pgSz w:w="11907" w:h="16839" w:code="9"/>
          <w:pgMar w:top="2552" w:right="1134" w:bottom="1276" w:left="1134" w:header="1276" w:footer="850" w:gutter="0"/>
          <w:cols w:num="2" w:space="708"/>
          <w:docGrid w:linePitch="326"/>
        </w:sectPr>
      </w:pPr>
    </w:p>
    <w:p w14:paraId="5C4B6A39" w14:textId="77777777" w:rsidR="003461C4" w:rsidRPr="000D0304" w:rsidRDefault="003461C4">
      <w:pPr>
        <w:autoSpaceDE w:val="0"/>
        <w:autoSpaceDN w:val="0"/>
        <w:adjustRightInd w:val="0"/>
        <w:spacing w:after="0" w:line="312" w:lineRule="auto"/>
        <w:jc w:val="both"/>
        <w:rPr>
          <w:rFonts w:cs="Helvetica"/>
          <w:color w:val="595959"/>
          <w:szCs w:val="20"/>
          <w:lang w:eastAsia="en-GB"/>
        </w:rPr>
        <w:sectPr w:rsidR="003461C4" w:rsidRPr="000D0304" w:rsidSect="003461C4">
          <w:type w:val="continuous"/>
          <w:pgSz w:w="11907" w:h="16839" w:code="9"/>
          <w:pgMar w:top="2552" w:right="1134" w:bottom="1276" w:left="1134" w:header="1276" w:footer="850" w:gutter="0"/>
          <w:cols w:space="708"/>
          <w:docGrid w:linePitch="326"/>
        </w:sectPr>
      </w:pPr>
    </w:p>
    <w:p w14:paraId="0BC22DEB" w14:textId="568E469C" w:rsidR="00DB1F25" w:rsidRDefault="003461C4" w:rsidP="00A340F8">
      <w:pPr>
        <w:spacing w:after="0" w:line="312" w:lineRule="auto"/>
        <w:jc w:val="both"/>
        <w:rPr>
          <w:rFonts w:cs="Helvetica"/>
          <w:color w:val="595959"/>
          <w:szCs w:val="20"/>
          <w:lang w:eastAsia="en-GB"/>
        </w:rPr>
      </w:pPr>
      <w:r w:rsidRPr="000D0304">
        <w:rPr>
          <w:rFonts w:cs="Helvetica"/>
          <w:color w:val="595959"/>
          <w:szCs w:val="20"/>
          <w:lang w:eastAsia="en-GB"/>
        </w:rPr>
        <w:t xml:space="preserve">In addition, </w:t>
      </w:r>
      <w:r w:rsidR="009831A3">
        <w:rPr>
          <w:rFonts w:cs="Helvetica"/>
          <w:color w:val="595959"/>
          <w:szCs w:val="20"/>
          <w:lang w:eastAsia="en-GB"/>
        </w:rPr>
        <w:t>“w</w:t>
      </w:r>
      <w:r w:rsidRPr="000D0304">
        <w:rPr>
          <w:rFonts w:cs="Helvetica"/>
          <w:color w:val="595959"/>
          <w:szCs w:val="20"/>
          <w:lang w:eastAsia="en-GB"/>
        </w:rPr>
        <w:t>ater scarcity footprint</w:t>
      </w:r>
      <w:r w:rsidR="009831A3">
        <w:rPr>
          <w:rFonts w:cs="Helvetica"/>
          <w:color w:val="595959"/>
          <w:szCs w:val="20"/>
          <w:lang w:eastAsia="en-GB"/>
        </w:rPr>
        <w:t>”</w:t>
      </w:r>
      <w:r w:rsidRPr="000D0304">
        <w:rPr>
          <w:rFonts w:cs="Helvetica"/>
          <w:color w:val="595959"/>
          <w:szCs w:val="20"/>
          <w:lang w:eastAsia="en-GB"/>
        </w:rPr>
        <w:t xml:space="preserve"> (WSFP)</w:t>
      </w:r>
      <w:r w:rsidR="009831A3">
        <w:rPr>
          <w:rFonts w:cs="Helvetica"/>
          <w:color w:val="595959"/>
          <w:szCs w:val="20"/>
          <w:lang w:eastAsia="en-GB"/>
        </w:rPr>
        <w:t>,</w:t>
      </w:r>
      <w:r w:rsidRPr="000D0304">
        <w:rPr>
          <w:rFonts w:cs="Helvetica"/>
          <w:color w:val="595959"/>
          <w:szCs w:val="20"/>
          <w:lang w:eastAsia="en-GB"/>
        </w:rPr>
        <w:t xml:space="preserve"> as outlined in ISO 140</w:t>
      </w:r>
      <w:r w:rsidR="00557397">
        <w:rPr>
          <w:rFonts w:cs="Helvetica"/>
          <w:color w:val="595959"/>
          <w:szCs w:val="20"/>
          <w:lang w:eastAsia="en-GB"/>
        </w:rPr>
        <w:t>46</w:t>
      </w:r>
      <w:r w:rsidR="009831A3">
        <w:rPr>
          <w:rFonts w:cs="Helvetica"/>
          <w:color w:val="595959"/>
          <w:szCs w:val="20"/>
          <w:lang w:eastAsia="en-GB"/>
        </w:rPr>
        <w:t>,</w:t>
      </w:r>
      <w:r w:rsidRPr="000D0304">
        <w:rPr>
          <w:rFonts w:cs="Helvetica"/>
          <w:color w:val="595959"/>
          <w:szCs w:val="20"/>
          <w:lang w:eastAsia="en-GB"/>
        </w:rPr>
        <w:t xml:space="preserve"> has been </w:t>
      </w:r>
      <w:r w:rsidR="00D6259A" w:rsidRPr="000D0304">
        <w:rPr>
          <w:rFonts w:cs="Helvetica"/>
          <w:color w:val="595959"/>
          <w:szCs w:val="20"/>
          <w:lang w:eastAsia="en-GB"/>
        </w:rPr>
        <w:t>selected</w:t>
      </w:r>
      <w:r w:rsidR="009831A3">
        <w:rPr>
          <w:rFonts w:cs="Helvetica"/>
          <w:color w:val="595959"/>
          <w:szCs w:val="20"/>
          <w:lang w:eastAsia="en-GB"/>
        </w:rPr>
        <w:t xml:space="preserve">.  </w:t>
      </w:r>
      <w:r w:rsidR="00146399" w:rsidRPr="000D0304">
        <w:rPr>
          <w:rFonts w:cs="Helvetica"/>
          <w:color w:val="595959"/>
          <w:szCs w:val="20"/>
          <w:lang w:eastAsia="en-GB"/>
        </w:rPr>
        <w:t>IAI has supported the development of the water scarcity footprint methodology for primary aluminium</w:t>
      </w:r>
      <w:r w:rsidR="009831A3">
        <w:rPr>
          <w:rFonts w:cs="Helvetica"/>
          <w:color w:val="595959"/>
          <w:szCs w:val="20"/>
          <w:lang w:eastAsia="en-GB"/>
        </w:rPr>
        <w:t>,</w:t>
      </w:r>
      <w:r w:rsidR="00146399" w:rsidRPr="000D0304">
        <w:rPr>
          <w:rFonts w:cs="Helvetica"/>
          <w:color w:val="595959"/>
          <w:szCs w:val="20"/>
          <w:lang w:eastAsia="en-GB"/>
        </w:rPr>
        <w:t xml:space="preserve"> in light </w:t>
      </w:r>
      <w:r w:rsidR="00384AFA" w:rsidRPr="000D0304">
        <w:rPr>
          <w:rFonts w:cs="Helvetica"/>
          <w:color w:val="595959"/>
          <w:szCs w:val="20"/>
          <w:lang w:eastAsia="en-GB"/>
        </w:rPr>
        <w:t>of increasing</w:t>
      </w:r>
      <w:r w:rsidR="00D6259A" w:rsidRPr="000D0304">
        <w:rPr>
          <w:rFonts w:cs="Helvetica"/>
          <w:color w:val="595959"/>
          <w:szCs w:val="20"/>
          <w:lang w:eastAsia="en-GB"/>
        </w:rPr>
        <w:t xml:space="preserve"> awareness around water use </w:t>
      </w:r>
      <w:r w:rsidR="002A3A8B" w:rsidRPr="000D0304">
        <w:rPr>
          <w:rFonts w:cs="Helvetica"/>
          <w:color w:val="595959"/>
          <w:szCs w:val="20"/>
          <w:lang w:eastAsia="en-GB"/>
        </w:rPr>
        <w:t xml:space="preserve">impacts </w:t>
      </w:r>
      <w:r w:rsidR="00D6259A" w:rsidRPr="000D0304">
        <w:rPr>
          <w:rFonts w:cs="Helvetica"/>
          <w:color w:val="595959"/>
          <w:szCs w:val="20"/>
          <w:lang w:eastAsia="en-GB"/>
        </w:rPr>
        <w:t>acro</w:t>
      </w:r>
      <w:r w:rsidR="002A3A8B" w:rsidRPr="000D0304">
        <w:rPr>
          <w:rFonts w:cs="Helvetica"/>
          <w:color w:val="595959"/>
          <w:szCs w:val="20"/>
          <w:lang w:eastAsia="en-GB"/>
        </w:rPr>
        <w:t xml:space="preserve">ss the resource </w:t>
      </w:r>
      <w:r w:rsidR="00146399" w:rsidRPr="000D0304">
        <w:rPr>
          <w:rFonts w:cs="Helvetica"/>
          <w:color w:val="595959"/>
          <w:szCs w:val="20"/>
          <w:lang w:eastAsia="en-GB"/>
        </w:rPr>
        <w:t>sector</w:t>
      </w:r>
      <w:r w:rsidR="009831A3">
        <w:rPr>
          <w:rFonts w:cs="Helvetica"/>
          <w:color w:val="595959"/>
          <w:szCs w:val="20"/>
          <w:lang w:eastAsia="en-GB"/>
        </w:rPr>
        <w:t xml:space="preserve">.  </w:t>
      </w:r>
      <w:r w:rsidR="0085688E" w:rsidRPr="0085688E">
        <w:rPr>
          <w:rFonts w:cs="Helvetica"/>
          <w:color w:val="595959"/>
          <w:szCs w:val="20"/>
          <w:lang w:eastAsia="en-GB"/>
        </w:rPr>
        <w:t xml:space="preserve">Available Water Remaining </w:t>
      </w:r>
      <w:r w:rsidR="0085688E">
        <w:rPr>
          <w:rFonts w:cs="Helvetica"/>
          <w:color w:val="595959"/>
          <w:szCs w:val="20"/>
          <w:lang w:eastAsia="en-GB"/>
        </w:rPr>
        <w:t>(</w:t>
      </w:r>
      <w:proofErr w:type="spellStart"/>
      <w:r w:rsidR="0085688E">
        <w:rPr>
          <w:rFonts w:cs="Helvetica"/>
          <w:color w:val="595959"/>
          <w:szCs w:val="20"/>
          <w:lang w:eastAsia="en-GB"/>
        </w:rPr>
        <w:t>AWaRe</w:t>
      </w:r>
      <w:proofErr w:type="spellEnd"/>
      <w:r w:rsidR="0085688E">
        <w:rPr>
          <w:rFonts w:cs="Helvetica"/>
          <w:color w:val="595959"/>
          <w:szCs w:val="20"/>
          <w:lang w:eastAsia="en-GB"/>
        </w:rPr>
        <w:t xml:space="preserve">) replaces </w:t>
      </w:r>
      <w:r w:rsidR="0085688E" w:rsidRPr="0085688E">
        <w:rPr>
          <w:rFonts w:cs="Helvetica"/>
          <w:color w:val="595959"/>
          <w:szCs w:val="20"/>
          <w:lang w:eastAsia="en-GB"/>
        </w:rPr>
        <w:t xml:space="preserve">Water Stress Index </w:t>
      </w:r>
      <w:r w:rsidR="0085688E">
        <w:rPr>
          <w:rFonts w:cs="Helvetica"/>
          <w:color w:val="595959"/>
          <w:szCs w:val="20"/>
          <w:lang w:eastAsia="en-GB"/>
        </w:rPr>
        <w:t xml:space="preserve">(WSI) as the water scarcity characterisation factors, </w:t>
      </w:r>
      <w:proofErr w:type="spellStart"/>
      <w:r w:rsidR="0085688E">
        <w:rPr>
          <w:rFonts w:cs="Helvetica"/>
          <w:color w:val="595959"/>
          <w:szCs w:val="20"/>
          <w:lang w:eastAsia="en-GB"/>
        </w:rPr>
        <w:t>AWaRe</w:t>
      </w:r>
      <w:proofErr w:type="spellEnd"/>
      <w:r w:rsidR="0085688E">
        <w:rPr>
          <w:rFonts w:cs="Helvetica"/>
          <w:color w:val="595959"/>
          <w:szCs w:val="20"/>
          <w:lang w:eastAsia="en-GB"/>
        </w:rPr>
        <w:t xml:space="preserve"> is</w:t>
      </w:r>
      <w:r w:rsidR="0085688E" w:rsidRPr="00DA5301">
        <w:rPr>
          <w:rFonts w:cs="Helvetica"/>
          <w:color w:val="595959"/>
          <w:szCs w:val="20"/>
          <w:lang w:eastAsia="en-GB"/>
        </w:rPr>
        <w:t xml:space="preserve"> a n</w:t>
      </w:r>
      <w:r w:rsidR="0085688E" w:rsidRPr="0085688E">
        <w:rPr>
          <w:rFonts w:cs="Helvetica"/>
          <w:color w:val="595959"/>
          <w:szCs w:val="20"/>
          <w:lang w:eastAsia="en-GB"/>
        </w:rPr>
        <w:t xml:space="preserve">ew consensus </w:t>
      </w:r>
      <w:r w:rsidR="0085688E" w:rsidRPr="0085688E">
        <w:rPr>
          <w:rFonts w:cs="Helvetica"/>
          <w:color w:val="595959"/>
          <w:szCs w:val="20"/>
          <w:lang w:eastAsia="en-GB"/>
        </w:rPr>
        <w:lastRenderedPageBreak/>
        <w:t xml:space="preserve">method of </w:t>
      </w:r>
      <w:r w:rsidR="002A4445">
        <w:rPr>
          <w:rFonts w:cs="Helvetica"/>
          <w:color w:val="595959"/>
          <w:szCs w:val="20"/>
          <w:lang w:eastAsia="en-GB"/>
        </w:rPr>
        <w:t>UN Environment</w:t>
      </w:r>
      <w:r w:rsidR="0085688E" w:rsidRPr="0085688E">
        <w:rPr>
          <w:rFonts w:cs="Helvetica"/>
          <w:color w:val="595959"/>
          <w:szCs w:val="20"/>
          <w:lang w:eastAsia="en-GB"/>
        </w:rPr>
        <w:t xml:space="preserve"> working group on water use in LCA (WULCA)</w:t>
      </w:r>
      <w:r w:rsidR="0085688E">
        <w:rPr>
          <w:rFonts w:cs="Helvetica"/>
          <w:color w:val="595959"/>
          <w:szCs w:val="20"/>
          <w:lang w:eastAsia="en-GB"/>
        </w:rPr>
        <w:t xml:space="preserve">, which was </w:t>
      </w:r>
      <w:r w:rsidR="0085688E" w:rsidRPr="0085688E">
        <w:rPr>
          <w:rFonts w:cs="Helvetica"/>
          <w:color w:val="595959"/>
          <w:szCs w:val="20"/>
          <w:lang w:eastAsia="en-GB"/>
        </w:rPr>
        <w:t xml:space="preserve">released </w:t>
      </w:r>
      <w:r w:rsidR="0085688E">
        <w:rPr>
          <w:rFonts w:cs="Helvetica"/>
          <w:color w:val="595959"/>
          <w:szCs w:val="20"/>
          <w:lang w:eastAsia="en-GB"/>
        </w:rPr>
        <w:t xml:space="preserve">in </w:t>
      </w:r>
      <w:r w:rsidR="0085688E" w:rsidRPr="0085688E">
        <w:rPr>
          <w:rFonts w:cs="Helvetica"/>
          <w:color w:val="595959"/>
          <w:szCs w:val="20"/>
          <w:lang w:eastAsia="en-GB"/>
        </w:rPr>
        <w:t>2015</w:t>
      </w:r>
      <w:r w:rsidR="0085688E">
        <w:rPr>
          <w:rFonts w:cs="Helvetica"/>
          <w:color w:val="595959"/>
          <w:szCs w:val="20"/>
          <w:lang w:eastAsia="en-GB"/>
        </w:rPr>
        <w:t xml:space="preserve"> and is </w:t>
      </w:r>
      <w:r w:rsidR="0085688E" w:rsidRPr="0085688E">
        <w:rPr>
          <w:rFonts w:cs="Helvetica"/>
          <w:color w:val="595959"/>
          <w:szCs w:val="20"/>
          <w:lang w:eastAsia="en-GB"/>
        </w:rPr>
        <w:t>suggested by JRC as new standard impact assessment method for water use in PEF</w:t>
      </w:r>
      <w:r w:rsidR="0085688E">
        <w:rPr>
          <w:rFonts w:cs="Helvetica"/>
          <w:color w:val="595959"/>
          <w:szCs w:val="20"/>
          <w:lang w:eastAsia="en-GB"/>
        </w:rPr>
        <w:t>.</w:t>
      </w:r>
    </w:p>
    <w:p w14:paraId="1D49B7E8" w14:textId="77777777" w:rsidR="00220506" w:rsidRDefault="00220506" w:rsidP="00A340F8">
      <w:pPr>
        <w:spacing w:after="0" w:line="312" w:lineRule="auto"/>
        <w:jc w:val="both"/>
        <w:rPr>
          <w:rFonts w:cs="Helvetica"/>
          <w:color w:val="595959"/>
          <w:szCs w:val="20"/>
          <w:lang w:eastAsia="en-GB"/>
        </w:rPr>
      </w:pPr>
    </w:p>
    <w:p w14:paraId="0E4C7B47" w14:textId="2F725746" w:rsidR="00DA5301" w:rsidRDefault="00A37031" w:rsidP="00A340F8">
      <w:pPr>
        <w:spacing w:after="0" w:line="312" w:lineRule="auto"/>
        <w:jc w:val="both"/>
        <w:rPr>
          <w:rFonts w:cs="Helvetica"/>
          <w:color w:val="595959"/>
          <w:szCs w:val="20"/>
          <w:lang w:eastAsia="en-GB"/>
        </w:rPr>
      </w:pPr>
      <w:r>
        <w:rPr>
          <w:rFonts w:cs="Helvetica"/>
          <w:color w:val="595959"/>
          <w:szCs w:val="20"/>
          <w:lang w:eastAsia="en-GB"/>
        </w:rPr>
        <w:t>For the determination of the direct water footprint</w:t>
      </w:r>
      <w:r w:rsidRPr="00770E93">
        <w:rPr>
          <w:rFonts w:cs="Helvetica"/>
          <w:color w:val="595959"/>
          <w:szCs w:val="20"/>
          <w:lang w:eastAsia="en-GB"/>
        </w:rPr>
        <w:t xml:space="preserve">, the characterization factors according to </w:t>
      </w:r>
      <w:proofErr w:type="spellStart"/>
      <w:r w:rsidRPr="00770E93">
        <w:rPr>
          <w:rFonts w:cs="Helvetica"/>
          <w:color w:val="595959"/>
          <w:szCs w:val="20"/>
          <w:lang w:eastAsia="en-GB"/>
        </w:rPr>
        <w:t>AWaRe</w:t>
      </w:r>
      <w:proofErr w:type="spellEnd"/>
      <w:r w:rsidRPr="00770E93">
        <w:rPr>
          <w:rFonts w:cs="Helvetica"/>
          <w:color w:val="595959"/>
          <w:szCs w:val="20"/>
          <w:lang w:eastAsia="en-GB"/>
        </w:rPr>
        <w:t xml:space="preserve"> have  been determined plant by plant. Then the water consumption has been multiplied by this site-specific characterization factor. </w:t>
      </w:r>
      <w:r w:rsidR="00B07CF9">
        <w:rPr>
          <w:rFonts w:cs="Helvetica"/>
          <w:color w:val="595959"/>
          <w:szCs w:val="20"/>
          <w:lang w:eastAsia="en-GB"/>
        </w:rPr>
        <w:t xml:space="preserve"> </w:t>
      </w:r>
      <w:r w:rsidRPr="00770E93">
        <w:rPr>
          <w:rFonts w:cs="Helvetica"/>
          <w:color w:val="595959"/>
          <w:szCs w:val="20"/>
          <w:lang w:eastAsia="en-GB"/>
        </w:rPr>
        <w:t xml:space="preserve">For the same location, the </w:t>
      </w:r>
      <w:proofErr w:type="spellStart"/>
      <w:r w:rsidRPr="00770E93">
        <w:rPr>
          <w:rFonts w:cs="Helvetica"/>
          <w:color w:val="595959"/>
          <w:szCs w:val="20"/>
          <w:lang w:eastAsia="en-GB"/>
        </w:rPr>
        <w:t>AWaRe</w:t>
      </w:r>
      <w:proofErr w:type="spellEnd"/>
      <w:r w:rsidRPr="00770E93">
        <w:rPr>
          <w:rFonts w:cs="Helvetica"/>
          <w:color w:val="595959"/>
          <w:szCs w:val="20"/>
          <w:lang w:eastAsia="en-GB"/>
        </w:rPr>
        <w:t xml:space="preserve"> characterization factor is by a factor 20 – 200 higher than the WSI characterization factor which has been used for the 2015 LCA report</w:t>
      </w:r>
      <w:r w:rsidR="00770E93">
        <w:rPr>
          <w:rFonts w:cs="Helvetica"/>
          <w:color w:val="595959"/>
          <w:szCs w:val="20"/>
          <w:lang w:eastAsia="en-GB"/>
        </w:rPr>
        <w:t>.</w:t>
      </w:r>
    </w:p>
    <w:p w14:paraId="7B9A2876" w14:textId="77777777" w:rsidR="00B07CF9" w:rsidRPr="00DB1F25" w:rsidRDefault="00B07CF9" w:rsidP="00A340F8">
      <w:pPr>
        <w:spacing w:after="0" w:line="312" w:lineRule="auto"/>
        <w:jc w:val="both"/>
        <w:rPr>
          <w:rFonts w:cs="Helvetica"/>
          <w:color w:val="595959"/>
          <w:szCs w:val="20"/>
          <w:lang w:eastAsia="en-GB"/>
        </w:rPr>
      </w:pPr>
    </w:p>
    <w:p w14:paraId="1232DA2D" w14:textId="3FDE2C9C" w:rsidR="00F70A00" w:rsidRPr="000D0304" w:rsidRDefault="00146399">
      <w:pPr>
        <w:autoSpaceDE w:val="0"/>
        <w:autoSpaceDN w:val="0"/>
        <w:adjustRightInd w:val="0"/>
        <w:spacing w:after="0" w:line="312" w:lineRule="auto"/>
        <w:jc w:val="both"/>
        <w:rPr>
          <w:rFonts w:cs="Helvetica"/>
          <w:color w:val="595959"/>
          <w:szCs w:val="20"/>
          <w:lang w:eastAsia="en-GB"/>
        </w:rPr>
      </w:pPr>
      <w:r w:rsidRPr="000D0304">
        <w:rPr>
          <w:rFonts w:cs="Helvetica"/>
          <w:color w:val="595959"/>
          <w:szCs w:val="20"/>
          <w:lang w:eastAsia="en-GB"/>
        </w:rPr>
        <w:t>A</w:t>
      </w:r>
      <w:r w:rsidR="00F70A00" w:rsidRPr="000D0304">
        <w:rPr>
          <w:rFonts w:cs="Helvetica"/>
          <w:color w:val="595959"/>
          <w:szCs w:val="20"/>
          <w:lang w:eastAsia="en-GB"/>
        </w:rPr>
        <w:t xml:space="preserve"> breakdown of the relative contribution to </w:t>
      </w:r>
      <w:r w:rsidR="00AD1CD6">
        <w:rPr>
          <w:rFonts w:cs="Helvetica"/>
          <w:color w:val="595959"/>
          <w:szCs w:val="20"/>
          <w:lang w:eastAsia="en-GB"/>
        </w:rPr>
        <w:t>greenhouse gas emissions</w:t>
      </w:r>
      <w:r w:rsidR="00F70A00" w:rsidRPr="000D0304">
        <w:rPr>
          <w:rFonts w:cs="Helvetica"/>
          <w:color w:val="595959"/>
          <w:szCs w:val="20"/>
          <w:lang w:eastAsia="en-GB"/>
        </w:rPr>
        <w:t xml:space="preserve"> o</w:t>
      </w:r>
      <w:r w:rsidR="009831A3">
        <w:rPr>
          <w:rFonts w:cs="Helvetica"/>
          <w:color w:val="595959"/>
          <w:szCs w:val="20"/>
          <w:lang w:eastAsia="en-GB"/>
        </w:rPr>
        <w:t>f</w:t>
      </w:r>
      <w:r w:rsidR="00F70A00" w:rsidRPr="000D0304">
        <w:rPr>
          <w:rFonts w:cs="Helvetica"/>
          <w:color w:val="595959"/>
          <w:szCs w:val="20"/>
          <w:lang w:eastAsia="en-GB"/>
        </w:rPr>
        <w:t xml:space="preserve"> primary aluminium </w:t>
      </w:r>
      <w:r w:rsidR="009831A3">
        <w:rPr>
          <w:rFonts w:cs="Helvetica"/>
          <w:color w:val="595959"/>
          <w:szCs w:val="20"/>
          <w:lang w:eastAsia="en-GB"/>
        </w:rPr>
        <w:t>production unit processes</w:t>
      </w:r>
      <w:r w:rsidR="00F70A00" w:rsidRPr="000D0304">
        <w:rPr>
          <w:rFonts w:cs="Helvetica"/>
          <w:color w:val="595959"/>
          <w:szCs w:val="20"/>
          <w:lang w:eastAsia="en-GB"/>
        </w:rPr>
        <w:t xml:space="preserve"> is </w:t>
      </w:r>
      <w:r w:rsidRPr="000D0304">
        <w:rPr>
          <w:rFonts w:cs="Helvetica"/>
          <w:color w:val="595959"/>
          <w:szCs w:val="20"/>
          <w:lang w:eastAsia="en-GB"/>
        </w:rPr>
        <w:t xml:space="preserve">also </w:t>
      </w:r>
      <w:r w:rsidR="00F70A00" w:rsidRPr="000D0304">
        <w:rPr>
          <w:rFonts w:cs="Helvetica"/>
          <w:color w:val="595959"/>
          <w:szCs w:val="20"/>
          <w:lang w:eastAsia="en-GB"/>
        </w:rPr>
        <w:t>included</w:t>
      </w:r>
      <w:r w:rsidR="009831A3">
        <w:rPr>
          <w:rFonts w:cs="Helvetica"/>
          <w:color w:val="595959"/>
          <w:szCs w:val="20"/>
          <w:lang w:eastAsia="en-GB"/>
        </w:rPr>
        <w:t xml:space="preserve">.  </w:t>
      </w:r>
      <w:r w:rsidR="00F70A00" w:rsidRPr="000D0304">
        <w:rPr>
          <w:rFonts w:cs="Helvetica"/>
          <w:color w:val="595959"/>
          <w:szCs w:val="20"/>
          <w:lang w:eastAsia="en-GB"/>
        </w:rPr>
        <w:t xml:space="preserve">For a complete description of selected impact categories see Appendix </w:t>
      </w:r>
      <w:r w:rsidR="00BD3D29">
        <w:rPr>
          <w:rFonts w:cs="Helvetica"/>
          <w:color w:val="595959"/>
          <w:szCs w:val="20"/>
          <w:lang w:eastAsia="en-GB"/>
        </w:rPr>
        <w:t>D</w:t>
      </w:r>
      <w:r w:rsidR="00F70A00" w:rsidRPr="000D0304">
        <w:rPr>
          <w:rFonts w:cs="Helvetica"/>
          <w:color w:val="595959"/>
          <w:szCs w:val="20"/>
          <w:lang w:eastAsia="en-GB"/>
        </w:rPr>
        <w:t>.</w:t>
      </w:r>
    </w:p>
    <w:p w14:paraId="43E8A133" w14:textId="77777777" w:rsidR="00F70A00" w:rsidRPr="000D0304" w:rsidRDefault="00F70A00">
      <w:pPr>
        <w:autoSpaceDE w:val="0"/>
        <w:autoSpaceDN w:val="0"/>
        <w:adjustRightInd w:val="0"/>
        <w:spacing w:after="0" w:line="312" w:lineRule="auto"/>
        <w:jc w:val="both"/>
        <w:rPr>
          <w:rFonts w:cs="Helvetica"/>
          <w:color w:val="595959"/>
          <w:szCs w:val="20"/>
          <w:lang w:eastAsia="en-GB"/>
        </w:rPr>
      </w:pPr>
    </w:p>
    <w:p w14:paraId="4E7D0BDA" w14:textId="48E76B9A" w:rsidR="00F70A00" w:rsidRDefault="00F70A00">
      <w:pPr>
        <w:autoSpaceDE w:val="0"/>
        <w:autoSpaceDN w:val="0"/>
        <w:adjustRightInd w:val="0"/>
        <w:spacing w:after="0" w:line="312" w:lineRule="auto"/>
        <w:jc w:val="both"/>
        <w:rPr>
          <w:rFonts w:cs="Helvetica"/>
          <w:color w:val="595959"/>
          <w:szCs w:val="20"/>
          <w:lang w:eastAsia="en-GB"/>
        </w:rPr>
      </w:pPr>
      <w:r w:rsidRPr="000D0304">
        <w:rPr>
          <w:rFonts w:cs="Helvetica"/>
          <w:color w:val="595959"/>
          <w:szCs w:val="20"/>
          <w:lang w:eastAsia="en-GB"/>
        </w:rPr>
        <w:t>Land use is not included as an impact category</w:t>
      </w:r>
      <w:r w:rsidR="00A94496">
        <w:rPr>
          <w:rFonts w:cs="Helvetica"/>
          <w:color w:val="595959"/>
          <w:szCs w:val="20"/>
          <w:lang w:eastAsia="en-GB"/>
        </w:rPr>
        <w:t>,</w:t>
      </w:r>
      <w:r w:rsidRPr="000D0304">
        <w:rPr>
          <w:rFonts w:cs="Helvetica"/>
          <w:color w:val="595959"/>
          <w:szCs w:val="20"/>
          <w:lang w:eastAsia="en-GB"/>
        </w:rPr>
        <w:t xml:space="preserve"> </w:t>
      </w:r>
      <w:r w:rsidR="009831A3">
        <w:rPr>
          <w:rFonts w:cs="Helvetica"/>
          <w:color w:val="595959"/>
          <w:szCs w:val="20"/>
          <w:lang w:eastAsia="en-GB"/>
        </w:rPr>
        <w:t>although</w:t>
      </w:r>
      <w:r w:rsidR="009831A3" w:rsidRPr="000D0304">
        <w:rPr>
          <w:rFonts w:cs="Helvetica"/>
          <w:color w:val="595959"/>
          <w:szCs w:val="20"/>
          <w:lang w:eastAsia="en-GB"/>
        </w:rPr>
        <w:t xml:space="preserve"> </w:t>
      </w:r>
      <w:r w:rsidR="008E20B6" w:rsidRPr="000D0304">
        <w:rPr>
          <w:rFonts w:cs="Helvetica"/>
          <w:color w:val="595959"/>
          <w:szCs w:val="20"/>
          <w:lang w:eastAsia="en-GB"/>
        </w:rPr>
        <w:t xml:space="preserve">inventory data for land occupation and transformation </w:t>
      </w:r>
      <w:r w:rsidR="00A94496">
        <w:rPr>
          <w:rFonts w:cs="Helvetica"/>
          <w:color w:val="595959"/>
          <w:szCs w:val="20"/>
          <w:lang w:eastAsia="en-GB"/>
        </w:rPr>
        <w:t xml:space="preserve">related to </w:t>
      </w:r>
      <w:r w:rsidR="009831A3">
        <w:rPr>
          <w:rFonts w:cs="Helvetica"/>
          <w:color w:val="595959"/>
          <w:szCs w:val="20"/>
          <w:lang w:eastAsia="en-GB"/>
        </w:rPr>
        <w:t>primary</w:t>
      </w:r>
      <w:r w:rsidR="008E20B6" w:rsidRPr="000D0304">
        <w:rPr>
          <w:rFonts w:cs="Helvetica"/>
          <w:color w:val="595959"/>
          <w:szCs w:val="20"/>
          <w:lang w:eastAsia="en-GB"/>
        </w:rPr>
        <w:t xml:space="preserve"> </w:t>
      </w:r>
      <w:r w:rsidR="009831A3">
        <w:rPr>
          <w:rFonts w:cs="Helvetica"/>
          <w:color w:val="595959"/>
          <w:szCs w:val="20"/>
          <w:lang w:eastAsia="en-GB"/>
        </w:rPr>
        <w:t xml:space="preserve">aluminium processes </w:t>
      </w:r>
      <w:r w:rsidR="00693DF0">
        <w:rPr>
          <w:rFonts w:cs="Helvetica"/>
          <w:color w:val="595959"/>
          <w:szCs w:val="20"/>
          <w:lang w:eastAsia="en-GB"/>
        </w:rPr>
        <w:t>are</w:t>
      </w:r>
      <w:r w:rsidR="00A94496" w:rsidRPr="00377DF4">
        <w:rPr>
          <w:rFonts w:cs="Helvetica"/>
          <w:color w:val="595959"/>
          <w:szCs w:val="20"/>
          <w:lang w:eastAsia="en-GB"/>
        </w:rPr>
        <w:t xml:space="preserve"> published </w:t>
      </w:r>
      <w:r w:rsidR="00A94496">
        <w:rPr>
          <w:rFonts w:cs="Helvetica"/>
          <w:color w:val="595959"/>
          <w:szCs w:val="20"/>
          <w:lang w:eastAsia="en-GB"/>
        </w:rPr>
        <w:t>here</w:t>
      </w:r>
      <w:r w:rsidR="00DA5301">
        <w:rPr>
          <w:rFonts w:cs="Helvetica"/>
          <w:color w:val="595959"/>
          <w:szCs w:val="20"/>
          <w:lang w:eastAsia="en-GB"/>
        </w:rPr>
        <w:t xml:space="preserve">. </w:t>
      </w:r>
      <w:r w:rsidRPr="000D0304">
        <w:rPr>
          <w:rFonts w:cs="Helvetica"/>
          <w:color w:val="595959"/>
          <w:szCs w:val="20"/>
          <w:lang w:eastAsia="en-GB"/>
        </w:rPr>
        <w:t>Human toxicity and ecotoxicity are not included as impact categories here</w:t>
      </w:r>
      <w:r w:rsidR="009831A3">
        <w:rPr>
          <w:rFonts w:cs="Helvetica"/>
          <w:color w:val="595959"/>
          <w:szCs w:val="20"/>
          <w:lang w:eastAsia="en-GB"/>
        </w:rPr>
        <w:t>,</w:t>
      </w:r>
      <w:r w:rsidRPr="000D0304">
        <w:rPr>
          <w:rFonts w:cs="Helvetica"/>
          <w:color w:val="595959"/>
          <w:szCs w:val="20"/>
          <w:lang w:eastAsia="en-GB"/>
        </w:rPr>
        <w:t xml:space="preserve"> as the complex methodologies for their quantification, with respect to</w:t>
      </w:r>
      <w:r w:rsidR="00D56A0F" w:rsidRPr="000D0304">
        <w:rPr>
          <w:rFonts w:cs="Helvetica"/>
          <w:color w:val="595959"/>
          <w:szCs w:val="20"/>
          <w:lang w:eastAsia="en-GB"/>
        </w:rPr>
        <w:t xml:space="preserve"> metals, are not thought</w:t>
      </w:r>
      <w:r w:rsidRPr="000D0304">
        <w:rPr>
          <w:rFonts w:cs="Helvetica"/>
          <w:color w:val="595959"/>
          <w:szCs w:val="20"/>
          <w:lang w:eastAsia="en-GB"/>
        </w:rPr>
        <w:t xml:space="preserve"> to be robust enough at </w:t>
      </w:r>
      <w:r w:rsidR="00146399" w:rsidRPr="000D0304">
        <w:rPr>
          <w:rFonts w:cs="Helvetica"/>
          <w:color w:val="595959"/>
          <w:szCs w:val="20"/>
          <w:lang w:eastAsia="en-GB"/>
        </w:rPr>
        <w:t>present</w:t>
      </w:r>
      <w:r w:rsidR="009831A3">
        <w:rPr>
          <w:rFonts w:cs="Helvetica"/>
          <w:color w:val="595959"/>
          <w:szCs w:val="20"/>
          <w:lang w:eastAsia="en-GB"/>
        </w:rPr>
        <w:t xml:space="preserve">.  </w:t>
      </w:r>
      <w:r w:rsidR="00E6596F" w:rsidRPr="000D0304">
        <w:rPr>
          <w:rFonts w:cs="Helvetica"/>
          <w:color w:val="595959"/>
          <w:szCs w:val="20"/>
          <w:lang w:eastAsia="en-GB"/>
        </w:rPr>
        <w:t>T</w:t>
      </w:r>
      <w:r w:rsidRPr="000D0304">
        <w:rPr>
          <w:rFonts w:cs="Helvetica"/>
          <w:color w:val="595959"/>
          <w:szCs w:val="20"/>
          <w:lang w:eastAsia="en-GB"/>
        </w:rPr>
        <w:t xml:space="preserve">he aluminium industry, through the </w:t>
      </w:r>
      <w:r w:rsidR="009831A3">
        <w:rPr>
          <w:rFonts w:cs="Helvetica"/>
          <w:color w:val="595959"/>
          <w:szCs w:val="20"/>
          <w:lang w:eastAsia="en-GB"/>
        </w:rPr>
        <w:t xml:space="preserve">International Aluminium </w:t>
      </w:r>
      <w:r w:rsidRPr="000D0304">
        <w:rPr>
          <w:rFonts w:cs="Helvetica"/>
          <w:color w:val="595959"/>
          <w:szCs w:val="20"/>
          <w:lang w:eastAsia="en-GB"/>
        </w:rPr>
        <w:t xml:space="preserve">Institute, </w:t>
      </w:r>
      <w:r w:rsidR="00E6596F" w:rsidRPr="000D0304">
        <w:rPr>
          <w:rFonts w:cs="Helvetica"/>
          <w:color w:val="595959"/>
          <w:szCs w:val="20"/>
          <w:lang w:eastAsia="en-GB"/>
        </w:rPr>
        <w:t xml:space="preserve">continues to support research to develop better </w:t>
      </w:r>
      <w:r w:rsidRPr="000D0304">
        <w:rPr>
          <w:rFonts w:cs="Helvetica"/>
          <w:color w:val="595959"/>
          <w:szCs w:val="20"/>
          <w:lang w:eastAsia="en-GB"/>
        </w:rPr>
        <w:t xml:space="preserve">methodologies and to test them using aluminium industry data and it is hoped that </w:t>
      </w:r>
      <w:r w:rsidR="00D56A0F" w:rsidRPr="000D0304">
        <w:rPr>
          <w:rFonts w:cs="Helvetica"/>
          <w:color w:val="595959"/>
          <w:szCs w:val="20"/>
          <w:lang w:eastAsia="en-GB"/>
        </w:rPr>
        <w:t xml:space="preserve">in </w:t>
      </w:r>
      <w:r w:rsidRPr="000D0304">
        <w:rPr>
          <w:rFonts w:cs="Helvetica"/>
          <w:color w:val="595959"/>
          <w:szCs w:val="20"/>
          <w:lang w:eastAsia="en-GB"/>
        </w:rPr>
        <w:t xml:space="preserve">future </w:t>
      </w:r>
      <w:r w:rsidR="009831A3">
        <w:rPr>
          <w:rFonts w:cs="Helvetica"/>
          <w:color w:val="595959"/>
          <w:szCs w:val="20"/>
          <w:lang w:eastAsia="en-GB"/>
        </w:rPr>
        <w:t>i</w:t>
      </w:r>
      <w:r w:rsidR="00D56A0F" w:rsidRPr="000D0304">
        <w:rPr>
          <w:rFonts w:cs="Helvetica"/>
          <w:color w:val="595959"/>
          <w:szCs w:val="20"/>
          <w:lang w:eastAsia="en-GB"/>
        </w:rPr>
        <w:t>t</w:t>
      </w:r>
      <w:r w:rsidRPr="000D0304">
        <w:rPr>
          <w:rFonts w:cs="Helvetica"/>
          <w:color w:val="595959"/>
          <w:szCs w:val="20"/>
          <w:lang w:eastAsia="en-GB"/>
        </w:rPr>
        <w:t xml:space="preserve"> will be </w:t>
      </w:r>
      <w:r w:rsidR="009831A3">
        <w:rPr>
          <w:rFonts w:cs="Helvetica"/>
          <w:color w:val="595959"/>
          <w:szCs w:val="20"/>
          <w:lang w:eastAsia="en-GB"/>
        </w:rPr>
        <w:t xml:space="preserve">possible to include </w:t>
      </w:r>
      <w:r w:rsidRPr="000D0304">
        <w:rPr>
          <w:rFonts w:cs="Helvetica"/>
          <w:color w:val="595959"/>
          <w:szCs w:val="20"/>
          <w:lang w:eastAsia="en-GB"/>
        </w:rPr>
        <w:t>such impact categories.</w:t>
      </w:r>
    </w:p>
    <w:p w14:paraId="7117C2D1" w14:textId="77777777" w:rsidR="00634F72" w:rsidRPr="000D0304" w:rsidRDefault="00634F72">
      <w:pPr>
        <w:autoSpaceDE w:val="0"/>
        <w:autoSpaceDN w:val="0"/>
        <w:adjustRightInd w:val="0"/>
        <w:spacing w:after="0" w:line="312" w:lineRule="auto"/>
        <w:jc w:val="both"/>
        <w:rPr>
          <w:rFonts w:cs="Helvetica"/>
          <w:color w:val="595959"/>
          <w:szCs w:val="20"/>
          <w:lang w:eastAsia="en-GB"/>
        </w:rPr>
      </w:pPr>
    </w:p>
    <w:p w14:paraId="2E3C7A5F" w14:textId="77777777" w:rsidR="006D76FD" w:rsidRPr="003C293F" w:rsidRDefault="006D76FD" w:rsidP="00DA5301">
      <w:pPr>
        <w:pStyle w:val="Heading3"/>
      </w:pPr>
      <w:bookmarkStart w:id="146" w:name="_Toc480555227"/>
      <w:bookmarkStart w:id="147" w:name="_Toc480555313"/>
      <w:bookmarkStart w:id="148" w:name="_Toc480555399"/>
      <w:bookmarkStart w:id="149" w:name="_Toc480555481"/>
      <w:bookmarkStart w:id="150" w:name="_Toc480971425"/>
      <w:bookmarkStart w:id="151" w:name="_Toc480555228"/>
      <w:bookmarkStart w:id="152" w:name="_Toc480555314"/>
      <w:bookmarkStart w:id="153" w:name="_Toc480555400"/>
      <w:bookmarkStart w:id="154" w:name="_Toc480555482"/>
      <w:bookmarkStart w:id="155" w:name="_Toc480971426"/>
      <w:bookmarkStart w:id="156" w:name="_Toc120111943"/>
      <w:bookmarkEnd w:id="146"/>
      <w:bookmarkEnd w:id="147"/>
      <w:bookmarkEnd w:id="148"/>
      <w:bookmarkEnd w:id="149"/>
      <w:bookmarkEnd w:id="150"/>
      <w:bookmarkEnd w:id="151"/>
      <w:bookmarkEnd w:id="152"/>
      <w:bookmarkEnd w:id="153"/>
      <w:bookmarkEnd w:id="154"/>
      <w:bookmarkEnd w:id="155"/>
      <w:r w:rsidRPr="003C293F">
        <w:t>Classification and Characterisation of LCI Results</w:t>
      </w:r>
      <w:bookmarkEnd w:id="156"/>
    </w:p>
    <w:p w14:paraId="612F4F9F" w14:textId="77777777" w:rsidR="00F70A00" w:rsidRPr="000D0304" w:rsidRDefault="00F70A00">
      <w:pPr>
        <w:autoSpaceDE w:val="0"/>
        <w:autoSpaceDN w:val="0"/>
        <w:adjustRightInd w:val="0"/>
        <w:spacing w:after="0" w:line="312" w:lineRule="auto"/>
        <w:jc w:val="both"/>
        <w:rPr>
          <w:rFonts w:cs="Helvetica"/>
          <w:color w:val="595959"/>
          <w:szCs w:val="20"/>
          <w:lang w:eastAsia="en-GB"/>
        </w:rPr>
      </w:pPr>
      <w:r w:rsidRPr="000D0304">
        <w:rPr>
          <w:rFonts w:cs="Helvetica"/>
          <w:color w:val="595959"/>
          <w:szCs w:val="20"/>
          <w:lang w:eastAsia="en-GB"/>
        </w:rPr>
        <w:t>As described in ISO 14044, the assessment of potential environmental impacts is divided into two steps</w:t>
      </w:r>
      <w:r w:rsidR="00410AAA">
        <w:rPr>
          <w:rFonts w:cs="Helvetica"/>
          <w:color w:val="595959"/>
          <w:szCs w:val="20"/>
          <w:lang w:eastAsia="en-GB"/>
        </w:rPr>
        <w:t>,</w:t>
      </w:r>
      <w:r w:rsidRPr="000D0304">
        <w:rPr>
          <w:rFonts w:cs="Helvetica"/>
          <w:color w:val="595959"/>
          <w:szCs w:val="20"/>
          <w:lang w:eastAsia="en-GB"/>
        </w:rPr>
        <w:t xml:space="preserve"> which must be performed as a minimum:</w:t>
      </w:r>
    </w:p>
    <w:p w14:paraId="6F0E810B" w14:textId="77777777" w:rsidR="00F70A00" w:rsidRPr="000D0304" w:rsidRDefault="00A24A34" w:rsidP="000D0304">
      <w:pPr>
        <w:pStyle w:val="ListParagraph"/>
        <w:numPr>
          <w:ilvl w:val="0"/>
          <w:numId w:val="44"/>
        </w:numPr>
        <w:autoSpaceDE w:val="0"/>
        <w:autoSpaceDN w:val="0"/>
        <w:adjustRightInd w:val="0"/>
        <w:spacing w:after="0" w:line="312" w:lineRule="auto"/>
        <w:ind w:left="714" w:hanging="357"/>
        <w:jc w:val="both"/>
        <w:rPr>
          <w:rFonts w:cs="Helvetica"/>
          <w:color w:val="595959"/>
          <w:szCs w:val="20"/>
          <w:lang w:eastAsia="en-GB"/>
        </w:rPr>
      </w:pPr>
      <w:r w:rsidRPr="000D0304">
        <w:rPr>
          <w:rFonts w:cs="Helvetica"/>
          <w:color w:val="595959"/>
          <w:szCs w:val="20"/>
          <w:lang w:eastAsia="en-GB"/>
        </w:rPr>
        <w:t xml:space="preserve">Classification: </w:t>
      </w:r>
      <w:r w:rsidR="00117712" w:rsidRPr="000D0304">
        <w:rPr>
          <w:rFonts w:cs="Helvetica"/>
          <w:color w:val="595959"/>
          <w:szCs w:val="20"/>
          <w:lang w:eastAsia="en-GB"/>
        </w:rPr>
        <w:t>a</w:t>
      </w:r>
      <w:r w:rsidR="00F70A00" w:rsidRPr="000D0304">
        <w:rPr>
          <w:rFonts w:cs="Helvetica"/>
          <w:color w:val="595959"/>
          <w:szCs w:val="20"/>
          <w:lang w:eastAsia="en-GB"/>
        </w:rPr>
        <w:t>ssigning life cycle inventory results to life cycle impact categories (</w:t>
      </w:r>
      <w:r w:rsidR="00F70A00" w:rsidRPr="000D0304">
        <w:rPr>
          <w:rFonts w:cs="Helvetica"/>
          <w:i/>
          <w:color w:val="595959"/>
          <w:szCs w:val="20"/>
          <w:lang w:eastAsia="en-GB"/>
        </w:rPr>
        <w:t>classification</w:t>
      </w:r>
      <w:r w:rsidR="00F70A00" w:rsidRPr="000D0304">
        <w:rPr>
          <w:rFonts w:cs="Helvetica"/>
          <w:color w:val="595959"/>
          <w:szCs w:val="20"/>
          <w:lang w:eastAsia="en-GB"/>
        </w:rPr>
        <w:t>).</w:t>
      </w:r>
    </w:p>
    <w:p w14:paraId="1A796D9F" w14:textId="37D648DA" w:rsidR="00A24A34" w:rsidRPr="000D0304" w:rsidRDefault="00A24A34" w:rsidP="000D0304">
      <w:pPr>
        <w:pStyle w:val="ListParagraph"/>
        <w:numPr>
          <w:ilvl w:val="0"/>
          <w:numId w:val="44"/>
        </w:numPr>
        <w:autoSpaceDE w:val="0"/>
        <w:autoSpaceDN w:val="0"/>
        <w:adjustRightInd w:val="0"/>
        <w:spacing w:after="0" w:line="312" w:lineRule="auto"/>
        <w:ind w:left="714" w:hanging="357"/>
        <w:jc w:val="both"/>
        <w:rPr>
          <w:rFonts w:cs="Helvetica"/>
          <w:color w:val="595959"/>
          <w:szCs w:val="20"/>
          <w:lang w:eastAsia="en-GB"/>
        </w:rPr>
      </w:pPr>
      <w:r w:rsidRPr="000D0304">
        <w:rPr>
          <w:rFonts w:cs="Helvetica"/>
          <w:color w:val="595959"/>
          <w:szCs w:val="20"/>
          <w:lang w:eastAsia="en-GB"/>
        </w:rPr>
        <w:t>Characterisation: application of science-based factors to the</w:t>
      </w:r>
      <w:r w:rsidR="00FA4791">
        <w:rPr>
          <w:rFonts w:cs="Helvetica"/>
          <w:color w:val="595959"/>
          <w:szCs w:val="20"/>
          <w:lang w:eastAsia="en-GB"/>
        </w:rPr>
        <w:t xml:space="preserve"> classified</w:t>
      </w:r>
      <w:r w:rsidRPr="000D0304">
        <w:rPr>
          <w:rFonts w:cs="Helvetica"/>
          <w:color w:val="595959"/>
          <w:szCs w:val="20"/>
          <w:lang w:eastAsia="en-GB"/>
        </w:rPr>
        <w:t xml:space="preserve"> life cycle inventory results which when summed </w:t>
      </w:r>
      <w:r w:rsidR="00EF55B9">
        <w:rPr>
          <w:rFonts w:cs="Helvetica"/>
          <w:color w:val="595959"/>
          <w:szCs w:val="20"/>
          <w:lang w:eastAsia="en-GB"/>
        </w:rPr>
        <w:t>for each impact category</w:t>
      </w:r>
      <w:r w:rsidR="00EF55B9" w:rsidRPr="000D0304">
        <w:rPr>
          <w:rFonts w:cs="Helvetica"/>
          <w:color w:val="595959"/>
          <w:szCs w:val="20"/>
          <w:lang w:eastAsia="en-GB"/>
        </w:rPr>
        <w:t xml:space="preserve"> </w:t>
      </w:r>
      <w:r w:rsidRPr="000D0304">
        <w:rPr>
          <w:rFonts w:cs="Helvetica"/>
          <w:color w:val="595959"/>
          <w:szCs w:val="20"/>
          <w:lang w:eastAsia="en-GB"/>
        </w:rPr>
        <w:t>give the category indicator results</w:t>
      </w:r>
    </w:p>
    <w:p w14:paraId="3F6F3285" w14:textId="77777777" w:rsidR="00A24A34" w:rsidRPr="000D0304" w:rsidRDefault="00A24A34">
      <w:pPr>
        <w:autoSpaceDE w:val="0"/>
        <w:autoSpaceDN w:val="0"/>
        <w:adjustRightInd w:val="0"/>
        <w:spacing w:after="0" w:line="312" w:lineRule="auto"/>
        <w:jc w:val="both"/>
        <w:rPr>
          <w:rFonts w:cs="Helvetica"/>
          <w:color w:val="595959"/>
          <w:szCs w:val="20"/>
          <w:lang w:eastAsia="en-GB"/>
        </w:rPr>
      </w:pPr>
    </w:p>
    <w:p w14:paraId="27F1F647" w14:textId="573EDBB1" w:rsidR="00F70A00" w:rsidRPr="000D0304" w:rsidRDefault="00F70A00">
      <w:pPr>
        <w:autoSpaceDE w:val="0"/>
        <w:autoSpaceDN w:val="0"/>
        <w:adjustRightInd w:val="0"/>
        <w:spacing w:after="0" w:line="312" w:lineRule="auto"/>
        <w:jc w:val="both"/>
        <w:rPr>
          <w:rFonts w:cs="Helvetica"/>
          <w:color w:val="595959"/>
          <w:szCs w:val="20"/>
          <w:lang w:eastAsia="en-GB"/>
        </w:rPr>
      </w:pPr>
      <w:r w:rsidRPr="000D0304">
        <w:rPr>
          <w:rFonts w:cs="Helvetica"/>
          <w:color w:val="595959"/>
          <w:szCs w:val="20"/>
          <w:lang w:eastAsia="en-GB"/>
        </w:rPr>
        <w:t>The two steps can be completed simultaneously using software tools to produce LCIA results</w:t>
      </w:r>
      <w:r w:rsidR="009831A3">
        <w:rPr>
          <w:rFonts w:cs="Helvetica"/>
          <w:color w:val="595959"/>
          <w:szCs w:val="20"/>
          <w:lang w:eastAsia="en-GB"/>
        </w:rPr>
        <w:t xml:space="preserve">. </w:t>
      </w:r>
      <w:r w:rsidR="00767E59" w:rsidRPr="000D0304">
        <w:rPr>
          <w:rFonts w:cs="Helvetica"/>
          <w:color w:val="595959"/>
          <w:szCs w:val="20"/>
          <w:lang w:eastAsia="en-GB"/>
        </w:rPr>
        <w:t xml:space="preserve">The </w:t>
      </w:r>
      <w:r w:rsidRPr="000D0304">
        <w:rPr>
          <w:rFonts w:cs="Helvetica"/>
          <w:color w:val="595959"/>
          <w:szCs w:val="20"/>
          <w:lang w:eastAsia="en-GB"/>
        </w:rPr>
        <w:t xml:space="preserve">LCIA results were modelled in GaBi </w:t>
      </w:r>
      <w:r w:rsidR="0099595A">
        <w:rPr>
          <w:rFonts w:cs="Helvetica"/>
          <w:color w:val="595959"/>
          <w:szCs w:val="20"/>
          <w:lang w:eastAsia="en-GB"/>
        </w:rPr>
        <w:t xml:space="preserve">version </w:t>
      </w:r>
      <w:r w:rsidR="00D03AD3">
        <w:rPr>
          <w:rFonts w:cs="Helvetica"/>
          <w:color w:val="595959"/>
          <w:szCs w:val="20"/>
          <w:lang w:eastAsia="en-GB"/>
        </w:rPr>
        <w:t>2022</w:t>
      </w:r>
      <w:r w:rsidR="0099595A">
        <w:rPr>
          <w:rFonts w:cs="Helvetica"/>
          <w:color w:val="595959"/>
          <w:szCs w:val="20"/>
          <w:lang w:eastAsia="en-GB"/>
        </w:rPr>
        <w:t>.2</w:t>
      </w:r>
      <w:r w:rsidR="009831A3">
        <w:rPr>
          <w:rFonts w:cs="Helvetica"/>
          <w:color w:val="595959"/>
          <w:szCs w:val="20"/>
          <w:lang w:eastAsia="en-GB"/>
        </w:rPr>
        <w:t xml:space="preserve">.  </w:t>
      </w:r>
      <w:r w:rsidRPr="000D0304">
        <w:rPr>
          <w:rFonts w:cs="Helvetica"/>
          <w:color w:val="595959"/>
          <w:szCs w:val="20"/>
          <w:lang w:eastAsia="en-GB"/>
        </w:rPr>
        <w:t xml:space="preserve">The data used in the GaBi database </w:t>
      </w:r>
      <w:r w:rsidR="00384AFA" w:rsidRPr="000D0304">
        <w:rPr>
          <w:rFonts w:cs="Helvetica"/>
          <w:color w:val="595959"/>
          <w:szCs w:val="20"/>
          <w:lang w:eastAsia="en-GB"/>
        </w:rPr>
        <w:t xml:space="preserve">for </w:t>
      </w:r>
      <w:r w:rsidR="008B351B">
        <w:rPr>
          <w:rFonts w:cs="Helvetica"/>
          <w:color w:val="595959"/>
          <w:szCs w:val="20"/>
          <w:lang w:eastAsia="en-GB"/>
        </w:rPr>
        <w:t>characterisation</w:t>
      </w:r>
      <w:r w:rsidRPr="000D0304">
        <w:rPr>
          <w:rFonts w:cs="Helvetica"/>
          <w:color w:val="595959"/>
          <w:szCs w:val="20"/>
          <w:lang w:eastAsia="en-GB"/>
        </w:rPr>
        <w:t xml:space="preserve"> are published by</w:t>
      </w:r>
      <w:r w:rsidR="00384AFA" w:rsidRPr="000D0304">
        <w:rPr>
          <w:rFonts w:cs="Helvetica"/>
          <w:color w:val="595959"/>
          <w:szCs w:val="20"/>
          <w:lang w:eastAsia="en-GB"/>
        </w:rPr>
        <w:t xml:space="preserve"> reputable and internationally recognised organisations </w:t>
      </w:r>
      <w:r w:rsidR="00A24A34" w:rsidRPr="000D0304">
        <w:rPr>
          <w:rFonts w:cs="Helvetica"/>
          <w:color w:val="595959"/>
          <w:szCs w:val="20"/>
          <w:lang w:eastAsia="en-GB"/>
        </w:rPr>
        <w:t>including</w:t>
      </w:r>
      <w:r w:rsidRPr="000D0304">
        <w:rPr>
          <w:rFonts w:cs="Helvetica"/>
          <w:color w:val="595959"/>
          <w:szCs w:val="20"/>
          <w:lang w:eastAsia="en-GB"/>
        </w:rPr>
        <w:t>:</w:t>
      </w:r>
    </w:p>
    <w:p w14:paraId="0881D318" w14:textId="77777777" w:rsidR="00F70A00" w:rsidRPr="000D0304" w:rsidRDefault="00F70A00" w:rsidP="000D0304">
      <w:pPr>
        <w:pStyle w:val="ListParagraph"/>
        <w:numPr>
          <w:ilvl w:val="0"/>
          <w:numId w:val="26"/>
        </w:numPr>
        <w:autoSpaceDE w:val="0"/>
        <w:autoSpaceDN w:val="0"/>
        <w:adjustRightInd w:val="0"/>
        <w:spacing w:after="0" w:line="312" w:lineRule="auto"/>
        <w:ind w:left="714" w:hanging="357"/>
        <w:jc w:val="both"/>
        <w:rPr>
          <w:rFonts w:cs="Helvetica"/>
          <w:color w:val="595959"/>
          <w:szCs w:val="20"/>
          <w:lang w:eastAsia="en-GB"/>
        </w:rPr>
      </w:pPr>
      <w:r w:rsidRPr="000D0304">
        <w:rPr>
          <w:rFonts w:cs="Helvetica"/>
          <w:i/>
          <w:iCs/>
          <w:color w:val="595959"/>
          <w:szCs w:val="20"/>
          <w:lang w:eastAsia="en-GB"/>
        </w:rPr>
        <w:t xml:space="preserve">International Organization for Standardization </w:t>
      </w:r>
      <w:r w:rsidRPr="000D0304">
        <w:rPr>
          <w:rFonts w:cs="Helvetica"/>
          <w:color w:val="595959"/>
          <w:szCs w:val="20"/>
          <w:lang w:eastAsia="en-GB"/>
        </w:rPr>
        <w:t>(ISO);</w:t>
      </w:r>
    </w:p>
    <w:p w14:paraId="778BF643" w14:textId="77777777" w:rsidR="00F70A00" w:rsidRPr="000D0304" w:rsidRDefault="00F70A00" w:rsidP="000D0304">
      <w:pPr>
        <w:pStyle w:val="ListParagraph"/>
        <w:numPr>
          <w:ilvl w:val="0"/>
          <w:numId w:val="26"/>
        </w:numPr>
        <w:autoSpaceDE w:val="0"/>
        <w:autoSpaceDN w:val="0"/>
        <w:adjustRightInd w:val="0"/>
        <w:spacing w:after="0" w:line="312" w:lineRule="auto"/>
        <w:ind w:left="714" w:hanging="357"/>
        <w:jc w:val="both"/>
        <w:rPr>
          <w:rFonts w:cs="Helvetica"/>
          <w:color w:val="595959"/>
          <w:szCs w:val="20"/>
          <w:lang w:eastAsia="en-GB"/>
        </w:rPr>
      </w:pPr>
      <w:r w:rsidRPr="000D0304">
        <w:rPr>
          <w:rFonts w:cs="Helvetica"/>
          <w:i/>
          <w:iCs/>
          <w:color w:val="595959"/>
          <w:szCs w:val="20"/>
          <w:lang w:eastAsia="en-GB"/>
        </w:rPr>
        <w:t xml:space="preserve">Society of Environmental Toxicology and Chemistry </w:t>
      </w:r>
      <w:r w:rsidRPr="000D0304">
        <w:rPr>
          <w:rFonts w:cs="Helvetica"/>
          <w:color w:val="595959"/>
          <w:szCs w:val="20"/>
          <w:lang w:eastAsia="en-GB"/>
        </w:rPr>
        <w:t>(SETAC);</w:t>
      </w:r>
    </w:p>
    <w:p w14:paraId="4F737188" w14:textId="77777777" w:rsidR="009831A3" w:rsidRPr="000D0304" w:rsidRDefault="00F70A00" w:rsidP="000D0304">
      <w:pPr>
        <w:pStyle w:val="ListParagraph"/>
        <w:numPr>
          <w:ilvl w:val="0"/>
          <w:numId w:val="26"/>
        </w:numPr>
        <w:autoSpaceDE w:val="0"/>
        <w:autoSpaceDN w:val="0"/>
        <w:adjustRightInd w:val="0"/>
        <w:spacing w:after="0" w:line="312" w:lineRule="auto"/>
        <w:ind w:left="714" w:hanging="357"/>
        <w:jc w:val="both"/>
        <w:rPr>
          <w:rFonts w:cs="Helvetica"/>
          <w:color w:val="595959"/>
          <w:szCs w:val="20"/>
          <w:lang w:eastAsia="en-GB"/>
        </w:rPr>
      </w:pPr>
      <w:r w:rsidRPr="000D0304">
        <w:rPr>
          <w:rFonts w:cs="Helvetica"/>
          <w:i/>
          <w:iCs/>
          <w:color w:val="595959"/>
          <w:szCs w:val="20"/>
          <w:lang w:eastAsia="en-GB"/>
        </w:rPr>
        <w:t xml:space="preserve">World Meteorological Organisation </w:t>
      </w:r>
      <w:r w:rsidRPr="000D0304">
        <w:rPr>
          <w:rFonts w:cs="Helvetica"/>
          <w:color w:val="595959"/>
          <w:szCs w:val="20"/>
          <w:lang w:eastAsia="en-GB"/>
        </w:rPr>
        <w:t>(WMO); and</w:t>
      </w:r>
    </w:p>
    <w:p w14:paraId="1AD75EBA" w14:textId="22A9786E" w:rsidR="009831A3" w:rsidRDefault="00F70A00" w:rsidP="000D0304">
      <w:pPr>
        <w:pStyle w:val="ListParagraph"/>
        <w:numPr>
          <w:ilvl w:val="0"/>
          <w:numId w:val="26"/>
        </w:numPr>
        <w:autoSpaceDE w:val="0"/>
        <w:autoSpaceDN w:val="0"/>
        <w:adjustRightInd w:val="0"/>
        <w:spacing w:after="0" w:line="312" w:lineRule="auto"/>
        <w:ind w:left="714" w:hanging="357"/>
        <w:jc w:val="both"/>
        <w:rPr>
          <w:rFonts w:cs="Helvetica"/>
          <w:i/>
          <w:iCs/>
          <w:color w:val="595959"/>
          <w:szCs w:val="20"/>
          <w:lang w:eastAsia="en-GB"/>
        </w:rPr>
      </w:pPr>
      <w:r w:rsidRPr="000D0304">
        <w:rPr>
          <w:rFonts w:cs="Helvetica"/>
          <w:i/>
          <w:iCs/>
          <w:color w:val="595959"/>
          <w:szCs w:val="20"/>
          <w:lang w:eastAsia="en-GB"/>
        </w:rPr>
        <w:t>Intergovernmental Panel on Climate Change (IPCC).</w:t>
      </w:r>
    </w:p>
    <w:p w14:paraId="5A7DE39C" w14:textId="77777777" w:rsidR="00634F72" w:rsidRPr="009831A3" w:rsidRDefault="00634F72" w:rsidP="00634F72">
      <w:pPr>
        <w:pStyle w:val="ListParagraph"/>
        <w:autoSpaceDE w:val="0"/>
        <w:autoSpaceDN w:val="0"/>
        <w:adjustRightInd w:val="0"/>
        <w:spacing w:after="0" w:line="312" w:lineRule="auto"/>
        <w:ind w:left="714"/>
        <w:jc w:val="both"/>
        <w:rPr>
          <w:rFonts w:cs="Helvetica"/>
          <w:i/>
          <w:iCs/>
          <w:color w:val="595959"/>
          <w:szCs w:val="20"/>
          <w:lang w:eastAsia="en-GB"/>
        </w:rPr>
      </w:pPr>
    </w:p>
    <w:p w14:paraId="5359C3C3" w14:textId="14D4FDEE" w:rsidR="006D76FD" w:rsidRPr="000D0304" w:rsidRDefault="006D76FD" w:rsidP="00DA5301">
      <w:pPr>
        <w:pStyle w:val="Heading3"/>
      </w:pPr>
      <w:bookmarkStart w:id="157" w:name="_Toc480971428"/>
      <w:bookmarkStart w:id="158" w:name="_Toc480555230"/>
      <w:bookmarkStart w:id="159" w:name="_Toc480555316"/>
      <w:bookmarkStart w:id="160" w:name="_Toc480555402"/>
      <w:bookmarkStart w:id="161" w:name="_Toc480555484"/>
      <w:bookmarkStart w:id="162" w:name="_Toc480971429"/>
      <w:bookmarkStart w:id="163" w:name="_Toc120111944"/>
      <w:bookmarkEnd w:id="157"/>
      <w:bookmarkEnd w:id="158"/>
      <w:bookmarkEnd w:id="159"/>
      <w:bookmarkEnd w:id="160"/>
      <w:bookmarkEnd w:id="161"/>
      <w:bookmarkEnd w:id="162"/>
      <w:r w:rsidRPr="000D0304">
        <w:t xml:space="preserve">Mass </w:t>
      </w:r>
      <w:r w:rsidR="00733BF3" w:rsidRPr="00B67CE2">
        <w:t>F</w:t>
      </w:r>
      <w:r w:rsidRPr="000D0304">
        <w:t xml:space="preserve">low </w:t>
      </w:r>
      <w:r w:rsidR="00733BF3" w:rsidRPr="00B67CE2">
        <w:t xml:space="preserve">Analysis </w:t>
      </w:r>
      <w:r w:rsidR="002A52D3" w:rsidRPr="007A6DAA">
        <w:t>(MFA)</w:t>
      </w:r>
      <w:r w:rsidR="008B351B">
        <w:t>, Key Supply Chains</w:t>
      </w:r>
      <w:r w:rsidR="002A52D3" w:rsidRPr="007A6DAA">
        <w:t xml:space="preserve"> </w:t>
      </w:r>
      <w:r w:rsidRPr="000D0304">
        <w:t xml:space="preserve">and Scenario </w:t>
      </w:r>
      <w:r w:rsidR="002620D5" w:rsidRPr="000D0304">
        <w:t>Selection</w:t>
      </w:r>
      <w:bookmarkEnd w:id="163"/>
    </w:p>
    <w:p w14:paraId="35B7E08A" w14:textId="10CE7643" w:rsidR="0099632C" w:rsidRDefault="007A23E6">
      <w:pPr>
        <w:spacing w:after="0" w:line="312" w:lineRule="auto"/>
        <w:contextualSpacing/>
        <w:jc w:val="both"/>
        <w:rPr>
          <w:rFonts w:cs="Helvetica"/>
          <w:color w:val="595959"/>
          <w:szCs w:val="20"/>
          <w:lang w:eastAsia="en-GB"/>
        </w:rPr>
      </w:pPr>
      <w:r w:rsidRPr="000D0304">
        <w:rPr>
          <w:rFonts w:cs="Helvetica"/>
          <w:color w:val="595959"/>
          <w:szCs w:val="20"/>
          <w:lang w:eastAsia="en-GB"/>
        </w:rPr>
        <w:t>In addition to modelling the global aluminium industry’s</w:t>
      </w:r>
      <w:r w:rsidR="002A52D3">
        <w:rPr>
          <w:rFonts w:cs="Helvetica"/>
          <w:color w:val="595959"/>
          <w:szCs w:val="20"/>
          <w:lang w:eastAsia="en-GB"/>
        </w:rPr>
        <w:t xml:space="preserve"> av</w:t>
      </w:r>
      <w:r w:rsidR="0099632C">
        <w:rPr>
          <w:rFonts w:cs="Helvetica"/>
          <w:color w:val="595959"/>
          <w:szCs w:val="20"/>
          <w:lang w:eastAsia="en-GB"/>
        </w:rPr>
        <w:t>erage</w:t>
      </w:r>
      <w:r w:rsidR="00A24A34" w:rsidRPr="000D0304">
        <w:rPr>
          <w:rFonts w:cs="Helvetica"/>
          <w:color w:val="595959"/>
          <w:szCs w:val="20"/>
          <w:lang w:eastAsia="en-GB"/>
        </w:rPr>
        <w:t xml:space="preserve"> potential </w:t>
      </w:r>
      <w:r w:rsidRPr="000D0304">
        <w:rPr>
          <w:rFonts w:cs="Helvetica"/>
          <w:color w:val="595959"/>
          <w:szCs w:val="20"/>
          <w:lang w:eastAsia="en-GB"/>
        </w:rPr>
        <w:t>environmental impact</w:t>
      </w:r>
      <w:r w:rsidR="008B351B">
        <w:rPr>
          <w:rFonts w:cs="Helvetica"/>
          <w:color w:val="595959"/>
          <w:szCs w:val="20"/>
          <w:lang w:eastAsia="en-GB"/>
        </w:rPr>
        <w:t>s</w:t>
      </w:r>
      <w:r w:rsidRPr="000D0304">
        <w:rPr>
          <w:rFonts w:cs="Helvetica"/>
          <w:color w:val="595959"/>
          <w:szCs w:val="20"/>
          <w:lang w:eastAsia="en-GB"/>
        </w:rPr>
        <w:t>, a select</w:t>
      </w:r>
      <w:r w:rsidR="00564105">
        <w:rPr>
          <w:rFonts w:cs="Helvetica"/>
          <w:color w:val="595959"/>
          <w:szCs w:val="20"/>
          <w:lang w:eastAsia="en-GB"/>
        </w:rPr>
        <w:t>ed</w:t>
      </w:r>
      <w:r w:rsidRPr="000D0304">
        <w:rPr>
          <w:rFonts w:cs="Helvetica"/>
          <w:color w:val="595959"/>
          <w:szCs w:val="20"/>
          <w:lang w:eastAsia="en-GB"/>
        </w:rPr>
        <w:t xml:space="preserve"> set of </w:t>
      </w:r>
      <w:r w:rsidR="006B0766" w:rsidRPr="000D0304">
        <w:rPr>
          <w:rFonts w:cs="Helvetica"/>
          <w:color w:val="595959"/>
          <w:szCs w:val="20"/>
          <w:lang w:eastAsia="en-GB"/>
        </w:rPr>
        <w:t>archetyp</w:t>
      </w:r>
      <w:r w:rsidR="0099632C">
        <w:rPr>
          <w:rFonts w:cs="Helvetica"/>
          <w:color w:val="595959"/>
          <w:szCs w:val="20"/>
          <w:lang w:eastAsia="en-GB"/>
        </w:rPr>
        <w:t>al</w:t>
      </w:r>
      <w:r w:rsidR="006B0766" w:rsidRPr="000D0304">
        <w:rPr>
          <w:rFonts w:cs="Helvetica"/>
          <w:color w:val="595959"/>
          <w:szCs w:val="20"/>
          <w:lang w:eastAsia="en-GB"/>
        </w:rPr>
        <w:t xml:space="preserve"> </w:t>
      </w:r>
      <w:r w:rsidRPr="000D0304">
        <w:rPr>
          <w:rFonts w:cs="Helvetica"/>
          <w:color w:val="595959"/>
          <w:szCs w:val="20"/>
          <w:lang w:eastAsia="en-GB"/>
        </w:rPr>
        <w:t xml:space="preserve">scenarios </w:t>
      </w:r>
      <w:r w:rsidR="0099632C">
        <w:rPr>
          <w:rFonts w:cs="Helvetica"/>
          <w:color w:val="595959"/>
          <w:szCs w:val="20"/>
          <w:lang w:eastAsia="en-GB"/>
        </w:rPr>
        <w:t>is</w:t>
      </w:r>
      <w:r w:rsidR="0099632C" w:rsidRPr="000D0304">
        <w:rPr>
          <w:rFonts w:cs="Helvetica"/>
          <w:color w:val="595959"/>
          <w:szCs w:val="20"/>
          <w:lang w:eastAsia="en-GB"/>
        </w:rPr>
        <w:t xml:space="preserve"> </w:t>
      </w:r>
      <w:r w:rsidRPr="000D0304">
        <w:rPr>
          <w:rFonts w:cs="Helvetica"/>
          <w:color w:val="595959"/>
          <w:szCs w:val="20"/>
          <w:lang w:eastAsia="en-GB"/>
        </w:rPr>
        <w:t>modelled</w:t>
      </w:r>
      <w:r w:rsidR="0099632C">
        <w:rPr>
          <w:rFonts w:cs="Helvetica"/>
          <w:color w:val="595959"/>
          <w:szCs w:val="20"/>
          <w:lang w:eastAsia="en-GB"/>
        </w:rPr>
        <w:t>,</w:t>
      </w:r>
      <w:r w:rsidRPr="000D0304">
        <w:rPr>
          <w:rFonts w:cs="Helvetica"/>
          <w:color w:val="595959"/>
          <w:szCs w:val="20"/>
          <w:lang w:eastAsia="en-GB"/>
        </w:rPr>
        <w:t xml:space="preserve"> to demonstrate how the </w:t>
      </w:r>
      <w:r w:rsidR="0099632C">
        <w:rPr>
          <w:rFonts w:cs="Helvetica"/>
          <w:color w:val="595959"/>
          <w:szCs w:val="20"/>
          <w:lang w:eastAsia="en-GB"/>
        </w:rPr>
        <w:t xml:space="preserve">regionalised </w:t>
      </w:r>
      <w:r w:rsidRPr="000D0304">
        <w:rPr>
          <w:rFonts w:cs="Helvetica"/>
          <w:color w:val="595959"/>
          <w:szCs w:val="20"/>
          <w:lang w:eastAsia="en-GB"/>
        </w:rPr>
        <w:t>inventory data can be used by practitioners</w:t>
      </w:r>
      <w:r w:rsidR="0099632C">
        <w:rPr>
          <w:rFonts w:cs="Helvetica"/>
          <w:color w:val="595959"/>
          <w:szCs w:val="20"/>
          <w:lang w:eastAsia="en-GB"/>
        </w:rPr>
        <w:t xml:space="preserve"> to describe representative primary aluminium cradle-to-gate impacts along the value chain.</w:t>
      </w:r>
    </w:p>
    <w:p w14:paraId="6A2DD9A9" w14:textId="77777777" w:rsidR="0099632C" w:rsidRDefault="0099632C">
      <w:pPr>
        <w:spacing w:after="0" w:line="312" w:lineRule="auto"/>
        <w:contextualSpacing/>
        <w:jc w:val="both"/>
        <w:rPr>
          <w:rFonts w:cs="Helvetica"/>
          <w:color w:val="595959"/>
          <w:szCs w:val="20"/>
          <w:lang w:eastAsia="en-GB"/>
        </w:rPr>
      </w:pPr>
    </w:p>
    <w:p w14:paraId="7C0405D4" w14:textId="34615409" w:rsidR="0099632C" w:rsidRDefault="00A24A34">
      <w:pPr>
        <w:spacing w:after="0" w:line="312" w:lineRule="auto"/>
        <w:contextualSpacing/>
        <w:jc w:val="both"/>
        <w:rPr>
          <w:rFonts w:cs="Helvetica"/>
          <w:color w:val="595959"/>
          <w:szCs w:val="20"/>
          <w:lang w:eastAsia="en-GB"/>
        </w:rPr>
      </w:pPr>
      <w:r w:rsidRPr="000D0304">
        <w:rPr>
          <w:rFonts w:cs="Helvetica"/>
          <w:color w:val="595959"/>
          <w:szCs w:val="20"/>
          <w:lang w:eastAsia="en-GB"/>
        </w:rPr>
        <w:t>To</w:t>
      </w:r>
      <w:r w:rsidR="00384AFA" w:rsidRPr="000D0304">
        <w:rPr>
          <w:rFonts w:cs="Helvetica"/>
          <w:color w:val="595959"/>
          <w:szCs w:val="20"/>
          <w:lang w:eastAsia="en-GB"/>
        </w:rPr>
        <w:t xml:space="preserve"> define the</w:t>
      </w:r>
      <w:r w:rsidR="007A23E6" w:rsidRPr="000D0304">
        <w:rPr>
          <w:rFonts w:cs="Helvetica"/>
          <w:color w:val="595959"/>
          <w:szCs w:val="20"/>
          <w:lang w:eastAsia="en-GB"/>
        </w:rPr>
        <w:t>se</w:t>
      </w:r>
      <w:r w:rsidR="00384AFA" w:rsidRPr="000D0304">
        <w:rPr>
          <w:rFonts w:cs="Helvetica"/>
          <w:color w:val="595959"/>
          <w:szCs w:val="20"/>
          <w:lang w:eastAsia="en-GB"/>
        </w:rPr>
        <w:t xml:space="preserve"> scenarios, major material flows by unit process</w:t>
      </w:r>
      <w:r w:rsidR="002620D5" w:rsidRPr="000D0304">
        <w:rPr>
          <w:rFonts w:cs="Helvetica"/>
          <w:color w:val="595959"/>
          <w:szCs w:val="20"/>
          <w:lang w:eastAsia="en-GB"/>
        </w:rPr>
        <w:t xml:space="preserve"> for </w:t>
      </w:r>
      <w:r w:rsidR="004146F0" w:rsidRPr="000D0304">
        <w:rPr>
          <w:rFonts w:cs="Helvetica"/>
          <w:color w:val="595959"/>
          <w:szCs w:val="20"/>
          <w:lang w:eastAsia="en-GB"/>
        </w:rPr>
        <w:t>201</w:t>
      </w:r>
      <w:r w:rsidR="004146F0">
        <w:rPr>
          <w:rFonts w:cs="Helvetica"/>
          <w:color w:val="595959"/>
          <w:szCs w:val="20"/>
          <w:lang w:eastAsia="en-GB"/>
        </w:rPr>
        <w:t>8</w:t>
      </w:r>
      <w:r w:rsidR="004146F0" w:rsidRPr="000D0304">
        <w:rPr>
          <w:rFonts w:cs="Helvetica"/>
          <w:color w:val="595959"/>
          <w:szCs w:val="20"/>
          <w:lang w:eastAsia="en-GB"/>
        </w:rPr>
        <w:t xml:space="preserve"> </w:t>
      </w:r>
      <w:r w:rsidR="002620D5" w:rsidRPr="000D0304">
        <w:rPr>
          <w:rFonts w:cs="Helvetica"/>
          <w:color w:val="595959"/>
          <w:szCs w:val="20"/>
          <w:lang w:eastAsia="en-GB"/>
        </w:rPr>
        <w:t xml:space="preserve">and </w:t>
      </w:r>
      <w:r w:rsidR="004146F0" w:rsidRPr="000D0304">
        <w:rPr>
          <w:rFonts w:cs="Helvetica"/>
          <w:color w:val="595959"/>
          <w:szCs w:val="20"/>
          <w:lang w:eastAsia="en-GB"/>
        </w:rPr>
        <w:t>201</w:t>
      </w:r>
      <w:r w:rsidR="004146F0">
        <w:rPr>
          <w:rFonts w:cs="Helvetica"/>
          <w:color w:val="595959"/>
          <w:szCs w:val="20"/>
          <w:lang w:eastAsia="en-GB"/>
        </w:rPr>
        <w:t>9</w:t>
      </w:r>
      <w:r w:rsidR="004146F0" w:rsidRPr="000D0304">
        <w:rPr>
          <w:rFonts w:cs="Helvetica"/>
          <w:color w:val="595959"/>
          <w:szCs w:val="20"/>
          <w:lang w:eastAsia="en-GB"/>
        </w:rPr>
        <w:t xml:space="preserve"> </w:t>
      </w:r>
      <w:r w:rsidR="00CB4E77" w:rsidRPr="000D0304">
        <w:rPr>
          <w:rFonts w:cs="Helvetica"/>
          <w:color w:val="595959"/>
          <w:szCs w:val="20"/>
          <w:lang w:eastAsia="en-GB"/>
        </w:rPr>
        <w:t>were analysed</w:t>
      </w:r>
      <w:r w:rsidR="0099632C">
        <w:rPr>
          <w:rFonts w:cs="Helvetica"/>
          <w:color w:val="595959"/>
          <w:szCs w:val="20"/>
          <w:lang w:eastAsia="en-GB"/>
        </w:rPr>
        <w:t xml:space="preserve">, using the International Aluminium Institute’s mass flow model.  A visualisation of the inter-regional flow of bauxite, </w:t>
      </w:r>
      <w:r w:rsidR="0099632C">
        <w:rPr>
          <w:rFonts w:cs="Helvetica"/>
          <w:color w:val="595959"/>
          <w:szCs w:val="20"/>
          <w:lang w:eastAsia="en-GB"/>
        </w:rPr>
        <w:lastRenderedPageBreak/>
        <w:t>alumina and aluminium (primary and scrap), from years 1962 to the present, can be found at</w:t>
      </w:r>
      <w:r w:rsidR="00825DFE" w:rsidRPr="000D0304">
        <w:rPr>
          <w:rFonts w:cs="Helvetica"/>
          <w:color w:val="595959"/>
          <w:szCs w:val="20"/>
          <w:lang w:eastAsia="en-GB"/>
        </w:rPr>
        <w:t xml:space="preserve"> </w:t>
      </w:r>
      <w:r w:rsidR="004146F0" w:rsidRPr="00DA5301">
        <w:rPr>
          <w:color w:val="0070C0"/>
        </w:rPr>
        <w:t>https://alucycle.international-aluminium.org/</w:t>
      </w:r>
      <w:r w:rsidR="00825DFE" w:rsidRPr="000D0304">
        <w:rPr>
          <w:rFonts w:cs="Helvetica"/>
          <w:color w:val="595959"/>
          <w:szCs w:val="20"/>
          <w:lang w:eastAsia="en-GB"/>
        </w:rPr>
        <w:t>)</w:t>
      </w:r>
      <w:r w:rsidR="009831A3">
        <w:rPr>
          <w:rFonts w:cs="Helvetica"/>
          <w:color w:val="595959"/>
          <w:szCs w:val="20"/>
          <w:lang w:eastAsia="en-GB"/>
        </w:rPr>
        <w:t>.</w:t>
      </w:r>
      <w:r w:rsidR="00513A0D">
        <w:rPr>
          <w:rFonts w:cs="Helvetica"/>
          <w:color w:val="595959"/>
          <w:szCs w:val="20"/>
          <w:lang w:eastAsia="en-GB"/>
        </w:rPr>
        <w:t xml:space="preserve"> This tool can be used to support life cycle assessments that require data on market supply by region.  </w:t>
      </w:r>
    </w:p>
    <w:p w14:paraId="41608343" w14:textId="77777777" w:rsidR="0099632C" w:rsidRPr="00B67CE2" w:rsidRDefault="0099632C" w:rsidP="00B67CE2">
      <w:pPr>
        <w:spacing w:after="0" w:line="312" w:lineRule="auto"/>
        <w:contextualSpacing/>
        <w:jc w:val="both"/>
        <w:rPr>
          <w:rFonts w:cs="Helvetica"/>
          <w:color w:val="595959"/>
          <w:szCs w:val="20"/>
          <w:lang w:eastAsia="en-GB"/>
        </w:rPr>
      </w:pPr>
    </w:p>
    <w:p w14:paraId="2E9874E3" w14:textId="2F3B0160" w:rsidR="0080478A" w:rsidRDefault="0099632C" w:rsidP="000D0304">
      <w:pPr>
        <w:spacing w:after="0" w:line="312" w:lineRule="auto"/>
        <w:contextualSpacing/>
        <w:jc w:val="both"/>
        <w:rPr>
          <w:rFonts w:cs="Helvetica"/>
          <w:color w:val="595959"/>
          <w:szCs w:val="20"/>
          <w:lang w:eastAsia="en-GB"/>
        </w:rPr>
      </w:pPr>
      <w:r w:rsidRPr="002A52D3">
        <w:rPr>
          <w:rFonts w:cs="Helvetica"/>
          <w:color w:val="595959"/>
          <w:szCs w:val="20"/>
          <w:lang w:eastAsia="en-GB"/>
        </w:rPr>
        <w:t xml:space="preserve">In this analysis, </w:t>
      </w:r>
      <w:r w:rsidR="004146F0">
        <w:rPr>
          <w:rFonts w:cs="Helvetica"/>
          <w:color w:val="595959"/>
          <w:szCs w:val="20"/>
          <w:lang w:eastAsia="en-GB"/>
        </w:rPr>
        <w:t>four</w:t>
      </w:r>
      <w:r w:rsidR="004146F0" w:rsidRPr="000D0304">
        <w:rPr>
          <w:rFonts w:cs="Helvetica"/>
          <w:color w:val="595959"/>
          <w:szCs w:val="20"/>
          <w:lang w:eastAsia="en-GB"/>
        </w:rPr>
        <w:t xml:space="preserve"> </w:t>
      </w:r>
      <w:r w:rsidR="00384AFA" w:rsidRPr="000D0304">
        <w:rPr>
          <w:rFonts w:cs="Helvetica"/>
          <w:color w:val="595959"/>
          <w:szCs w:val="20"/>
          <w:lang w:eastAsia="en-GB"/>
        </w:rPr>
        <w:t xml:space="preserve">scenarios </w:t>
      </w:r>
      <w:r w:rsidRPr="00B67CE2">
        <w:rPr>
          <w:rFonts w:cs="Helvetica"/>
          <w:color w:val="595959"/>
          <w:szCs w:val="20"/>
          <w:lang w:eastAsia="en-GB"/>
        </w:rPr>
        <w:t>have been</w:t>
      </w:r>
      <w:r w:rsidRPr="000D0304">
        <w:rPr>
          <w:rFonts w:cs="Helvetica"/>
          <w:color w:val="595959"/>
          <w:szCs w:val="20"/>
          <w:lang w:eastAsia="en-GB"/>
        </w:rPr>
        <w:t xml:space="preserve"> </w:t>
      </w:r>
      <w:r w:rsidR="00384AFA" w:rsidRPr="000D0304">
        <w:rPr>
          <w:rFonts w:cs="Helvetica"/>
          <w:color w:val="595959"/>
          <w:szCs w:val="20"/>
          <w:lang w:eastAsia="en-GB"/>
        </w:rPr>
        <w:t xml:space="preserve">chosen </w:t>
      </w:r>
      <w:r w:rsidR="00CB4E77" w:rsidRPr="000D0304">
        <w:rPr>
          <w:rFonts w:cs="Helvetica"/>
          <w:color w:val="595959"/>
          <w:szCs w:val="20"/>
          <w:lang w:eastAsia="en-GB"/>
        </w:rPr>
        <w:t>to</w:t>
      </w:r>
      <w:r w:rsidR="00384AFA" w:rsidRPr="000D0304">
        <w:rPr>
          <w:rFonts w:cs="Helvetica"/>
          <w:color w:val="595959"/>
          <w:szCs w:val="20"/>
          <w:lang w:eastAsia="en-GB"/>
        </w:rPr>
        <w:t xml:space="preserve"> </w:t>
      </w:r>
      <w:r w:rsidRPr="00B67CE2">
        <w:rPr>
          <w:rFonts w:cs="Helvetica"/>
          <w:color w:val="595959"/>
          <w:szCs w:val="20"/>
          <w:lang w:eastAsia="en-GB"/>
        </w:rPr>
        <w:t>reflect</w:t>
      </w:r>
      <w:r w:rsidRPr="000D0304">
        <w:rPr>
          <w:rFonts w:cs="Helvetica"/>
          <w:color w:val="595959"/>
          <w:szCs w:val="20"/>
          <w:lang w:eastAsia="en-GB"/>
        </w:rPr>
        <w:t xml:space="preserve"> </w:t>
      </w:r>
      <w:r w:rsidRPr="00B67CE2">
        <w:rPr>
          <w:rFonts w:cs="Helvetica"/>
          <w:color w:val="595959"/>
          <w:szCs w:val="20"/>
          <w:lang w:eastAsia="en-GB"/>
        </w:rPr>
        <w:t>the</w:t>
      </w:r>
      <w:r w:rsidR="00384AFA" w:rsidRPr="000D0304">
        <w:rPr>
          <w:rFonts w:cs="Helvetica"/>
          <w:color w:val="595959"/>
          <w:szCs w:val="20"/>
          <w:lang w:eastAsia="en-GB"/>
        </w:rPr>
        <w:t xml:space="preserve"> most significant </w:t>
      </w:r>
      <w:r w:rsidRPr="00B67CE2">
        <w:rPr>
          <w:rFonts w:cs="Helvetica"/>
          <w:color w:val="595959"/>
          <w:szCs w:val="20"/>
          <w:lang w:eastAsia="en-GB"/>
        </w:rPr>
        <w:t xml:space="preserve">inter-regional </w:t>
      </w:r>
      <w:r w:rsidR="00384AFA" w:rsidRPr="000D0304">
        <w:rPr>
          <w:rFonts w:cs="Helvetica"/>
          <w:color w:val="595959"/>
          <w:szCs w:val="20"/>
          <w:lang w:eastAsia="en-GB"/>
        </w:rPr>
        <w:t>material</w:t>
      </w:r>
      <w:r w:rsidR="00CB4E77" w:rsidRPr="000D0304">
        <w:rPr>
          <w:rFonts w:cs="Helvetica"/>
          <w:color w:val="595959"/>
          <w:szCs w:val="20"/>
          <w:lang w:eastAsia="en-GB"/>
        </w:rPr>
        <w:t xml:space="preserve"> </w:t>
      </w:r>
      <w:r w:rsidR="00384AFA" w:rsidRPr="000D0304">
        <w:rPr>
          <w:rFonts w:cs="Helvetica"/>
          <w:color w:val="595959"/>
          <w:szCs w:val="20"/>
          <w:lang w:eastAsia="en-GB"/>
        </w:rPr>
        <w:t>flows</w:t>
      </w:r>
      <w:r w:rsidR="00406E9F">
        <w:rPr>
          <w:rFonts w:cs="Helvetica"/>
          <w:color w:val="595959"/>
          <w:szCs w:val="20"/>
          <w:lang w:eastAsia="en-GB"/>
        </w:rPr>
        <w:t>,</w:t>
      </w:r>
      <w:r w:rsidRPr="00B67CE2">
        <w:rPr>
          <w:rFonts w:cs="Helvetica"/>
          <w:color w:val="595959"/>
          <w:szCs w:val="20"/>
          <w:lang w:eastAsia="en-GB"/>
        </w:rPr>
        <w:t xml:space="preserve"> </w:t>
      </w:r>
      <w:r w:rsidR="002A52D3" w:rsidRPr="00B67CE2">
        <w:rPr>
          <w:rFonts w:cs="Helvetica"/>
          <w:color w:val="595959"/>
          <w:szCs w:val="20"/>
          <w:lang w:eastAsia="en-GB"/>
        </w:rPr>
        <w:t xml:space="preserve">as well as </w:t>
      </w:r>
      <w:r w:rsidR="006B0766" w:rsidRPr="000D0304">
        <w:rPr>
          <w:rFonts w:cs="Helvetica"/>
          <w:color w:val="595959"/>
          <w:szCs w:val="20"/>
          <w:lang w:eastAsia="en-GB"/>
        </w:rPr>
        <w:t>to</w:t>
      </w:r>
      <w:r w:rsidR="00CB4E77" w:rsidRPr="000D0304">
        <w:rPr>
          <w:rFonts w:cs="Helvetica"/>
          <w:color w:val="595959"/>
          <w:szCs w:val="20"/>
          <w:lang w:eastAsia="en-GB"/>
        </w:rPr>
        <w:t xml:space="preserve"> provide examples across a range of regions</w:t>
      </w:r>
      <w:r w:rsidR="002A52D3" w:rsidRPr="00B67CE2">
        <w:rPr>
          <w:rFonts w:cs="Helvetica"/>
          <w:color w:val="595959"/>
          <w:szCs w:val="20"/>
          <w:lang w:eastAsia="en-GB"/>
        </w:rPr>
        <w:t>.  They thus also</w:t>
      </w:r>
      <w:r w:rsidR="00CB4E77" w:rsidRPr="000D0304">
        <w:rPr>
          <w:rFonts w:cs="Helvetica"/>
          <w:color w:val="595959"/>
          <w:szCs w:val="20"/>
          <w:lang w:eastAsia="en-GB"/>
        </w:rPr>
        <w:t xml:space="preserve"> address issues that </w:t>
      </w:r>
      <w:r w:rsidR="002A52D3" w:rsidRPr="00B67CE2">
        <w:rPr>
          <w:rFonts w:cs="Helvetica"/>
          <w:color w:val="595959"/>
          <w:szCs w:val="20"/>
          <w:lang w:eastAsia="en-GB"/>
        </w:rPr>
        <w:t>can</w:t>
      </w:r>
      <w:r w:rsidR="002A52D3" w:rsidRPr="000D0304">
        <w:rPr>
          <w:rFonts w:cs="Helvetica"/>
          <w:color w:val="595959"/>
          <w:szCs w:val="20"/>
          <w:lang w:eastAsia="en-GB"/>
        </w:rPr>
        <w:t xml:space="preserve"> </w:t>
      </w:r>
      <w:r w:rsidR="00CB4E77" w:rsidRPr="000D0304">
        <w:rPr>
          <w:rFonts w:cs="Helvetica"/>
          <w:color w:val="595959"/>
          <w:szCs w:val="20"/>
          <w:lang w:eastAsia="en-GB"/>
        </w:rPr>
        <w:t>arise with respect to modelling regions with different levels of reporting coverage</w:t>
      </w:r>
      <w:r w:rsidR="00E457BD">
        <w:rPr>
          <w:rFonts w:cs="Helvetica"/>
          <w:color w:val="595959"/>
          <w:szCs w:val="20"/>
          <w:lang w:eastAsia="en-GB"/>
        </w:rPr>
        <w:t xml:space="preserve"> and background data availability</w:t>
      </w:r>
      <w:r w:rsidR="009831A3" w:rsidRPr="00B67CE2">
        <w:rPr>
          <w:rFonts w:cs="Helvetica"/>
          <w:color w:val="595959"/>
          <w:szCs w:val="20"/>
          <w:lang w:eastAsia="en-GB"/>
        </w:rPr>
        <w:t>.</w:t>
      </w:r>
      <w:r w:rsidR="00E457BD">
        <w:rPr>
          <w:rFonts w:cs="Helvetica"/>
          <w:color w:val="595959"/>
          <w:szCs w:val="20"/>
          <w:lang w:eastAsia="en-GB"/>
        </w:rPr>
        <w:t xml:space="preserve"> </w:t>
      </w:r>
      <w:r w:rsidR="002A52D3" w:rsidRPr="00B67CE2">
        <w:rPr>
          <w:rFonts w:cs="Helvetica"/>
          <w:color w:val="595959"/>
          <w:szCs w:val="20"/>
          <w:lang w:eastAsia="en-GB"/>
        </w:rPr>
        <w:t xml:space="preserve">  </w:t>
      </w:r>
    </w:p>
    <w:p w14:paraId="29C8F03F" w14:textId="77777777" w:rsidR="0080478A" w:rsidRDefault="0080478A" w:rsidP="000D0304">
      <w:pPr>
        <w:spacing w:after="0" w:line="312" w:lineRule="auto"/>
        <w:contextualSpacing/>
        <w:jc w:val="both"/>
        <w:rPr>
          <w:rFonts w:cs="Helvetica"/>
          <w:color w:val="595959"/>
          <w:szCs w:val="20"/>
          <w:lang w:eastAsia="en-GB"/>
        </w:rPr>
      </w:pPr>
    </w:p>
    <w:p w14:paraId="1CB57B2E" w14:textId="26871776" w:rsidR="002A52D3" w:rsidRPr="00B67CE2" w:rsidRDefault="004D5B88" w:rsidP="000D0304">
      <w:pPr>
        <w:spacing w:after="0" w:line="312" w:lineRule="auto"/>
        <w:contextualSpacing/>
        <w:jc w:val="both"/>
        <w:rPr>
          <w:rFonts w:cs="Helvetica"/>
          <w:color w:val="595959"/>
          <w:szCs w:val="20"/>
          <w:lang w:eastAsia="en-GB"/>
        </w:rPr>
      </w:pPr>
      <w:r>
        <w:rPr>
          <w:rFonts w:cs="Helvetica"/>
          <w:color w:val="595959"/>
          <w:szCs w:val="20"/>
          <w:lang w:eastAsia="en-GB"/>
        </w:rPr>
        <w:t xml:space="preserve">Insufficient reporting </w:t>
      </w:r>
      <w:r w:rsidR="003F12DA">
        <w:rPr>
          <w:rFonts w:cs="Helvetica"/>
          <w:color w:val="595959"/>
          <w:szCs w:val="20"/>
          <w:lang w:eastAsia="en-GB"/>
        </w:rPr>
        <w:t>coverag</w:t>
      </w:r>
      <w:r>
        <w:rPr>
          <w:rFonts w:cs="Helvetica"/>
          <w:color w:val="595959"/>
          <w:szCs w:val="20"/>
          <w:lang w:eastAsia="en-GB"/>
        </w:rPr>
        <w:t xml:space="preserve">e for some regions </w:t>
      </w:r>
      <w:r w:rsidR="00406E9F">
        <w:rPr>
          <w:rFonts w:cs="Helvetica"/>
          <w:color w:val="595959"/>
          <w:szCs w:val="20"/>
          <w:lang w:eastAsia="en-GB"/>
        </w:rPr>
        <w:t>(</w:t>
      </w:r>
      <w:r>
        <w:rPr>
          <w:rFonts w:cs="Helvetica"/>
          <w:color w:val="595959"/>
          <w:szCs w:val="20"/>
          <w:lang w:eastAsia="en-GB"/>
        </w:rPr>
        <w:t>e.g. China</w:t>
      </w:r>
      <w:r w:rsidR="00406E9F">
        <w:rPr>
          <w:rFonts w:cs="Helvetica"/>
          <w:color w:val="595959"/>
          <w:szCs w:val="20"/>
          <w:lang w:eastAsia="en-GB"/>
        </w:rPr>
        <w:t>)</w:t>
      </w:r>
      <w:r>
        <w:rPr>
          <w:rFonts w:cs="Helvetica"/>
          <w:color w:val="595959"/>
          <w:szCs w:val="20"/>
          <w:lang w:eastAsia="en-GB"/>
        </w:rPr>
        <w:t xml:space="preserve"> means that</w:t>
      </w:r>
      <w:r w:rsidR="003F12DA">
        <w:rPr>
          <w:rFonts w:cs="Helvetica"/>
          <w:color w:val="595959"/>
          <w:szCs w:val="20"/>
          <w:lang w:eastAsia="en-GB"/>
        </w:rPr>
        <w:t xml:space="preserve"> the global dataset is used as a proxy. For</w:t>
      </w:r>
      <w:r>
        <w:rPr>
          <w:rFonts w:cs="Helvetica"/>
          <w:color w:val="595959"/>
          <w:szCs w:val="20"/>
          <w:lang w:eastAsia="en-GB"/>
        </w:rPr>
        <w:t xml:space="preserve"> bauxite mining, </w:t>
      </w:r>
      <w:r w:rsidR="003F12DA">
        <w:rPr>
          <w:rFonts w:cs="Helvetica"/>
          <w:color w:val="595959"/>
          <w:szCs w:val="20"/>
          <w:lang w:eastAsia="en-GB"/>
        </w:rPr>
        <w:t xml:space="preserve">a global level dataset </w:t>
      </w:r>
      <w:r>
        <w:rPr>
          <w:rFonts w:cs="Helvetica"/>
          <w:color w:val="595959"/>
          <w:szCs w:val="20"/>
          <w:lang w:eastAsia="en-GB"/>
        </w:rPr>
        <w:t xml:space="preserve">is made available </w:t>
      </w:r>
      <w:r w:rsidR="003F12DA">
        <w:rPr>
          <w:rFonts w:cs="Helvetica"/>
          <w:color w:val="595959"/>
          <w:szCs w:val="20"/>
          <w:lang w:eastAsia="en-GB"/>
        </w:rPr>
        <w:t xml:space="preserve">as differences between regions are </w:t>
      </w:r>
      <w:r>
        <w:rPr>
          <w:rFonts w:cs="Helvetica"/>
          <w:color w:val="595959"/>
          <w:szCs w:val="20"/>
          <w:lang w:eastAsia="en-GB"/>
        </w:rPr>
        <w:t>small</w:t>
      </w:r>
      <w:r w:rsidR="003F12DA">
        <w:rPr>
          <w:rFonts w:cs="Helvetica"/>
          <w:color w:val="595959"/>
          <w:szCs w:val="20"/>
          <w:lang w:eastAsia="en-GB"/>
        </w:rPr>
        <w:t xml:space="preserve"> and </w:t>
      </w:r>
      <w:r>
        <w:rPr>
          <w:rFonts w:cs="Helvetica"/>
          <w:color w:val="595959"/>
          <w:szCs w:val="20"/>
          <w:lang w:eastAsia="en-GB"/>
        </w:rPr>
        <w:t xml:space="preserve">bauxite mining </w:t>
      </w:r>
      <w:r w:rsidR="003F12DA">
        <w:rPr>
          <w:rFonts w:cs="Helvetica"/>
          <w:color w:val="595959"/>
          <w:szCs w:val="20"/>
          <w:lang w:eastAsia="en-GB"/>
        </w:rPr>
        <w:t>is a</w:t>
      </w:r>
      <w:r>
        <w:rPr>
          <w:rFonts w:cs="Helvetica"/>
          <w:color w:val="595959"/>
          <w:szCs w:val="20"/>
          <w:lang w:eastAsia="en-GB"/>
        </w:rPr>
        <w:t xml:space="preserve"> relatively</w:t>
      </w:r>
      <w:r w:rsidR="003F12DA">
        <w:rPr>
          <w:rFonts w:cs="Helvetica"/>
          <w:color w:val="595959"/>
          <w:szCs w:val="20"/>
          <w:lang w:eastAsia="en-GB"/>
        </w:rPr>
        <w:t xml:space="preserve"> minor contributor to </w:t>
      </w:r>
      <w:r w:rsidR="008B351B">
        <w:rPr>
          <w:rFonts w:cs="Helvetica"/>
          <w:color w:val="595959"/>
          <w:szCs w:val="20"/>
          <w:lang w:eastAsia="en-GB"/>
        </w:rPr>
        <w:t xml:space="preserve">the </w:t>
      </w:r>
      <w:r w:rsidR="003F12DA">
        <w:rPr>
          <w:rFonts w:cs="Helvetica"/>
          <w:color w:val="595959"/>
          <w:szCs w:val="20"/>
          <w:lang w:eastAsia="en-GB"/>
        </w:rPr>
        <w:t>environmental impact</w:t>
      </w:r>
      <w:r w:rsidR="003F41D4">
        <w:rPr>
          <w:rFonts w:cs="Helvetica"/>
          <w:color w:val="595959"/>
          <w:szCs w:val="20"/>
          <w:lang w:eastAsia="en-GB"/>
        </w:rPr>
        <w:t>s addressed in this report</w:t>
      </w:r>
      <w:r w:rsidR="004146F0">
        <w:rPr>
          <w:rFonts w:cs="Helvetica"/>
          <w:color w:val="595959"/>
          <w:szCs w:val="20"/>
          <w:lang w:eastAsia="en-GB"/>
        </w:rPr>
        <w:t>.</w:t>
      </w:r>
      <w:r w:rsidR="00DA5301">
        <w:rPr>
          <w:rFonts w:cs="Helvetica"/>
          <w:color w:val="595959"/>
          <w:szCs w:val="20"/>
          <w:lang w:eastAsia="en-GB"/>
        </w:rPr>
        <w:t xml:space="preserve"> </w:t>
      </w:r>
      <w:r w:rsidR="008B351B">
        <w:rPr>
          <w:rFonts w:cs="Helvetica"/>
          <w:color w:val="595959"/>
          <w:szCs w:val="20"/>
          <w:lang w:eastAsia="en-GB"/>
        </w:rPr>
        <w:t xml:space="preserve">This should be reviewed in future iterations as the significance of processes can change for different indicators e.g. land use. </w:t>
      </w:r>
      <w:r w:rsidR="00D154E7">
        <w:rPr>
          <w:rFonts w:cs="Helvetica"/>
          <w:color w:val="595959"/>
          <w:szCs w:val="20"/>
          <w:lang w:eastAsia="en-GB"/>
        </w:rPr>
        <w:t xml:space="preserve"> </w:t>
      </w:r>
      <w:r w:rsidR="002A52D3" w:rsidRPr="00B67CE2">
        <w:rPr>
          <w:rFonts w:cs="Helvetica"/>
          <w:color w:val="595959"/>
          <w:szCs w:val="20"/>
          <w:lang w:eastAsia="en-GB"/>
        </w:rPr>
        <w:t xml:space="preserve">The scenarios are outlined in Table </w:t>
      </w:r>
      <w:r w:rsidR="00360851">
        <w:rPr>
          <w:rFonts w:cs="Helvetica"/>
          <w:color w:val="595959"/>
          <w:szCs w:val="20"/>
          <w:lang w:eastAsia="en-GB"/>
        </w:rPr>
        <w:t>7</w:t>
      </w:r>
      <w:r w:rsidR="002A52D3" w:rsidRPr="00B67CE2">
        <w:rPr>
          <w:rFonts w:cs="Helvetica"/>
          <w:color w:val="595959"/>
          <w:szCs w:val="20"/>
          <w:lang w:eastAsia="en-GB"/>
        </w:rPr>
        <w:t xml:space="preserve"> </w:t>
      </w:r>
      <w:r w:rsidR="002A52D3">
        <w:rPr>
          <w:rFonts w:cs="Helvetica"/>
          <w:color w:val="595959"/>
          <w:szCs w:val="20"/>
          <w:lang w:eastAsia="en-GB"/>
        </w:rPr>
        <w:t xml:space="preserve">with </w:t>
      </w:r>
      <w:r w:rsidR="002A52D3" w:rsidRPr="00B67CE2">
        <w:rPr>
          <w:rFonts w:cs="Helvetica"/>
          <w:color w:val="595959"/>
          <w:szCs w:val="20"/>
          <w:lang w:eastAsia="en-GB"/>
        </w:rPr>
        <w:t xml:space="preserve">details </w:t>
      </w:r>
      <w:r w:rsidR="002A52D3">
        <w:rPr>
          <w:rFonts w:cs="Helvetica"/>
          <w:color w:val="595959"/>
          <w:szCs w:val="20"/>
          <w:lang w:eastAsia="en-GB"/>
        </w:rPr>
        <w:t>on</w:t>
      </w:r>
      <w:r w:rsidR="002A52D3" w:rsidRPr="00B67CE2">
        <w:rPr>
          <w:rFonts w:cs="Helvetica"/>
          <w:color w:val="595959"/>
          <w:szCs w:val="20"/>
          <w:lang w:eastAsia="en-GB"/>
        </w:rPr>
        <w:t xml:space="preserve"> the relevant LCI and Energy </w:t>
      </w:r>
      <w:r w:rsidR="002A52D3">
        <w:rPr>
          <w:rFonts w:cs="Helvetica"/>
          <w:color w:val="595959"/>
          <w:szCs w:val="20"/>
          <w:lang w:eastAsia="en-GB"/>
        </w:rPr>
        <w:t xml:space="preserve">survey </w:t>
      </w:r>
      <w:r w:rsidR="002A52D3" w:rsidRPr="00B67CE2">
        <w:rPr>
          <w:rFonts w:cs="Helvetica"/>
          <w:color w:val="595959"/>
          <w:szCs w:val="20"/>
          <w:lang w:eastAsia="en-GB"/>
        </w:rPr>
        <w:t xml:space="preserve">dataset used to model each. </w:t>
      </w:r>
      <w:r w:rsidR="002A52D3">
        <w:rPr>
          <w:rFonts w:cs="Helvetica"/>
          <w:color w:val="595959"/>
          <w:szCs w:val="20"/>
          <w:lang w:eastAsia="en-GB"/>
        </w:rPr>
        <w:t xml:space="preserve"> </w:t>
      </w:r>
      <w:r w:rsidR="00AE00C0">
        <w:rPr>
          <w:rFonts w:cs="Helvetica"/>
          <w:color w:val="595959"/>
          <w:szCs w:val="20"/>
          <w:lang w:eastAsia="en-GB"/>
        </w:rPr>
        <w:t xml:space="preserve">By this approach, sets of cradle-to-gate indicator results are determined for China, </w:t>
      </w:r>
      <w:r w:rsidR="00465342">
        <w:rPr>
          <w:rFonts w:cs="Helvetica"/>
          <w:color w:val="595959"/>
          <w:szCs w:val="20"/>
          <w:lang w:eastAsia="en-GB"/>
        </w:rPr>
        <w:t>G</w:t>
      </w:r>
      <w:r w:rsidR="00D22023">
        <w:rPr>
          <w:rFonts w:cs="Helvetica"/>
          <w:color w:val="595959"/>
          <w:szCs w:val="20"/>
          <w:lang w:eastAsia="en-GB"/>
        </w:rPr>
        <w:t xml:space="preserve">CC, </w:t>
      </w:r>
      <w:r w:rsidR="00AE00C0">
        <w:rPr>
          <w:rFonts w:cs="Helvetica"/>
          <w:color w:val="595959"/>
          <w:szCs w:val="20"/>
          <w:lang w:eastAsia="en-GB"/>
        </w:rPr>
        <w:t xml:space="preserve">Europe and Canada. </w:t>
      </w:r>
      <w:r w:rsidR="002A52D3" w:rsidRPr="00E05B87">
        <w:rPr>
          <w:rFonts w:cs="Helvetica"/>
          <w:color w:val="595959"/>
          <w:szCs w:val="20"/>
          <w:lang w:eastAsia="en-GB"/>
        </w:rPr>
        <w:t>Figure 8 shows the all-China scenario 1</w:t>
      </w:r>
      <w:r w:rsidR="002A52D3">
        <w:rPr>
          <w:rFonts w:cs="Helvetica"/>
          <w:color w:val="595959"/>
          <w:szCs w:val="20"/>
          <w:lang w:eastAsia="en-GB"/>
        </w:rPr>
        <w:t>, based on the MFA.</w:t>
      </w:r>
    </w:p>
    <w:p w14:paraId="79434277" w14:textId="77777777" w:rsidR="00CB4E77" w:rsidRPr="000D0304" w:rsidRDefault="00CB4E77">
      <w:pPr>
        <w:spacing w:after="0" w:line="312" w:lineRule="auto"/>
        <w:contextualSpacing/>
        <w:jc w:val="both"/>
        <w:rPr>
          <w:rFonts w:cs="Helvetica"/>
          <w:color w:val="595959"/>
          <w:szCs w:val="20"/>
          <w:lang w:eastAsia="en-GB"/>
        </w:rPr>
      </w:pPr>
    </w:p>
    <w:p w14:paraId="7C972687" w14:textId="2C6D5BCF" w:rsidR="00733BF3" w:rsidRDefault="00384AFA" w:rsidP="00AD1CD6">
      <w:pPr>
        <w:spacing w:after="0" w:line="312" w:lineRule="auto"/>
        <w:contextualSpacing/>
        <w:jc w:val="both"/>
        <w:rPr>
          <w:rFonts w:cs="Helvetica"/>
          <w:color w:val="595959"/>
          <w:szCs w:val="20"/>
          <w:lang w:eastAsia="en-GB"/>
        </w:rPr>
      </w:pPr>
      <w:r w:rsidRPr="000D0304">
        <w:rPr>
          <w:rFonts w:cs="Helvetica"/>
          <w:color w:val="595959"/>
          <w:szCs w:val="20"/>
          <w:lang w:eastAsia="en-GB"/>
        </w:rPr>
        <w:t>Although trade data w</w:t>
      </w:r>
      <w:r w:rsidR="00406E9F">
        <w:rPr>
          <w:rFonts w:cs="Helvetica"/>
          <w:color w:val="595959"/>
          <w:szCs w:val="20"/>
          <w:lang w:eastAsia="en-GB"/>
        </w:rPr>
        <w:t>ere</w:t>
      </w:r>
      <w:r w:rsidRPr="000D0304">
        <w:rPr>
          <w:rFonts w:cs="Helvetica"/>
          <w:color w:val="595959"/>
          <w:szCs w:val="20"/>
          <w:lang w:eastAsia="en-GB"/>
        </w:rPr>
        <w:t xml:space="preserve"> used </w:t>
      </w:r>
      <w:r w:rsidR="002A52D3">
        <w:rPr>
          <w:rFonts w:cs="Helvetica"/>
          <w:color w:val="595959"/>
          <w:szCs w:val="20"/>
          <w:lang w:eastAsia="en-GB"/>
        </w:rPr>
        <w:t xml:space="preserve">in the mass flow analysis </w:t>
      </w:r>
      <w:r w:rsidRPr="000D0304">
        <w:rPr>
          <w:rFonts w:cs="Helvetica"/>
          <w:color w:val="595959"/>
          <w:szCs w:val="20"/>
          <w:lang w:eastAsia="en-GB"/>
        </w:rPr>
        <w:t xml:space="preserve">to inform the selection of scenarios, </w:t>
      </w:r>
      <w:r w:rsidR="006B0766" w:rsidRPr="000D0304">
        <w:rPr>
          <w:rFonts w:cs="Helvetica"/>
          <w:color w:val="595959"/>
          <w:szCs w:val="20"/>
          <w:lang w:eastAsia="en-GB"/>
        </w:rPr>
        <w:t xml:space="preserve">material </w:t>
      </w:r>
      <w:r w:rsidRPr="000D0304">
        <w:rPr>
          <w:rFonts w:cs="Helvetica"/>
          <w:color w:val="595959"/>
          <w:szCs w:val="20"/>
          <w:lang w:eastAsia="en-GB"/>
        </w:rPr>
        <w:t>imp</w:t>
      </w:r>
      <w:r w:rsidR="00880A5E" w:rsidRPr="000D0304">
        <w:rPr>
          <w:rFonts w:cs="Helvetica"/>
          <w:color w:val="595959"/>
          <w:szCs w:val="20"/>
          <w:lang w:eastAsia="en-GB"/>
        </w:rPr>
        <w:t>orts</w:t>
      </w:r>
      <w:r w:rsidR="002A52D3">
        <w:rPr>
          <w:rFonts w:cs="Helvetica"/>
          <w:color w:val="595959"/>
          <w:szCs w:val="20"/>
          <w:lang w:eastAsia="en-GB"/>
        </w:rPr>
        <w:t>/exports</w:t>
      </w:r>
      <w:r w:rsidR="00880A5E" w:rsidRPr="000D0304">
        <w:rPr>
          <w:rFonts w:cs="Helvetica"/>
          <w:color w:val="595959"/>
          <w:szCs w:val="20"/>
          <w:lang w:eastAsia="en-GB"/>
        </w:rPr>
        <w:t xml:space="preserve"> </w:t>
      </w:r>
      <w:r w:rsidRPr="000D0304">
        <w:rPr>
          <w:rFonts w:cs="Helvetica"/>
          <w:color w:val="595959"/>
          <w:szCs w:val="20"/>
          <w:lang w:eastAsia="en-GB"/>
        </w:rPr>
        <w:t xml:space="preserve">are not considered in the </w:t>
      </w:r>
      <w:r w:rsidR="00880A5E" w:rsidRPr="000D0304">
        <w:rPr>
          <w:rFonts w:cs="Helvetica"/>
          <w:color w:val="595959"/>
          <w:szCs w:val="20"/>
          <w:lang w:eastAsia="en-GB"/>
        </w:rPr>
        <w:t>im</w:t>
      </w:r>
      <w:r w:rsidR="00CB4E77" w:rsidRPr="000D0304">
        <w:rPr>
          <w:rFonts w:cs="Helvetica"/>
          <w:color w:val="595959"/>
          <w:szCs w:val="20"/>
          <w:lang w:eastAsia="en-GB"/>
        </w:rPr>
        <w:t xml:space="preserve">pact </w:t>
      </w:r>
      <w:r w:rsidR="002A52D3">
        <w:rPr>
          <w:rFonts w:cs="Helvetica"/>
          <w:color w:val="595959"/>
          <w:szCs w:val="20"/>
          <w:lang w:eastAsia="en-GB"/>
        </w:rPr>
        <w:t xml:space="preserve">modelling </w:t>
      </w:r>
      <w:r w:rsidR="00CB4E77" w:rsidRPr="000D0304">
        <w:rPr>
          <w:rFonts w:cs="Helvetica"/>
          <w:color w:val="595959"/>
          <w:szCs w:val="20"/>
          <w:lang w:eastAsia="en-GB"/>
        </w:rPr>
        <w:t>phase</w:t>
      </w:r>
      <w:r w:rsidR="009831A3">
        <w:rPr>
          <w:rFonts w:cs="Helvetica"/>
          <w:color w:val="595959"/>
          <w:szCs w:val="20"/>
          <w:lang w:eastAsia="en-GB"/>
        </w:rPr>
        <w:t xml:space="preserve">.  </w:t>
      </w:r>
      <w:r w:rsidR="00CB4E77" w:rsidRPr="000D0304">
        <w:rPr>
          <w:rFonts w:cs="Helvetica"/>
          <w:color w:val="595959"/>
          <w:szCs w:val="20"/>
          <w:lang w:eastAsia="en-GB"/>
        </w:rPr>
        <w:t>T</w:t>
      </w:r>
      <w:r w:rsidR="00880A5E" w:rsidRPr="000D0304">
        <w:rPr>
          <w:rFonts w:cs="Helvetica"/>
          <w:color w:val="595959"/>
          <w:szCs w:val="20"/>
          <w:lang w:eastAsia="en-GB"/>
        </w:rPr>
        <w:t>herefore</w:t>
      </w:r>
      <w:r w:rsidR="00CB4E77" w:rsidRPr="000D0304">
        <w:rPr>
          <w:rFonts w:cs="Helvetica"/>
          <w:color w:val="595959"/>
          <w:szCs w:val="20"/>
          <w:lang w:eastAsia="en-GB"/>
        </w:rPr>
        <w:t>,</w:t>
      </w:r>
      <w:r w:rsidR="00880A5E" w:rsidRPr="000D0304">
        <w:rPr>
          <w:rFonts w:cs="Helvetica"/>
          <w:color w:val="595959"/>
          <w:szCs w:val="20"/>
          <w:lang w:eastAsia="en-GB"/>
        </w:rPr>
        <w:t xml:space="preserve"> </w:t>
      </w:r>
      <w:r w:rsidRPr="000D0304">
        <w:rPr>
          <w:rFonts w:cs="Helvetica"/>
          <w:color w:val="595959"/>
          <w:szCs w:val="20"/>
          <w:lang w:eastAsia="en-GB"/>
        </w:rPr>
        <w:t xml:space="preserve">the results </w:t>
      </w:r>
      <w:r w:rsidR="002A52D3">
        <w:rPr>
          <w:rFonts w:cs="Helvetica"/>
          <w:color w:val="595959"/>
          <w:szCs w:val="20"/>
          <w:lang w:eastAsia="en-GB"/>
        </w:rPr>
        <w:t xml:space="preserve">presented here </w:t>
      </w:r>
      <w:r w:rsidR="00880A5E" w:rsidRPr="000D0304">
        <w:rPr>
          <w:rFonts w:cs="Helvetica"/>
          <w:color w:val="595959"/>
          <w:szCs w:val="20"/>
          <w:lang w:eastAsia="en-GB"/>
        </w:rPr>
        <w:t xml:space="preserve">do not reflect the </w:t>
      </w:r>
      <w:r w:rsidR="002620D5" w:rsidRPr="000D0304">
        <w:rPr>
          <w:rFonts w:cs="Helvetica"/>
          <w:color w:val="595959"/>
          <w:szCs w:val="20"/>
          <w:lang w:eastAsia="en-GB"/>
        </w:rPr>
        <w:t xml:space="preserve">environmental impacts </w:t>
      </w:r>
      <w:r w:rsidR="00880A5E" w:rsidRPr="000D0304">
        <w:rPr>
          <w:rFonts w:cs="Helvetica"/>
          <w:color w:val="595959"/>
          <w:szCs w:val="20"/>
          <w:lang w:eastAsia="en-GB"/>
        </w:rPr>
        <w:t>of</w:t>
      </w:r>
      <w:r w:rsidR="002620D5" w:rsidRPr="000D0304">
        <w:rPr>
          <w:rFonts w:cs="Helvetica"/>
          <w:color w:val="595959"/>
          <w:szCs w:val="20"/>
          <w:lang w:eastAsia="en-GB"/>
        </w:rPr>
        <w:t xml:space="preserve"> the </w:t>
      </w:r>
      <w:r w:rsidR="00880A5E" w:rsidRPr="000D0304">
        <w:rPr>
          <w:rFonts w:cs="Helvetica"/>
          <w:color w:val="595959"/>
          <w:szCs w:val="20"/>
          <w:lang w:eastAsia="en-GB"/>
        </w:rPr>
        <w:t xml:space="preserve">material </w:t>
      </w:r>
      <w:r w:rsidR="00F46860" w:rsidRPr="000D0304">
        <w:rPr>
          <w:rFonts w:cs="Helvetica"/>
          <w:color w:val="595959"/>
          <w:szCs w:val="20"/>
          <w:lang w:eastAsia="en-GB"/>
        </w:rPr>
        <w:t xml:space="preserve">supply </w:t>
      </w:r>
      <w:r w:rsidRPr="000D0304">
        <w:rPr>
          <w:rFonts w:cs="Helvetica"/>
          <w:color w:val="595959"/>
          <w:szCs w:val="20"/>
          <w:lang w:eastAsia="en-GB"/>
        </w:rPr>
        <w:t xml:space="preserve">available </w:t>
      </w:r>
      <w:r w:rsidR="00880A5E" w:rsidRPr="000D0304">
        <w:rPr>
          <w:rFonts w:cs="Helvetica"/>
          <w:color w:val="595959"/>
          <w:szCs w:val="20"/>
          <w:lang w:eastAsia="en-GB"/>
        </w:rPr>
        <w:t xml:space="preserve">in </w:t>
      </w:r>
      <w:r w:rsidR="002620D5" w:rsidRPr="000D0304">
        <w:rPr>
          <w:rFonts w:cs="Helvetica"/>
          <w:color w:val="595959"/>
          <w:szCs w:val="20"/>
          <w:lang w:eastAsia="en-GB"/>
        </w:rPr>
        <w:t xml:space="preserve">each of </w:t>
      </w:r>
      <w:r w:rsidR="00880A5E" w:rsidRPr="000D0304">
        <w:rPr>
          <w:rFonts w:cs="Helvetica"/>
          <w:color w:val="595959"/>
          <w:szCs w:val="20"/>
          <w:lang w:eastAsia="en-GB"/>
        </w:rPr>
        <w:t xml:space="preserve">these regions but </w:t>
      </w:r>
      <w:r w:rsidR="002A52D3">
        <w:rPr>
          <w:rFonts w:cs="Helvetica"/>
          <w:color w:val="595959"/>
          <w:szCs w:val="20"/>
          <w:lang w:eastAsia="en-GB"/>
        </w:rPr>
        <w:t>rather</w:t>
      </w:r>
      <w:r w:rsidRPr="000D0304">
        <w:rPr>
          <w:rFonts w:cs="Helvetica"/>
          <w:color w:val="595959"/>
          <w:szCs w:val="20"/>
          <w:lang w:eastAsia="en-GB"/>
        </w:rPr>
        <w:t xml:space="preserve"> </w:t>
      </w:r>
      <w:r w:rsidR="00880A5E" w:rsidRPr="000D0304">
        <w:rPr>
          <w:rFonts w:cs="Helvetica"/>
          <w:color w:val="595959"/>
          <w:szCs w:val="20"/>
          <w:lang w:eastAsia="en-GB"/>
        </w:rPr>
        <w:t>the production of material at each unit process</w:t>
      </w:r>
      <w:r w:rsidRPr="000D0304">
        <w:rPr>
          <w:rFonts w:cs="Helvetica"/>
          <w:color w:val="595959"/>
          <w:szCs w:val="20"/>
          <w:lang w:eastAsia="en-GB"/>
        </w:rPr>
        <w:t xml:space="preserve"> </w:t>
      </w:r>
      <w:r w:rsidR="002620D5" w:rsidRPr="000D0304">
        <w:rPr>
          <w:rFonts w:cs="Helvetica"/>
          <w:color w:val="595959"/>
          <w:szCs w:val="20"/>
          <w:lang w:eastAsia="en-GB"/>
        </w:rPr>
        <w:t>that occurs withi</w:t>
      </w:r>
      <w:r w:rsidRPr="000D0304">
        <w:rPr>
          <w:rFonts w:cs="Helvetica"/>
          <w:color w:val="595959"/>
          <w:szCs w:val="20"/>
          <w:lang w:eastAsia="en-GB"/>
        </w:rPr>
        <w:t>n these regions</w:t>
      </w:r>
      <w:r w:rsidR="002A52D3">
        <w:rPr>
          <w:rFonts w:cs="Helvetica"/>
          <w:color w:val="595959"/>
          <w:szCs w:val="20"/>
          <w:lang w:eastAsia="en-GB"/>
        </w:rPr>
        <w:t>.  C</w:t>
      </w:r>
      <w:r w:rsidR="006B0766" w:rsidRPr="000D0304">
        <w:rPr>
          <w:rFonts w:cs="Helvetica"/>
          <w:color w:val="595959"/>
          <w:szCs w:val="20"/>
          <w:lang w:eastAsia="en-GB"/>
        </w:rPr>
        <w:t xml:space="preserve">radle-to-grave </w:t>
      </w:r>
      <w:r w:rsidR="00B34E35" w:rsidRPr="000D0304">
        <w:rPr>
          <w:rFonts w:cs="Helvetica"/>
          <w:color w:val="595959"/>
          <w:szCs w:val="20"/>
          <w:lang w:eastAsia="en-GB"/>
        </w:rPr>
        <w:t xml:space="preserve">regional life cycle assessments </w:t>
      </w:r>
      <w:r w:rsidR="002A52D3">
        <w:rPr>
          <w:rFonts w:cs="Helvetica"/>
          <w:color w:val="595959"/>
          <w:szCs w:val="20"/>
          <w:lang w:eastAsia="en-GB"/>
        </w:rPr>
        <w:t xml:space="preserve">have been published </w:t>
      </w:r>
      <w:r w:rsidR="00CF4B90">
        <w:rPr>
          <w:rFonts w:cs="Helvetica"/>
          <w:color w:val="595959"/>
          <w:szCs w:val="20"/>
          <w:lang w:eastAsia="en-GB"/>
        </w:rPr>
        <w:t>(</w:t>
      </w:r>
      <w:r w:rsidR="00D154E7">
        <w:rPr>
          <w:rFonts w:cs="Helvetica"/>
          <w:color w:val="595959"/>
          <w:szCs w:val="20"/>
          <w:lang w:eastAsia="en-GB"/>
        </w:rPr>
        <w:t xml:space="preserve">The </w:t>
      </w:r>
      <w:proofErr w:type="spellStart"/>
      <w:r w:rsidR="00CF4B90">
        <w:rPr>
          <w:rFonts w:cs="Helvetica"/>
          <w:color w:val="595959"/>
          <w:szCs w:val="20"/>
          <w:lang w:eastAsia="en-GB"/>
        </w:rPr>
        <w:t>Aluminum</w:t>
      </w:r>
      <w:proofErr w:type="spellEnd"/>
      <w:r w:rsidR="00CF4B90">
        <w:rPr>
          <w:rFonts w:cs="Helvetica"/>
          <w:color w:val="595959"/>
          <w:szCs w:val="20"/>
          <w:lang w:eastAsia="en-GB"/>
        </w:rPr>
        <w:t xml:space="preserve"> Association, </w:t>
      </w:r>
      <w:r w:rsidR="004146F0">
        <w:rPr>
          <w:rFonts w:cs="Helvetica"/>
          <w:color w:val="595959"/>
          <w:szCs w:val="20"/>
          <w:lang w:eastAsia="en-GB"/>
        </w:rPr>
        <w:t>2021</w:t>
      </w:r>
      <w:r w:rsidR="00CF4B90">
        <w:rPr>
          <w:rFonts w:cs="Helvetica"/>
          <w:color w:val="595959"/>
          <w:szCs w:val="20"/>
          <w:lang w:eastAsia="en-GB"/>
        </w:rPr>
        <w:t xml:space="preserve">; European Aluminium Association, </w:t>
      </w:r>
      <w:r w:rsidR="004146F0">
        <w:rPr>
          <w:rFonts w:cs="Helvetica"/>
          <w:color w:val="595959"/>
          <w:szCs w:val="20"/>
          <w:lang w:eastAsia="en-GB"/>
        </w:rPr>
        <w:t>2018</w:t>
      </w:r>
      <w:r w:rsidR="003C6517" w:rsidRPr="000D0304">
        <w:rPr>
          <w:rFonts w:cs="Helvetica"/>
          <w:color w:val="595959"/>
          <w:szCs w:val="20"/>
          <w:lang w:eastAsia="en-GB"/>
        </w:rPr>
        <w:t>)</w:t>
      </w:r>
      <w:r w:rsidR="00CF4B90">
        <w:rPr>
          <w:rFonts w:cs="Helvetica"/>
          <w:color w:val="595959"/>
          <w:szCs w:val="20"/>
          <w:lang w:eastAsia="en-GB"/>
        </w:rPr>
        <w:t>,</w:t>
      </w:r>
      <w:r w:rsidR="003C6517" w:rsidRPr="000D0304">
        <w:rPr>
          <w:rFonts w:cs="Helvetica"/>
          <w:color w:val="595959"/>
          <w:szCs w:val="20"/>
          <w:lang w:eastAsia="en-GB"/>
        </w:rPr>
        <w:t xml:space="preserve"> </w:t>
      </w:r>
      <w:r w:rsidR="00B34E35" w:rsidRPr="000D0304">
        <w:rPr>
          <w:rFonts w:cs="Helvetica"/>
          <w:color w:val="595959"/>
          <w:szCs w:val="20"/>
          <w:lang w:eastAsia="en-GB"/>
        </w:rPr>
        <w:t xml:space="preserve">which </w:t>
      </w:r>
      <w:r w:rsidR="002A52D3">
        <w:rPr>
          <w:rFonts w:cs="Helvetica"/>
          <w:color w:val="595959"/>
          <w:szCs w:val="20"/>
          <w:lang w:eastAsia="en-GB"/>
        </w:rPr>
        <w:t xml:space="preserve">do </w:t>
      </w:r>
      <w:r w:rsidR="00B34E35" w:rsidRPr="000D0304">
        <w:rPr>
          <w:rFonts w:cs="Helvetica"/>
          <w:color w:val="595959"/>
          <w:szCs w:val="20"/>
          <w:lang w:eastAsia="en-GB"/>
        </w:rPr>
        <w:t>take material imports into consideration and therefore provide environmental impact assessments that reflect the impacts associated with material supply in their respective regions</w:t>
      </w:r>
      <w:r w:rsidR="009831A3">
        <w:rPr>
          <w:rFonts w:cs="Helvetica"/>
          <w:color w:val="595959"/>
          <w:szCs w:val="20"/>
          <w:lang w:eastAsia="en-GB"/>
        </w:rPr>
        <w:t xml:space="preserve">.  </w:t>
      </w:r>
    </w:p>
    <w:p w14:paraId="21811556" w14:textId="77777777" w:rsidR="009C0114" w:rsidRPr="005F0AA8" w:rsidRDefault="009C0114" w:rsidP="00733BF3">
      <w:pPr>
        <w:spacing w:after="0" w:line="312" w:lineRule="auto"/>
        <w:contextualSpacing/>
        <w:rPr>
          <w:rFonts w:cs="Helvetica"/>
          <w:color w:val="595959"/>
          <w:szCs w:val="20"/>
          <w:lang w:eastAsia="en-GB"/>
        </w:rPr>
      </w:pPr>
    </w:p>
    <w:tbl>
      <w:tblPr>
        <w:tblStyle w:val="TableGrid"/>
        <w:tblW w:w="4844" w:type="pct"/>
        <w:jc w:val="center"/>
        <w:tblCellMar>
          <w:top w:w="28" w:type="dxa"/>
          <w:bottom w:w="57" w:type="dxa"/>
        </w:tblCellMar>
        <w:tblLook w:val="04A0" w:firstRow="1" w:lastRow="0" w:firstColumn="1" w:lastColumn="0" w:noHBand="0" w:noVBand="1"/>
      </w:tblPr>
      <w:tblGrid>
        <w:gridCol w:w="1554"/>
        <w:gridCol w:w="2552"/>
        <w:gridCol w:w="2269"/>
        <w:gridCol w:w="2954"/>
      </w:tblGrid>
      <w:tr w:rsidR="00733BF3" w:rsidRPr="0080478A" w14:paraId="7144F215" w14:textId="77777777" w:rsidTr="00FD4D41">
        <w:trPr>
          <w:trHeight w:val="13"/>
          <w:jc w:val="center"/>
        </w:trPr>
        <w:tc>
          <w:tcPr>
            <w:tcW w:w="833" w:type="pct"/>
            <w:shd w:val="clear" w:color="auto" w:fill="F2F2F2" w:themeFill="background1" w:themeFillShade="F2"/>
          </w:tcPr>
          <w:p w14:paraId="4DADF58A" w14:textId="77777777" w:rsidR="00733BF3" w:rsidRPr="0080478A" w:rsidRDefault="00733BF3" w:rsidP="000D0304">
            <w:pPr>
              <w:spacing w:after="0"/>
              <w:jc w:val="center"/>
              <w:rPr>
                <w:rFonts w:cs="Helvetica"/>
                <w:b/>
                <w:bCs/>
                <w:color w:val="595959"/>
                <w:sz w:val="18"/>
                <w:szCs w:val="18"/>
              </w:rPr>
            </w:pPr>
          </w:p>
        </w:tc>
        <w:tc>
          <w:tcPr>
            <w:tcW w:w="1368" w:type="pct"/>
            <w:shd w:val="clear" w:color="auto" w:fill="F2F2F2" w:themeFill="background1" w:themeFillShade="F2"/>
            <w:vAlign w:val="center"/>
          </w:tcPr>
          <w:p w14:paraId="25B18993" w14:textId="77777777" w:rsidR="00733BF3" w:rsidRPr="0080478A" w:rsidRDefault="00733BF3" w:rsidP="000D0304">
            <w:pPr>
              <w:spacing w:after="0"/>
              <w:jc w:val="center"/>
              <w:rPr>
                <w:rFonts w:cs="Helvetica"/>
                <w:b/>
                <w:color w:val="595959"/>
                <w:sz w:val="18"/>
                <w:szCs w:val="18"/>
              </w:rPr>
            </w:pPr>
            <w:r w:rsidRPr="0080478A">
              <w:rPr>
                <w:rFonts w:cs="Helvetica"/>
                <w:b/>
                <w:bCs/>
                <w:color w:val="595959"/>
                <w:sz w:val="18"/>
                <w:szCs w:val="18"/>
              </w:rPr>
              <w:t xml:space="preserve">Bauxite Mining </w:t>
            </w:r>
          </w:p>
        </w:tc>
        <w:tc>
          <w:tcPr>
            <w:tcW w:w="1216" w:type="pct"/>
            <w:shd w:val="clear" w:color="auto" w:fill="F2F2F2" w:themeFill="background1" w:themeFillShade="F2"/>
            <w:vAlign w:val="center"/>
          </w:tcPr>
          <w:p w14:paraId="26F78919" w14:textId="77777777" w:rsidR="00733BF3" w:rsidRPr="0080478A" w:rsidRDefault="00733BF3" w:rsidP="000D0304">
            <w:pPr>
              <w:spacing w:after="0"/>
              <w:jc w:val="center"/>
              <w:rPr>
                <w:rFonts w:cs="Helvetica"/>
                <w:b/>
                <w:color w:val="595959"/>
                <w:sz w:val="18"/>
                <w:szCs w:val="18"/>
              </w:rPr>
            </w:pPr>
            <w:r w:rsidRPr="0080478A">
              <w:rPr>
                <w:rFonts w:cs="Helvetica"/>
                <w:b/>
                <w:bCs/>
                <w:color w:val="595959"/>
                <w:sz w:val="18"/>
                <w:szCs w:val="18"/>
              </w:rPr>
              <w:t>Alumina Production</w:t>
            </w:r>
          </w:p>
        </w:tc>
        <w:tc>
          <w:tcPr>
            <w:tcW w:w="1583" w:type="pct"/>
            <w:shd w:val="clear" w:color="auto" w:fill="F2F2F2" w:themeFill="background1" w:themeFillShade="F2"/>
            <w:vAlign w:val="center"/>
          </w:tcPr>
          <w:p w14:paraId="01533C82" w14:textId="77777777" w:rsidR="00733BF3" w:rsidRPr="0080478A" w:rsidRDefault="00733BF3" w:rsidP="000D0304">
            <w:pPr>
              <w:spacing w:after="0"/>
              <w:jc w:val="center"/>
              <w:rPr>
                <w:rFonts w:cs="Helvetica"/>
                <w:b/>
                <w:color w:val="595959"/>
                <w:sz w:val="18"/>
                <w:szCs w:val="18"/>
              </w:rPr>
            </w:pPr>
            <w:r w:rsidRPr="0080478A">
              <w:rPr>
                <w:rFonts w:cs="Helvetica"/>
                <w:b/>
                <w:bCs/>
                <w:color w:val="595959"/>
                <w:sz w:val="18"/>
                <w:szCs w:val="18"/>
              </w:rPr>
              <w:t xml:space="preserve">Anode production, Electrolysis and Casting </w:t>
            </w:r>
          </w:p>
        </w:tc>
      </w:tr>
      <w:tr w:rsidR="00733BF3" w:rsidRPr="0080478A" w14:paraId="643728B9" w14:textId="77777777" w:rsidTr="00FD4D41">
        <w:trPr>
          <w:trHeight w:val="13"/>
          <w:jc w:val="center"/>
        </w:trPr>
        <w:tc>
          <w:tcPr>
            <w:tcW w:w="833" w:type="pct"/>
            <w:shd w:val="clear" w:color="auto" w:fill="D9D9D9" w:themeFill="background1" w:themeFillShade="D9"/>
            <w:vAlign w:val="center"/>
          </w:tcPr>
          <w:p w14:paraId="7D080BEF" w14:textId="77777777" w:rsidR="00733BF3" w:rsidRPr="0080478A" w:rsidRDefault="00733BF3" w:rsidP="000D0304">
            <w:pPr>
              <w:spacing w:after="0"/>
              <w:jc w:val="center"/>
              <w:rPr>
                <w:rFonts w:cs="Helvetica"/>
                <w:b/>
                <w:bCs/>
                <w:color w:val="595959"/>
                <w:sz w:val="18"/>
                <w:szCs w:val="18"/>
              </w:rPr>
            </w:pPr>
            <w:r w:rsidRPr="0080478A">
              <w:rPr>
                <w:rFonts w:cs="Helvetica"/>
                <w:b/>
                <w:bCs/>
                <w:color w:val="595959"/>
                <w:sz w:val="18"/>
                <w:szCs w:val="18"/>
              </w:rPr>
              <w:t>Scenario 1</w:t>
            </w:r>
          </w:p>
        </w:tc>
        <w:tc>
          <w:tcPr>
            <w:tcW w:w="1368" w:type="pct"/>
            <w:shd w:val="clear" w:color="auto" w:fill="D9D9D9" w:themeFill="background1" w:themeFillShade="D9"/>
            <w:vAlign w:val="center"/>
          </w:tcPr>
          <w:p w14:paraId="38BEC264" w14:textId="77777777" w:rsidR="00733BF3" w:rsidRPr="0080478A" w:rsidRDefault="00281C9E" w:rsidP="000D0304">
            <w:pPr>
              <w:spacing w:after="0"/>
              <w:jc w:val="center"/>
              <w:rPr>
                <w:rFonts w:cs="Helvetica"/>
                <w:b/>
                <w:bCs/>
                <w:color w:val="595959"/>
                <w:sz w:val="18"/>
                <w:szCs w:val="18"/>
              </w:rPr>
            </w:pPr>
            <w:r w:rsidRPr="0080478A">
              <w:rPr>
                <w:rFonts w:cs="Helvetica"/>
                <w:b/>
                <w:bCs/>
                <w:noProof/>
                <w:color w:val="595959"/>
                <w:sz w:val="18"/>
                <w:szCs w:val="18"/>
                <w:lang w:eastAsia="zh-CN"/>
              </w:rPr>
              <mc:AlternateContent>
                <mc:Choice Requires="wps">
                  <w:drawing>
                    <wp:anchor distT="0" distB="0" distL="114300" distR="114300" simplePos="0" relativeHeight="251658245" behindDoc="0" locked="0" layoutInCell="1" allowOverlap="1" wp14:anchorId="1FEEB34D" wp14:editId="23615F93">
                      <wp:simplePos x="0" y="0"/>
                      <wp:positionH relativeFrom="column">
                        <wp:posOffset>1423670</wp:posOffset>
                      </wp:positionH>
                      <wp:positionV relativeFrom="paragraph">
                        <wp:posOffset>36195</wp:posOffset>
                      </wp:positionV>
                      <wp:extent cx="215900" cy="107950"/>
                      <wp:effectExtent l="0" t="19050" r="31750" b="44450"/>
                      <wp:wrapNone/>
                      <wp:docPr id="50" name="Arrow: Right 50"/>
                      <wp:cNvGraphicFramePr/>
                      <a:graphic xmlns:a="http://schemas.openxmlformats.org/drawingml/2006/main">
                        <a:graphicData uri="http://schemas.microsoft.com/office/word/2010/wordprocessingShape">
                          <wps:wsp>
                            <wps:cNvSpPr/>
                            <wps:spPr>
                              <a:xfrm>
                                <a:off x="0" y="0"/>
                                <a:ext cx="215900" cy="107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93D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0" o:spid="_x0000_s1026" type="#_x0000_t13" style="position:absolute;margin-left:112.1pt;margin-top:2.85pt;width:17pt;height:8.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" fillcolor="#739faa [3204]" strokecolor="#355158 [1604]" strokeweight="2pt"/>
                  </w:pict>
                </mc:Fallback>
              </mc:AlternateContent>
            </w:r>
            <w:r w:rsidR="00733BF3" w:rsidRPr="0080478A">
              <w:rPr>
                <w:rFonts w:cs="Helvetica"/>
                <w:b/>
                <w:bCs/>
                <w:color w:val="595959"/>
                <w:sz w:val="18"/>
                <w:szCs w:val="18"/>
              </w:rPr>
              <w:t>China</w:t>
            </w:r>
            <w:r w:rsidR="006E4F0A" w:rsidRPr="0080478A">
              <w:rPr>
                <w:rFonts w:cs="Helvetica"/>
                <w:b/>
                <w:bCs/>
                <w:color w:val="595959"/>
                <w:sz w:val="18"/>
                <w:szCs w:val="18"/>
              </w:rPr>
              <w:t xml:space="preserve"> (CNA)</w:t>
            </w:r>
          </w:p>
        </w:tc>
        <w:tc>
          <w:tcPr>
            <w:tcW w:w="1216" w:type="pct"/>
            <w:shd w:val="clear" w:color="auto" w:fill="D9D9D9" w:themeFill="background1" w:themeFillShade="D9"/>
            <w:vAlign w:val="center"/>
          </w:tcPr>
          <w:p w14:paraId="093445D5" w14:textId="77777777" w:rsidR="00733BF3" w:rsidRPr="0080478A" w:rsidRDefault="00281C9E" w:rsidP="000D0304">
            <w:pPr>
              <w:spacing w:after="0"/>
              <w:jc w:val="center"/>
              <w:rPr>
                <w:rFonts w:cs="Helvetica"/>
                <w:b/>
                <w:bCs/>
                <w:color w:val="595959"/>
                <w:sz w:val="18"/>
                <w:szCs w:val="18"/>
              </w:rPr>
            </w:pPr>
            <w:r w:rsidRPr="0080478A">
              <w:rPr>
                <w:rFonts w:cs="Helvetica"/>
                <w:b/>
                <w:bCs/>
                <w:noProof/>
                <w:color w:val="595959"/>
                <w:sz w:val="18"/>
                <w:szCs w:val="18"/>
                <w:lang w:eastAsia="zh-CN"/>
              </w:rPr>
              <mc:AlternateContent>
                <mc:Choice Requires="wps">
                  <w:drawing>
                    <wp:anchor distT="0" distB="0" distL="114300" distR="114300" simplePos="0" relativeHeight="251658244" behindDoc="0" locked="0" layoutInCell="1" allowOverlap="1" wp14:anchorId="699C52A2" wp14:editId="2D1AEE97">
                      <wp:simplePos x="0" y="0"/>
                      <wp:positionH relativeFrom="column">
                        <wp:posOffset>1252855</wp:posOffset>
                      </wp:positionH>
                      <wp:positionV relativeFrom="paragraph">
                        <wp:posOffset>24765</wp:posOffset>
                      </wp:positionV>
                      <wp:extent cx="215900" cy="107950"/>
                      <wp:effectExtent l="0" t="19050" r="31750" b="44450"/>
                      <wp:wrapNone/>
                      <wp:docPr id="42" name="Arrow: Right 42"/>
                      <wp:cNvGraphicFramePr/>
                      <a:graphic xmlns:a="http://schemas.openxmlformats.org/drawingml/2006/main">
                        <a:graphicData uri="http://schemas.microsoft.com/office/word/2010/wordprocessingShape">
                          <wps:wsp>
                            <wps:cNvSpPr/>
                            <wps:spPr>
                              <a:xfrm>
                                <a:off x="0" y="0"/>
                                <a:ext cx="215900" cy="107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036D4" id="Arrow: Right 42" o:spid="_x0000_s1026" type="#_x0000_t13" style="position:absolute;margin-left:98.65pt;margin-top:1.95pt;width:17pt;height: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" fillcolor="#739faa [3204]" strokecolor="#355158 [1604]" strokeweight="2pt"/>
                  </w:pict>
                </mc:Fallback>
              </mc:AlternateContent>
            </w:r>
            <w:r w:rsidR="006E4F0A" w:rsidRPr="0080478A">
              <w:rPr>
                <w:rFonts w:cs="Helvetica"/>
                <w:b/>
                <w:bCs/>
                <w:color w:val="595959"/>
                <w:sz w:val="18"/>
                <w:szCs w:val="18"/>
              </w:rPr>
              <w:t>China (CNA)</w:t>
            </w:r>
          </w:p>
        </w:tc>
        <w:tc>
          <w:tcPr>
            <w:tcW w:w="1583" w:type="pct"/>
            <w:shd w:val="clear" w:color="auto" w:fill="D9D9D9" w:themeFill="background1" w:themeFillShade="D9"/>
            <w:vAlign w:val="center"/>
          </w:tcPr>
          <w:p w14:paraId="3567A524" w14:textId="77777777" w:rsidR="00733BF3" w:rsidRPr="0080478A" w:rsidRDefault="006E4F0A" w:rsidP="000D0304">
            <w:pPr>
              <w:spacing w:after="0"/>
              <w:jc w:val="center"/>
              <w:rPr>
                <w:rFonts w:cs="Helvetica"/>
                <w:b/>
                <w:bCs/>
                <w:color w:val="595959"/>
                <w:sz w:val="18"/>
                <w:szCs w:val="18"/>
              </w:rPr>
            </w:pPr>
            <w:r w:rsidRPr="0080478A">
              <w:rPr>
                <w:rFonts w:cs="Helvetica"/>
                <w:b/>
                <w:bCs/>
                <w:color w:val="595959"/>
                <w:sz w:val="18"/>
                <w:szCs w:val="18"/>
              </w:rPr>
              <w:t>China (CNA)</w:t>
            </w:r>
          </w:p>
        </w:tc>
      </w:tr>
      <w:tr w:rsidR="00733BF3" w:rsidRPr="0080478A" w14:paraId="4204CE8C" w14:textId="77777777" w:rsidTr="00FD4D41">
        <w:trPr>
          <w:trHeight w:val="13"/>
          <w:jc w:val="center"/>
        </w:trPr>
        <w:tc>
          <w:tcPr>
            <w:tcW w:w="833" w:type="pct"/>
            <w:shd w:val="clear" w:color="auto" w:fill="FFFFFF" w:themeFill="background1"/>
            <w:vAlign w:val="center"/>
          </w:tcPr>
          <w:p w14:paraId="33222876" w14:textId="77777777" w:rsidR="00733BF3" w:rsidRPr="0080478A" w:rsidRDefault="00733BF3" w:rsidP="000D0304">
            <w:pPr>
              <w:spacing w:after="0"/>
              <w:jc w:val="center"/>
              <w:rPr>
                <w:rFonts w:cs="Helvetica"/>
                <w:b/>
                <w:bCs/>
                <w:i/>
                <w:color w:val="595959"/>
                <w:sz w:val="18"/>
                <w:szCs w:val="18"/>
              </w:rPr>
            </w:pPr>
            <w:r w:rsidRPr="0080478A">
              <w:rPr>
                <w:rFonts w:cs="Helvetica"/>
                <w:bCs/>
                <w:i/>
                <w:color w:val="595959"/>
                <w:sz w:val="18"/>
                <w:szCs w:val="18"/>
              </w:rPr>
              <w:t>LCI Dataset</w:t>
            </w:r>
          </w:p>
        </w:tc>
        <w:tc>
          <w:tcPr>
            <w:tcW w:w="1368" w:type="pct"/>
            <w:shd w:val="clear" w:color="auto" w:fill="FFFFFF" w:themeFill="background1"/>
            <w:vAlign w:val="center"/>
          </w:tcPr>
          <w:p w14:paraId="4076F5E2" w14:textId="77777777" w:rsidR="00733BF3" w:rsidRPr="0080478A" w:rsidRDefault="00733BF3" w:rsidP="000D0304">
            <w:pPr>
              <w:spacing w:after="0"/>
              <w:jc w:val="center"/>
              <w:rPr>
                <w:rFonts w:cs="Helvetica"/>
                <w:b/>
                <w:bCs/>
                <w:i/>
                <w:color w:val="595959"/>
                <w:sz w:val="18"/>
                <w:szCs w:val="18"/>
              </w:rPr>
            </w:pPr>
            <w:r w:rsidRPr="0080478A">
              <w:rPr>
                <w:rFonts w:cs="Helvetica"/>
                <w:bCs/>
                <w:i/>
                <w:color w:val="595959"/>
                <w:sz w:val="18"/>
                <w:szCs w:val="18"/>
              </w:rPr>
              <w:t>Global</w:t>
            </w:r>
            <w:r w:rsidR="006E4F0A" w:rsidRPr="0080478A">
              <w:rPr>
                <w:rFonts w:cs="Helvetica"/>
                <w:bCs/>
                <w:i/>
                <w:color w:val="595959"/>
                <w:sz w:val="18"/>
                <w:szCs w:val="18"/>
              </w:rPr>
              <w:t xml:space="preserve"> (GLO)</w:t>
            </w:r>
          </w:p>
        </w:tc>
        <w:tc>
          <w:tcPr>
            <w:tcW w:w="1216" w:type="pct"/>
            <w:shd w:val="clear" w:color="auto" w:fill="FFFFFF" w:themeFill="background1"/>
            <w:vAlign w:val="center"/>
          </w:tcPr>
          <w:p w14:paraId="2EC3AFBA" w14:textId="77777777" w:rsidR="00733BF3" w:rsidRPr="0080478A" w:rsidRDefault="006E4F0A" w:rsidP="000D0304">
            <w:pPr>
              <w:spacing w:after="0"/>
              <w:jc w:val="center"/>
              <w:rPr>
                <w:rFonts w:cs="Helvetica"/>
                <w:b/>
                <w:bCs/>
                <w:i/>
                <w:color w:val="595959"/>
                <w:sz w:val="18"/>
                <w:szCs w:val="18"/>
              </w:rPr>
            </w:pPr>
            <w:r w:rsidRPr="0080478A">
              <w:rPr>
                <w:rFonts w:cs="Helvetica"/>
                <w:bCs/>
                <w:i/>
                <w:color w:val="595959"/>
                <w:sz w:val="18"/>
                <w:szCs w:val="18"/>
              </w:rPr>
              <w:t>Global (GLO)</w:t>
            </w:r>
          </w:p>
        </w:tc>
        <w:tc>
          <w:tcPr>
            <w:tcW w:w="1583" w:type="pct"/>
            <w:shd w:val="clear" w:color="auto" w:fill="FFFFFF" w:themeFill="background1"/>
            <w:vAlign w:val="center"/>
          </w:tcPr>
          <w:p w14:paraId="24393722" w14:textId="77777777" w:rsidR="00733BF3" w:rsidRPr="0080478A" w:rsidRDefault="006E4F0A" w:rsidP="000D0304">
            <w:pPr>
              <w:spacing w:after="0"/>
              <w:jc w:val="center"/>
              <w:rPr>
                <w:rFonts w:cs="Helvetica"/>
                <w:b/>
                <w:bCs/>
                <w:i/>
                <w:color w:val="595959"/>
                <w:sz w:val="18"/>
                <w:szCs w:val="18"/>
              </w:rPr>
            </w:pPr>
            <w:r w:rsidRPr="0080478A">
              <w:rPr>
                <w:rFonts w:cs="Helvetica"/>
                <w:bCs/>
                <w:i/>
                <w:color w:val="595959"/>
                <w:sz w:val="18"/>
                <w:szCs w:val="18"/>
              </w:rPr>
              <w:t>Global (GLO)</w:t>
            </w:r>
          </w:p>
        </w:tc>
      </w:tr>
      <w:tr w:rsidR="006E4F0A" w:rsidRPr="0080478A" w14:paraId="1708A2A3" w14:textId="77777777" w:rsidTr="00FD4D41">
        <w:trPr>
          <w:trHeight w:val="13"/>
          <w:jc w:val="center"/>
        </w:trPr>
        <w:tc>
          <w:tcPr>
            <w:tcW w:w="833" w:type="pct"/>
            <w:shd w:val="clear" w:color="auto" w:fill="FFFFFF" w:themeFill="background1"/>
            <w:vAlign w:val="center"/>
          </w:tcPr>
          <w:p w14:paraId="4D74975E" w14:textId="77777777" w:rsidR="006E4F0A" w:rsidRPr="0080478A" w:rsidRDefault="006E4F0A" w:rsidP="000D0304">
            <w:pPr>
              <w:spacing w:after="0"/>
              <w:jc w:val="center"/>
              <w:rPr>
                <w:rFonts w:cs="Helvetica"/>
                <w:b/>
                <w:bCs/>
                <w:i/>
                <w:color w:val="595959"/>
                <w:sz w:val="18"/>
                <w:szCs w:val="18"/>
              </w:rPr>
            </w:pPr>
            <w:r w:rsidRPr="0080478A">
              <w:rPr>
                <w:rFonts w:cs="Helvetica"/>
                <w:bCs/>
                <w:i/>
                <w:color w:val="595959"/>
                <w:sz w:val="18"/>
                <w:szCs w:val="18"/>
              </w:rPr>
              <w:t>Energy Dataset</w:t>
            </w:r>
          </w:p>
        </w:tc>
        <w:tc>
          <w:tcPr>
            <w:tcW w:w="1368" w:type="pct"/>
            <w:shd w:val="clear" w:color="auto" w:fill="FFFFFF" w:themeFill="background1"/>
            <w:vAlign w:val="center"/>
          </w:tcPr>
          <w:p w14:paraId="0CDFC812" w14:textId="77777777" w:rsidR="006E4F0A" w:rsidRPr="0080478A" w:rsidRDefault="006E4F0A" w:rsidP="000D0304">
            <w:pPr>
              <w:spacing w:after="0"/>
              <w:jc w:val="center"/>
              <w:rPr>
                <w:rFonts w:cs="Helvetica"/>
                <w:b/>
                <w:bCs/>
                <w:i/>
                <w:color w:val="595959"/>
                <w:sz w:val="18"/>
                <w:szCs w:val="18"/>
              </w:rPr>
            </w:pPr>
            <w:r w:rsidRPr="0080478A">
              <w:rPr>
                <w:rFonts w:cs="Helvetica"/>
                <w:bCs/>
                <w:i/>
                <w:color w:val="595959"/>
                <w:sz w:val="18"/>
                <w:szCs w:val="18"/>
              </w:rPr>
              <w:t>Global (GLO)</w:t>
            </w:r>
          </w:p>
        </w:tc>
        <w:tc>
          <w:tcPr>
            <w:tcW w:w="1216" w:type="pct"/>
            <w:shd w:val="clear" w:color="auto" w:fill="FFFFFF" w:themeFill="background1"/>
            <w:vAlign w:val="center"/>
          </w:tcPr>
          <w:p w14:paraId="000B02A1" w14:textId="77777777" w:rsidR="006E4F0A" w:rsidRPr="0080478A" w:rsidRDefault="006E4F0A" w:rsidP="000D0304">
            <w:pPr>
              <w:spacing w:after="0"/>
              <w:jc w:val="center"/>
              <w:rPr>
                <w:rFonts w:cs="Helvetica"/>
                <w:b/>
                <w:bCs/>
                <w:i/>
                <w:color w:val="595959"/>
                <w:sz w:val="18"/>
                <w:szCs w:val="18"/>
              </w:rPr>
            </w:pPr>
            <w:r w:rsidRPr="0080478A">
              <w:rPr>
                <w:rFonts w:cs="Helvetica"/>
                <w:bCs/>
                <w:i/>
                <w:color w:val="595959"/>
                <w:sz w:val="18"/>
                <w:szCs w:val="18"/>
              </w:rPr>
              <w:t>China (CNA)</w:t>
            </w:r>
          </w:p>
        </w:tc>
        <w:tc>
          <w:tcPr>
            <w:tcW w:w="1583" w:type="pct"/>
            <w:shd w:val="clear" w:color="auto" w:fill="FFFFFF" w:themeFill="background1"/>
            <w:vAlign w:val="center"/>
          </w:tcPr>
          <w:p w14:paraId="417094C8" w14:textId="77777777" w:rsidR="006E4F0A" w:rsidRPr="0080478A" w:rsidRDefault="006E4F0A" w:rsidP="000D0304">
            <w:pPr>
              <w:spacing w:after="0"/>
              <w:jc w:val="center"/>
              <w:rPr>
                <w:rFonts w:cs="Helvetica"/>
                <w:b/>
                <w:bCs/>
                <w:i/>
                <w:color w:val="595959"/>
                <w:sz w:val="18"/>
                <w:szCs w:val="18"/>
              </w:rPr>
            </w:pPr>
            <w:r w:rsidRPr="0080478A">
              <w:rPr>
                <w:rFonts w:cs="Helvetica"/>
                <w:bCs/>
                <w:i/>
                <w:color w:val="595959"/>
                <w:sz w:val="18"/>
                <w:szCs w:val="18"/>
              </w:rPr>
              <w:t>China (CNA)</w:t>
            </w:r>
          </w:p>
        </w:tc>
      </w:tr>
      <w:tr w:rsidR="006E4F0A" w:rsidRPr="0080478A" w14:paraId="0F3600A8" w14:textId="77777777" w:rsidTr="00FD4D41">
        <w:trPr>
          <w:trHeight w:val="13"/>
          <w:jc w:val="center"/>
        </w:trPr>
        <w:tc>
          <w:tcPr>
            <w:tcW w:w="833" w:type="pct"/>
            <w:shd w:val="clear" w:color="auto" w:fill="D9D9D9" w:themeFill="background1" w:themeFillShade="D9"/>
            <w:vAlign w:val="center"/>
          </w:tcPr>
          <w:p w14:paraId="4154107F" w14:textId="77777777" w:rsidR="006E4F0A" w:rsidRPr="0080478A" w:rsidRDefault="006E4F0A" w:rsidP="000D0304">
            <w:pPr>
              <w:spacing w:after="0"/>
              <w:jc w:val="center"/>
              <w:rPr>
                <w:rFonts w:cs="Helvetica"/>
                <w:b/>
                <w:bCs/>
                <w:color w:val="595959"/>
                <w:sz w:val="18"/>
                <w:szCs w:val="18"/>
              </w:rPr>
            </w:pPr>
            <w:r w:rsidRPr="0080478A">
              <w:rPr>
                <w:rFonts w:cs="Helvetica"/>
                <w:b/>
                <w:bCs/>
                <w:color w:val="595959"/>
                <w:sz w:val="18"/>
                <w:szCs w:val="18"/>
              </w:rPr>
              <w:t>Scenario 2</w:t>
            </w:r>
          </w:p>
        </w:tc>
        <w:tc>
          <w:tcPr>
            <w:tcW w:w="1368" w:type="pct"/>
            <w:shd w:val="clear" w:color="auto" w:fill="D9D9D9" w:themeFill="background1" w:themeFillShade="D9"/>
            <w:vAlign w:val="center"/>
          </w:tcPr>
          <w:p w14:paraId="5109A457" w14:textId="77777777" w:rsidR="006E4F0A" w:rsidRPr="0080478A" w:rsidRDefault="006E4F0A" w:rsidP="000D0304">
            <w:pPr>
              <w:spacing w:after="0"/>
              <w:jc w:val="center"/>
              <w:rPr>
                <w:rFonts w:cs="Helvetica"/>
                <w:b/>
                <w:bCs/>
                <w:color w:val="595959"/>
                <w:sz w:val="18"/>
                <w:szCs w:val="18"/>
              </w:rPr>
            </w:pPr>
            <w:r w:rsidRPr="0080478A">
              <w:rPr>
                <w:rFonts w:cs="Helvetica"/>
                <w:b/>
                <w:bCs/>
                <w:color w:val="595959"/>
                <w:sz w:val="18"/>
                <w:szCs w:val="18"/>
              </w:rPr>
              <w:t>Oceania (OCA)</w:t>
            </w:r>
          </w:p>
        </w:tc>
        <w:tc>
          <w:tcPr>
            <w:tcW w:w="1216" w:type="pct"/>
            <w:shd w:val="clear" w:color="auto" w:fill="D9D9D9" w:themeFill="background1" w:themeFillShade="D9"/>
            <w:vAlign w:val="center"/>
          </w:tcPr>
          <w:p w14:paraId="79F26D07" w14:textId="77777777" w:rsidR="006E4F0A" w:rsidRPr="0080478A" w:rsidRDefault="00281C9E" w:rsidP="000D0304">
            <w:pPr>
              <w:spacing w:after="0"/>
              <w:jc w:val="center"/>
              <w:rPr>
                <w:rFonts w:cs="Helvetica"/>
                <w:b/>
                <w:bCs/>
                <w:color w:val="595959"/>
                <w:sz w:val="18"/>
                <w:szCs w:val="18"/>
              </w:rPr>
            </w:pPr>
            <w:r w:rsidRPr="0080478A">
              <w:rPr>
                <w:rFonts w:cs="Helvetica"/>
                <w:bCs/>
                <w:i/>
                <w:noProof/>
                <w:color w:val="595959"/>
                <w:sz w:val="18"/>
                <w:szCs w:val="18"/>
                <w:lang w:eastAsia="zh-CN"/>
              </w:rPr>
              <mc:AlternateContent>
                <mc:Choice Requires="wps">
                  <w:drawing>
                    <wp:anchor distT="0" distB="0" distL="114300" distR="114300" simplePos="0" relativeHeight="251658246" behindDoc="0" locked="0" layoutInCell="1" allowOverlap="1" wp14:anchorId="7D3FD33F" wp14:editId="1498012A">
                      <wp:simplePos x="0" y="0"/>
                      <wp:positionH relativeFrom="column">
                        <wp:posOffset>1256030</wp:posOffset>
                      </wp:positionH>
                      <wp:positionV relativeFrom="paragraph">
                        <wp:posOffset>-3810</wp:posOffset>
                      </wp:positionV>
                      <wp:extent cx="215900" cy="107950"/>
                      <wp:effectExtent l="0" t="19050" r="31750" b="44450"/>
                      <wp:wrapNone/>
                      <wp:docPr id="43" name="Arrow: Right 43"/>
                      <wp:cNvGraphicFramePr/>
                      <a:graphic xmlns:a="http://schemas.openxmlformats.org/drawingml/2006/main">
                        <a:graphicData uri="http://schemas.microsoft.com/office/word/2010/wordprocessingShape">
                          <wps:wsp>
                            <wps:cNvSpPr/>
                            <wps:spPr>
                              <a:xfrm>
                                <a:off x="0" y="0"/>
                                <a:ext cx="215900" cy="107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8D076" id="Arrow: Right 43" o:spid="_x0000_s1026" type="#_x0000_t13" style="position:absolute;margin-left:98.9pt;margin-top:-.3pt;width:17pt;height:8.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" fillcolor="#739faa [3204]" strokecolor="#355158 [1604]" strokeweight="2pt"/>
                  </w:pict>
                </mc:Fallback>
              </mc:AlternateContent>
            </w:r>
            <w:r w:rsidR="006E4F0A" w:rsidRPr="0080478A">
              <w:rPr>
                <w:rFonts w:cs="Helvetica"/>
                <w:b/>
                <w:bCs/>
                <w:color w:val="595959"/>
                <w:sz w:val="18"/>
                <w:szCs w:val="18"/>
              </w:rPr>
              <w:t>Oceania (OCA)</w:t>
            </w:r>
          </w:p>
        </w:tc>
        <w:tc>
          <w:tcPr>
            <w:tcW w:w="1583" w:type="pct"/>
            <w:shd w:val="clear" w:color="auto" w:fill="D9D9D9" w:themeFill="background1" w:themeFillShade="D9"/>
            <w:vAlign w:val="center"/>
          </w:tcPr>
          <w:p w14:paraId="644D940F" w14:textId="2711F3A2" w:rsidR="006E4F0A" w:rsidRPr="0080478A" w:rsidRDefault="007A4FF4" w:rsidP="000D0304">
            <w:pPr>
              <w:spacing w:after="0"/>
              <w:jc w:val="center"/>
              <w:rPr>
                <w:rFonts w:cs="Helvetica"/>
                <w:b/>
                <w:bCs/>
                <w:color w:val="595959"/>
                <w:sz w:val="18"/>
                <w:szCs w:val="18"/>
              </w:rPr>
            </w:pPr>
            <w:r w:rsidRPr="007A4FF4">
              <w:rPr>
                <w:rFonts w:cs="Helvetica"/>
                <w:b/>
                <w:bCs/>
                <w:color w:val="595959"/>
                <w:sz w:val="18"/>
                <w:szCs w:val="18"/>
              </w:rPr>
              <w:t>Gulf Cooperation Council</w:t>
            </w:r>
            <w:r w:rsidR="006E4F0A" w:rsidRPr="0080478A">
              <w:rPr>
                <w:rFonts w:cs="Helvetica"/>
                <w:b/>
                <w:bCs/>
                <w:color w:val="595959"/>
                <w:sz w:val="18"/>
                <w:szCs w:val="18"/>
              </w:rPr>
              <w:t xml:space="preserve"> (</w:t>
            </w:r>
            <w:r w:rsidR="004146F0">
              <w:rPr>
                <w:rFonts w:cs="Helvetica"/>
                <w:b/>
                <w:bCs/>
                <w:color w:val="595959"/>
                <w:sz w:val="18"/>
                <w:szCs w:val="18"/>
              </w:rPr>
              <w:t>GCC</w:t>
            </w:r>
            <w:r w:rsidR="006E4F0A" w:rsidRPr="0080478A">
              <w:rPr>
                <w:rFonts w:cs="Helvetica"/>
                <w:b/>
                <w:bCs/>
                <w:color w:val="595959"/>
                <w:sz w:val="18"/>
                <w:szCs w:val="18"/>
              </w:rPr>
              <w:t>)</w:t>
            </w:r>
          </w:p>
        </w:tc>
      </w:tr>
      <w:tr w:rsidR="006E4F0A" w:rsidRPr="0080478A" w14:paraId="2F93865B" w14:textId="77777777" w:rsidTr="00FD4D41">
        <w:trPr>
          <w:trHeight w:val="13"/>
          <w:jc w:val="center"/>
        </w:trPr>
        <w:tc>
          <w:tcPr>
            <w:tcW w:w="833" w:type="pct"/>
            <w:vAlign w:val="center"/>
          </w:tcPr>
          <w:p w14:paraId="25C3F484" w14:textId="77777777" w:rsidR="006E4F0A" w:rsidRPr="0080478A" w:rsidRDefault="006E4F0A" w:rsidP="000D0304">
            <w:pPr>
              <w:spacing w:after="0"/>
              <w:jc w:val="center"/>
              <w:rPr>
                <w:rFonts w:cs="Helvetica"/>
                <w:bCs/>
                <w:i/>
                <w:color w:val="595959"/>
                <w:sz w:val="18"/>
                <w:szCs w:val="18"/>
              </w:rPr>
            </w:pPr>
            <w:r w:rsidRPr="0080478A">
              <w:rPr>
                <w:rFonts w:cs="Helvetica"/>
                <w:bCs/>
                <w:i/>
                <w:color w:val="595959"/>
                <w:sz w:val="18"/>
                <w:szCs w:val="18"/>
              </w:rPr>
              <w:t>LCI Data</w:t>
            </w:r>
          </w:p>
        </w:tc>
        <w:tc>
          <w:tcPr>
            <w:tcW w:w="1368" w:type="pct"/>
            <w:vAlign w:val="center"/>
          </w:tcPr>
          <w:p w14:paraId="69882A5E" w14:textId="75257C63" w:rsidR="006E4F0A" w:rsidRPr="0080478A" w:rsidRDefault="00DA5301" w:rsidP="000D0304">
            <w:pPr>
              <w:spacing w:after="0"/>
              <w:jc w:val="center"/>
              <w:rPr>
                <w:rFonts w:cs="Helvetica"/>
                <w:i/>
                <w:color w:val="595959"/>
                <w:sz w:val="18"/>
                <w:szCs w:val="18"/>
              </w:rPr>
            </w:pPr>
            <w:r w:rsidRPr="00DA5301">
              <w:rPr>
                <w:rFonts w:cs="Helvetica"/>
                <w:bCs/>
                <w:i/>
                <w:color w:val="595959"/>
                <w:sz w:val="18"/>
                <w:szCs w:val="18"/>
              </w:rPr>
              <w:t>Oceania (OCA)</w:t>
            </w:r>
          </w:p>
        </w:tc>
        <w:tc>
          <w:tcPr>
            <w:tcW w:w="1216" w:type="pct"/>
            <w:vAlign w:val="center"/>
          </w:tcPr>
          <w:p w14:paraId="27CE3DC1" w14:textId="77777777" w:rsidR="006E4F0A" w:rsidRPr="0080478A" w:rsidRDefault="006E4F0A" w:rsidP="000D0304">
            <w:pPr>
              <w:spacing w:after="0"/>
              <w:jc w:val="center"/>
              <w:rPr>
                <w:rFonts w:cs="Helvetica"/>
                <w:i/>
                <w:color w:val="595959"/>
                <w:sz w:val="18"/>
                <w:szCs w:val="18"/>
              </w:rPr>
            </w:pPr>
            <w:r w:rsidRPr="0080478A">
              <w:rPr>
                <w:rFonts w:cs="Helvetica"/>
                <w:bCs/>
                <w:i/>
                <w:color w:val="595959"/>
                <w:sz w:val="18"/>
                <w:szCs w:val="18"/>
              </w:rPr>
              <w:t>Oceania (OCA)</w:t>
            </w:r>
          </w:p>
        </w:tc>
        <w:tc>
          <w:tcPr>
            <w:tcW w:w="1583" w:type="pct"/>
            <w:vAlign w:val="center"/>
          </w:tcPr>
          <w:p w14:paraId="2E23D447" w14:textId="789C7C3C" w:rsidR="006E4F0A" w:rsidRPr="0080478A" w:rsidRDefault="004146F0" w:rsidP="000D0304">
            <w:pPr>
              <w:spacing w:after="0"/>
              <w:jc w:val="center"/>
              <w:rPr>
                <w:rFonts w:cs="Helvetica"/>
                <w:i/>
                <w:color w:val="595959"/>
                <w:sz w:val="18"/>
                <w:szCs w:val="18"/>
              </w:rPr>
            </w:pPr>
            <w:r w:rsidRPr="004146F0">
              <w:rPr>
                <w:rFonts w:cs="Helvetica"/>
                <w:bCs/>
                <w:i/>
                <w:color w:val="595959"/>
                <w:sz w:val="18"/>
                <w:szCs w:val="18"/>
              </w:rPr>
              <w:t>Gulf Cooperation Council (GCC)</w:t>
            </w:r>
          </w:p>
        </w:tc>
      </w:tr>
      <w:tr w:rsidR="006E4F0A" w:rsidRPr="0080478A" w14:paraId="4B646716" w14:textId="77777777" w:rsidTr="00FD4D41">
        <w:trPr>
          <w:trHeight w:val="13"/>
          <w:jc w:val="center"/>
        </w:trPr>
        <w:tc>
          <w:tcPr>
            <w:tcW w:w="833" w:type="pct"/>
            <w:vAlign w:val="center"/>
          </w:tcPr>
          <w:p w14:paraId="49960D60" w14:textId="77777777" w:rsidR="006E4F0A" w:rsidRPr="0080478A" w:rsidRDefault="006E4F0A" w:rsidP="000D0304">
            <w:pPr>
              <w:spacing w:after="0"/>
              <w:jc w:val="center"/>
              <w:rPr>
                <w:rFonts w:cs="Helvetica"/>
                <w:bCs/>
                <w:i/>
                <w:color w:val="595959"/>
                <w:sz w:val="18"/>
                <w:szCs w:val="18"/>
              </w:rPr>
            </w:pPr>
            <w:r w:rsidRPr="0080478A">
              <w:rPr>
                <w:rFonts w:cs="Helvetica"/>
                <w:bCs/>
                <w:i/>
                <w:color w:val="595959"/>
                <w:sz w:val="18"/>
                <w:szCs w:val="18"/>
              </w:rPr>
              <w:t>Energy Data</w:t>
            </w:r>
          </w:p>
        </w:tc>
        <w:tc>
          <w:tcPr>
            <w:tcW w:w="1368" w:type="pct"/>
            <w:vAlign w:val="center"/>
          </w:tcPr>
          <w:p w14:paraId="1C8BFE2F" w14:textId="3A21DA00" w:rsidR="006E4F0A" w:rsidRPr="0080478A" w:rsidRDefault="00DA5301" w:rsidP="000D0304">
            <w:pPr>
              <w:spacing w:after="0"/>
              <w:jc w:val="center"/>
              <w:rPr>
                <w:rFonts w:cs="Helvetica"/>
                <w:bCs/>
                <w:i/>
                <w:color w:val="595959"/>
                <w:sz w:val="18"/>
                <w:szCs w:val="18"/>
              </w:rPr>
            </w:pPr>
            <w:r w:rsidRPr="00DA5301">
              <w:rPr>
                <w:rFonts w:cs="Helvetica"/>
                <w:bCs/>
                <w:i/>
                <w:color w:val="595959"/>
                <w:sz w:val="18"/>
                <w:szCs w:val="18"/>
              </w:rPr>
              <w:t>Oceania (OCA)</w:t>
            </w:r>
          </w:p>
        </w:tc>
        <w:tc>
          <w:tcPr>
            <w:tcW w:w="1216" w:type="pct"/>
            <w:vAlign w:val="center"/>
          </w:tcPr>
          <w:p w14:paraId="41A3108A" w14:textId="77777777" w:rsidR="006E4F0A" w:rsidRPr="0080478A" w:rsidRDefault="00281C9E" w:rsidP="000D0304">
            <w:pPr>
              <w:spacing w:after="0"/>
              <w:jc w:val="center"/>
              <w:rPr>
                <w:rFonts w:cs="Helvetica"/>
                <w:bCs/>
                <w:i/>
                <w:color w:val="595959"/>
                <w:sz w:val="18"/>
                <w:szCs w:val="18"/>
              </w:rPr>
            </w:pPr>
            <w:r w:rsidRPr="0080478A">
              <w:rPr>
                <w:rFonts w:cs="Helvetica"/>
                <w:b/>
                <w:bCs/>
                <w:noProof/>
                <w:color w:val="595959"/>
                <w:sz w:val="18"/>
                <w:szCs w:val="18"/>
                <w:lang w:eastAsia="zh-CN"/>
              </w:rPr>
              <mc:AlternateContent>
                <mc:Choice Requires="wps">
                  <w:drawing>
                    <wp:anchor distT="0" distB="0" distL="114300" distR="114300" simplePos="0" relativeHeight="251658243" behindDoc="0" locked="0" layoutInCell="1" allowOverlap="1" wp14:anchorId="267163AE" wp14:editId="6709BF42">
                      <wp:simplePos x="0" y="0"/>
                      <wp:positionH relativeFrom="column">
                        <wp:posOffset>-189865</wp:posOffset>
                      </wp:positionH>
                      <wp:positionV relativeFrom="paragraph">
                        <wp:posOffset>-346075</wp:posOffset>
                      </wp:positionV>
                      <wp:extent cx="215900" cy="107950"/>
                      <wp:effectExtent l="0" t="19050" r="31750" b="44450"/>
                      <wp:wrapNone/>
                      <wp:docPr id="41" name="Arrow: Right 41"/>
                      <wp:cNvGraphicFramePr/>
                      <a:graphic xmlns:a="http://schemas.openxmlformats.org/drawingml/2006/main">
                        <a:graphicData uri="http://schemas.microsoft.com/office/word/2010/wordprocessingShape">
                          <wps:wsp>
                            <wps:cNvSpPr/>
                            <wps:spPr>
                              <a:xfrm>
                                <a:off x="0" y="0"/>
                                <a:ext cx="215900" cy="107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B1786" id="Arrow: Right 41" o:spid="_x0000_s1026" type="#_x0000_t13" style="position:absolute;margin-left:-14.95pt;margin-top:-27.25pt;width:17pt;height:8.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" fillcolor="#739faa [3204]" strokecolor="#355158 [1604]" strokeweight="2pt"/>
                  </w:pict>
                </mc:Fallback>
              </mc:AlternateContent>
            </w:r>
            <w:r w:rsidR="006E4F0A" w:rsidRPr="0080478A">
              <w:rPr>
                <w:rFonts w:cs="Helvetica"/>
                <w:bCs/>
                <w:i/>
                <w:color w:val="595959"/>
                <w:sz w:val="18"/>
                <w:szCs w:val="18"/>
              </w:rPr>
              <w:t>Oceania (OCA)</w:t>
            </w:r>
          </w:p>
        </w:tc>
        <w:tc>
          <w:tcPr>
            <w:tcW w:w="1583" w:type="pct"/>
            <w:vAlign w:val="center"/>
          </w:tcPr>
          <w:p w14:paraId="27BE5234" w14:textId="2656F805" w:rsidR="006E4F0A" w:rsidRPr="0080478A" w:rsidRDefault="004146F0" w:rsidP="000D0304">
            <w:pPr>
              <w:spacing w:after="0"/>
              <w:jc w:val="center"/>
              <w:rPr>
                <w:rFonts w:cs="Helvetica"/>
                <w:bCs/>
                <w:i/>
                <w:color w:val="595959"/>
                <w:sz w:val="18"/>
                <w:szCs w:val="18"/>
              </w:rPr>
            </w:pPr>
            <w:r w:rsidRPr="004146F0">
              <w:rPr>
                <w:rFonts w:cs="Helvetica"/>
                <w:bCs/>
                <w:i/>
                <w:color w:val="595959"/>
                <w:sz w:val="18"/>
                <w:szCs w:val="18"/>
              </w:rPr>
              <w:t>Gulf Cooperation Council (GCC)</w:t>
            </w:r>
          </w:p>
        </w:tc>
      </w:tr>
      <w:tr w:rsidR="006E4F0A" w:rsidRPr="0080478A" w14:paraId="50033AAC" w14:textId="77777777" w:rsidTr="00FD4D41">
        <w:trPr>
          <w:trHeight w:val="13"/>
          <w:jc w:val="center"/>
        </w:trPr>
        <w:tc>
          <w:tcPr>
            <w:tcW w:w="833" w:type="pct"/>
            <w:shd w:val="clear" w:color="auto" w:fill="D9D9D9" w:themeFill="background1" w:themeFillShade="D9"/>
            <w:vAlign w:val="center"/>
          </w:tcPr>
          <w:p w14:paraId="65D39ACB" w14:textId="77777777" w:rsidR="006E4F0A" w:rsidRPr="0080478A" w:rsidRDefault="006E4F0A" w:rsidP="000D0304">
            <w:pPr>
              <w:spacing w:after="0"/>
              <w:jc w:val="center"/>
              <w:rPr>
                <w:rFonts w:cs="Helvetica"/>
                <w:b/>
                <w:bCs/>
                <w:color w:val="595959"/>
                <w:sz w:val="18"/>
                <w:szCs w:val="18"/>
              </w:rPr>
            </w:pPr>
            <w:r w:rsidRPr="0080478A">
              <w:rPr>
                <w:rFonts w:cs="Helvetica"/>
                <w:b/>
                <w:bCs/>
                <w:color w:val="595959"/>
                <w:sz w:val="18"/>
                <w:szCs w:val="18"/>
              </w:rPr>
              <w:t>Scenario 3</w:t>
            </w:r>
          </w:p>
        </w:tc>
        <w:tc>
          <w:tcPr>
            <w:tcW w:w="1368" w:type="pct"/>
            <w:shd w:val="clear" w:color="auto" w:fill="D9D9D9" w:themeFill="background1" w:themeFillShade="D9"/>
            <w:vAlign w:val="center"/>
          </w:tcPr>
          <w:p w14:paraId="01E65BDB" w14:textId="468D00FC" w:rsidR="006E4F0A" w:rsidRPr="0080478A" w:rsidRDefault="00281C9E" w:rsidP="000D0304">
            <w:pPr>
              <w:spacing w:after="0"/>
              <w:jc w:val="center"/>
              <w:rPr>
                <w:rFonts w:cs="Helvetica"/>
                <w:b/>
                <w:bCs/>
                <w:color w:val="595959"/>
                <w:sz w:val="18"/>
                <w:szCs w:val="18"/>
              </w:rPr>
            </w:pPr>
            <w:r w:rsidRPr="0080478A">
              <w:rPr>
                <w:rFonts w:cs="Helvetica"/>
                <w:bCs/>
                <w:i/>
                <w:noProof/>
                <w:color w:val="595959"/>
                <w:sz w:val="18"/>
                <w:szCs w:val="18"/>
                <w:lang w:eastAsia="zh-CN"/>
              </w:rPr>
              <mc:AlternateContent>
                <mc:Choice Requires="wps">
                  <w:drawing>
                    <wp:anchor distT="0" distB="0" distL="114300" distR="114300" simplePos="0" relativeHeight="251658247" behindDoc="0" locked="0" layoutInCell="1" allowOverlap="1" wp14:anchorId="7BFB37E4" wp14:editId="6F9C1BC3">
                      <wp:simplePos x="0" y="0"/>
                      <wp:positionH relativeFrom="column">
                        <wp:posOffset>1438275</wp:posOffset>
                      </wp:positionH>
                      <wp:positionV relativeFrom="paragraph">
                        <wp:posOffset>21590</wp:posOffset>
                      </wp:positionV>
                      <wp:extent cx="215900" cy="107950"/>
                      <wp:effectExtent l="0" t="19050" r="31750" b="44450"/>
                      <wp:wrapNone/>
                      <wp:docPr id="5" name="Arrow: Right 5"/>
                      <wp:cNvGraphicFramePr/>
                      <a:graphic xmlns:a="http://schemas.openxmlformats.org/drawingml/2006/main">
                        <a:graphicData uri="http://schemas.microsoft.com/office/word/2010/wordprocessingShape">
                          <wps:wsp>
                            <wps:cNvSpPr/>
                            <wps:spPr>
                              <a:xfrm>
                                <a:off x="0" y="0"/>
                                <a:ext cx="215900" cy="107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F4E9D" id="Arrow: Right 5" o:spid="_x0000_s1026" type="#_x0000_t13" style="position:absolute;margin-left:113.25pt;margin-top:1.7pt;width:17pt;height:8.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" fillcolor="#739faa [3204]" strokecolor="#355158 [1604]" strokeweight="2pt"/>
                  </w:pict>
                </mc:Fallback>
              </mc:AlternateContent>
            </w:r>
            <w:r w:rsidR="004146F0">
              <w:rPr>
                <w:rFonts w:cs="Helvetica"/>
                <w:b/>
                <w:bCs/>
                <w:color w:val="595959"/>
                <w:sz w:val="18"/>
                <w:szCs w:val="18"/>
              </w:rPr>
              <w:t>Africa</w:t>
            </w:r>
            <w:r w:rsidR="006E4F0A" w:rsidRPr="0080478A">
              <w:rPr>
                <w:rFonts w:cs="Helvetica"/>
                <w:b/>
                <w:bCs/>
                <w:color w:val="595959"/>
                <w:sz w:val="18"/>
                <w:szCs w:val="18"/>
              </w:rPr>
              <w:t xml:space="preserve"> (</w:t>
            </w:r>
            <w:r w:rsidR="004146F0">
              <w:rPr>
                <w:rFonts w:cs="Helvetica"/>
                <w:b/>
                <w:bCs/>
                <w:color w:val="595959"/>
                <w:sz w:val="18"/>
                <w:szCs w:val="18"/>
              </w:rPr>
              <w:t>AFR</w:t>
            </w:r>
            <w:r w:rsidR="006E4F0A" w:rsidRPr="0080478A">
              <w:rPr>
                <w:rFonts w:cs="Helvetica"/>
                <w:b/>
                <w:bCs/>
                <w:color w:val="595959"/>
                <w:sz w:val="18"/>
                <w:szCs w:val="18"/>
              </w:rPr>
              <w:t>)</w:t>
            </w:r>
          </w:p>
        </w:tc>
        <w:tc>
          <w:tcPr>
            <w:tcW w:w="1216" w:type="pct"/>
            <w:shd w:val="clear" w:color="auto" w:fill="D9D9D9" w:themeFill="background1" w:themeFillShade="D9"/>
            <w:vAlign w:val="center"/>
          </w:tcPr>
          <w:p w14:paraId="7D5E8891" w14:textId="77777777" w:rsidR="006E4F0A" w:rsidRPr="0080478A" w:rsidRDefault="00281C9E" w:rsidP="000D0304">
            <w:pPr>
              <w:spacing w:after="0"/>
              <w:jc w:val="center"/>
              <w:rPr>
                <w:rFonts w:cs="Helvetica"/>
                <w:b/>
                <w:bCs/>
                <w:color w:val="595959"/>
                <w:sz w:val="18"/>
                <w:szCs w:val="18"/>
              </w:rPr>
            </w:pPr>
            <w:r w:rsidRPr="0080478A">
              <w:rPr>
                <w:rFonts w:cs="Helvetica"/>
                <w:b/>
                <w:bCs/>
                <w:noProof/>
                <w:color w:val="595959"/>
                <w:sz w:val="18"/>
                <w:szCs w:val="18"/>
                <w:lang w:eastAsia="zh-CN"/>
              </w:rPr>
              <mc:AlternateContent>
                <mc:Choice Requires="wps">
                  <w:drawing>
                    <wp:anchor distT="0" distB="0" distL="114300" distR="114300" simplePos="0" relativeHeight="251658248" behindDoc="0" locked="0" layoutInCell="1" allowOverlap="1" wp14:anchorId="52E20472" wp14:editId="43D165F3">
                      <wp:simplePos x="0" y="0"/>
                      <wp:positionH relativeFrom="column">
                        <wp:posOffset>1250950</wp:posOffset>
                      </wp:positionH>
                      <wp:positionV relativeFrom="paragraph">
                        <wp:posOffset>-3175</wp:posOffset>
                      </wp:positionV>
                      <wp:extent cx="215900" cy="107950"/>
                      <wp:effectExtent l="0" t="19050" r="31750" b="44450"/>
                      <wp:wrapNone/>
                      <wp:docPr id="51" name="Arrow: Right 51"/>
                      <wp:cNvGraphicFramePr/>
                      <a:graphic xmlns:a="http://schemas.openxmlformats.org/drawingml/2006/main">
                        <a:graphicData uri="http://schemas.microsoft.com/office/word/2010/wordprocessingShape">
                          <wps:wsp>
                            <wps:cNvSpPr/>
                            <wps:spPr>
                              <a:xfrm>
                                <a:off x="0" y="0"/>
                                <a:ext cx="215900" cy="107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AF1F1" id="Arrow: Right 51" o:spid="_x0000_s1026" type="#_x0000_t13" style="position:absolute;margin-left:98.5pt;margin-top:-.25pt;width:17pt;height: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" fillcolor="#739faa [3204]" strokecolor="#355158 [1604]" strokeweight="2pt"/>
                  </w:pict>
                </mc:Fallback>
              </mc:AlternateContent>
            </w:r>
            <w:r w:rsidR="006E4F0A" w:rsidRPr="0080478A">
              <w:rPr>
                <w:rFonts w:cs="Helvetica"/>
                <w:b/>
                <w:bCs/>
                <w:color w:val="595959"/>
                <w:sz w:val="18"/>
                <w:szCs w:val="18"/>
              </w:rPr>
              <w:t>Europe (EUR)</w:t>
            </w:r>
          </w:p>
        </w:tc>
        <w:tc>
          <w:tcPr>
            <w:tcW w:w="1583" w:type="pct"/>
            <w:shd w:val="clear" w:color="auto" w:fill="D9D9D9" w:themeFill="background1" w:themeFillShade="D9"/>
            <w:vAlign w:val="center"/>
          </w:tcPr>
          <w:p w14:paraId="2EAA22BB" w14:textId="77777777" w:rsidR="006E4F0A" w:rsidRPr="0080478A" w:rsidRDefault="006E4F0A" w:rsidP="000D0304">
            <w:pPr>
              <w:spacing w:after="0"/>
              <w:jc w:val="center"/>
              <w:rPr>
                <w:rFonts w:cs="Helvetica"/>
                <w:b/>
                <w:bCs/>
                <w:color w:val="595959"/>
                <w:sz w:val="18"/>
                <w:szCs w:val="18"/>
              </w:rPr>
            </w:pPr>
            <w:r w:rsidRPr="0080478A">
              <w:rPr>
                <w:rFonts w:cs="Helvetica"/>
                <w:b/>
                <w:bCs/>
                <w:color w:val="595959"/>
                <w:sz w:val="18"/>
                <w:szCs w:val="18"/>
              </w:rPr>
              <w:t>Europe (EUR)</w:t>
            </w:r>
          </w:p>
        </w:tc>
      </w:tr>
      <w:tr w:rsidR="006E4F0A" w:rsidRPr="0080478A" w14:paraId="3E24FC43" w14:textId="77777777" w:rsidTr="00FD4D41">
        <w:trPr>
          <w:trHeight w:val="13"/>
          <w:jc w:val="center"/>
        </w:trPr>
        <w:tc>
          <w:tcPr>
            <w:tcW w:w="833" w:type="pct"/>
            <w:vAlign w:val="center"/>
          </w:tcPr>
          <w:p w14:paraId="26EEB10D" w14:textId="77777777" w:rsidR="006E4F0A" w:rsidRPr="0080478A" w:rsidRDefault="006E4F0A" w:rsidP="000D0304">
            <w:pPr>
              <w:spacing w:after="0"/>
              <w:jc w:val="center"/>
              <w:rPr>
                <w:rFonts w:cs="Helvetica"/>
                <w:bCs/>
                <w:i/>
                <w:color w:val="595959"/>
                <w:sz w:val="18"/>
                <w:szCs w:val="18"/>
              </w:rPr>
            </w:pPr>
            <w:r w:rsidRPr="0080478A">
              <w:rPr>
                <w:rFonts w:cs="Helvetica"/>
                <w:bCs/>
                <w:i/>
                <w:color w:val="595959"/>
                <w:sz w:val="18"/>
                <w:szCs w:val="18"/>
              </w:rPr>
              <w:t>LCI Data</w:t>
            </w:r>
          </w:p>
        </w:tc>
        <w:tc>
          <w:tcPr>
            <w:tcW w:w="1368" w:type="pct"/>
            <w:vAlign w:val="center"/>
          </w:tcPr>
          <w:p w14:paraId="2E0B0E06" w14:textId="77777777" w:rsidR="006E4F0A" w:rsidRPr="0080478A" w:rsidRDefault="006E4F0A" w:rsidP="000D0304">
            <w:pPr>
              <w:spacing w:after="0"/>
              <w:jc w:val="center"/>
              <w:rPr>
                <w:rFonts w:cs="Helvetica"/>
                <w:i/>
                <w:color w:val="595959"/>
                <w:sz w:val="18"/>
                <w:szCs w:val="18"/>
              </w:rPr>
            </w:pPr>
            <w:r w:rsidRPr="0080478A">
              <w:rPr>
                <w:rFonts w:cs="Helvetica"/>
                <w:bCs/>
                <w:i/>
                <w:color w:val="595959"/>
                <w:sz w:val="18"/>
                <w:szCs w:val="18"/>
              </w:rPr>
              <w:t>Global (GLO)</w:t>
            </w:r>
          </w:p>
        </w:tc>
        <w:tc>
          <w:tcPr>
            <w:tcW w:w="1216" w:type="pct"/>
            <w:vAlign w:val="center"/>
          </w:tcPr>
          <w:p w14:paraId="7925CEE6" w14:textId="77777777" w:rsidR="006E4F0A" w:rsidRPr="0080478A" w:rsidRDefault="006E4F0A" w:rsidP="000D0304">
            <w:pPr>
              <w:spacing w:after="0"/>
              <w:jc w:val="center"/>
              <w:rPr>
                <w:rFonts w:cs="Helvetica"/>
                <w:i/>
                <w:color w:val="595959"/>
                <w:sz w:val="18"/>
                <w:szCs w:val="18"/>
              </w:rPr>
            </w:pPr>
            <w:r w:rsidRPr="0080478A">
              <w:rPr>
                <w:rFonts w:cs="Helvetica"/>
                <w:bCs/>
                <w:i/>
                <w:color w:val="595959"/>
                <w:sz w:val="18"/>
                <w:szCs w:val="18"/>
              </w:rPr>
              <w:t>Europe (EUR)</w:t>
            </w:r>
          </w:p>
        </w:tc>
        <w:tc>
          <w:tcPr>
            <w:tcW w:w="1583" w:type="pct"/>
            <w:vAlign w:val="center"/>
          </w:tcPr>
          <w:p w14:paraId="3A7F3BC6" w14:textId="77777777" w:rsidR="006E4F0A" w:rsidRPr="0080478A" w:rsidRDefault="006E4F0A" w:rsidP="000D0304">
            <w:pPr>
              <w:spacing w:after="0"/>
              <w:jc w:val="center"/>
              <w:rPr>
                <w:rFonts w:cs="Helvetica"/>
                <w:i/>
                <w:color w:val="595959"/>
                <w:sz w:val="18"/>
                <w:szCs w:val="18"/>
              </w:rPr>
            </w:pPr>
            <w:r w:rsidRPr="0080478A">
              <w:rPr>
                <w:rFonts w:cs="Helvetica"/>
                <w:bCs/>
                <w:i/>
                <w:color w:val="595959"/>
                <w:sz w:val="18"/>
                <w:szCs w:val="18"/>
              </w:rPr>
              <w:t>Europe (EUR)</w:t>
            </w:r>
          </w:p>
        </w:tc>
      </w:tr>
      <w:tr w:rsidR="006E4F0A" w:rsidRPr="0080478A" w14:paraId="342B5E07" w14:textId="77777777" w:rsidTr="00FD4D41">
        <w:trPr>
          <w:trHeight w:val="13"/>
          <w:jc w:val="center"/>
        </w:trPr>
        <w:tc>
          <w:tcPr>
            <w:tcW w:w="833" w:type="pct"/>
            <w:vAlign w:val="center"/>
          </w:tcPr>
          <w:p w14:paraId="2BEE6E4F" w14:textId="77777777" w:rsidR="006E4F0A" w:rsidRPr="0080478A" w:rsidRDefault="006E4F0A" w:rsidP="000D0304">
            <w:pPr>
              <w:spacing w:after="0"/>
              <w:jc w:val="center"/>
              <w:rPr>
                <w:rFonts w:cs="Helvetica"/>
                <w:bCs/>
                <w:i/>
                <w:color w:val="595959"/>
                <w:sz w:val="18"/>
                <w:szCs w:val="18"/>
              </w:rPr>
            </w:pPr>
            <w:r w:rsidRPr="0080478A">
              <w:rPr>
                <w:rFonts w:cs="Helvetica"/>
                <w:bCs/>
                <w:i/>
                <w:color w:val="595959"/>
                <w:sz w:val="18"/>
                <w:szCs w:val="18"/>
              </w:rPr>
              <w:t>Energy Data</w:t>
            </w:r>
          </w:p>
        </w:tc>
        <w:tc>
          <w:tcPr>
            <w:tcW w:w="1368" w:type="pct"/>
            <w:vAlign w:val="center"/>
          </w:tcPr>
          <w:p w14:paraId="750A899D" w14:textId="77777777" w:rsidR="006E4F0A" w:rsidRPr="0080478A" w:rsidRDefault="006E4F0A" w:rsidP="000D0304">
            <w:pPr>
              <w:spacing w:after="0"/>
              <w:jc w:val="center"/>
              <w:rPr>
                <w:rFonts w:cs="Helvetica"/>
                <w:bCs/>
                <w:i/>
                <w:color w:val="595959"/>
                <w:sz w:val="18"/>
                <w:szCs w:val="18"/>
              </w:rPr>
            </w:pPr>
            <w:r w:rsidRPr="0080478A">
              <w:rPr>
                <w:rFonts w:cs="Helvetica"/>
                <w:bCs/>
                <w:i/>
                <w:color w:val="595959"/>
                <w:sz w:val="18"/>
                <w:szCs w:val="18"/>
              </w:rPr>
              <w:t>Global (GLO)</w:t>
            </w:r>
          </w:p>
        </w:tc>
        <w:tc>
          <w:tcPr>
            <w:tcW w:w="1216" w:type="pct"/>
            <w:vAlign w:val="center"/>
          </w:tcPr>
          <w:p w14:paraId="304E3FBA" w14:textId="77777777" w:rsidR="006E4F0A" w:rsidRPr="0080478A" w:rsidRDefault="006E4F0A" w:rsidP="000D0304">
            <w:pPr>
              <w:spacing w:after="0"/>
              <w:jc w:val="center"/>
              <w:rPr>
                <w:rFonts w:cs="Helvetica"/>
                <w:bCs/>
                <w:i/>
                <w:color w:val="595959"/>
                <w:sz w:val="18"/>
                <w:szCs w:val="18"/>
              </w:rPr>
            </w:pPr>
            <w:r w:rsidRPr="0080478A">
              <w:rPr>
                <w:rFonts w:cs="Helvetica"/>
                <w:bCs/>
                <w:i/>
                <w:color w:val="595959"/>
                <w:sz w:val="18"/>
                <w:szCs w:val="18"/>
              </w:rPr>
              <w:t>Europe (EUR)</w:t>
            </w:r>
          </w:p>
        </w:tc>
        <w:tc>
          <w:tcPr>
            <w:tcW w:w="1583" w:type="pct"/>
            <w:vAlign w:val="center"/>
          </w:tcPr>
          <w:p w14:paraId="44EF876E" w14:textId="77777777" w:rsidR="006E4F0A" w:rsidRPr="0080478A" w:rsidRDefault="006E4F0A" w:rsidP="000D0304">
            <w:pPr>
              <w:spacing w:after="0"/>
              <w:jc w:val="center"/>
              <w:rPr>
                <w:rFonts w:cs="Helvetica"/>
                <w:bCs/>
                <w:i/>
                <w:color w:val="595959"/>
                <w:sz w:val="18"/>
                <w:szCs w:val="18"/>
              </w:rPr>
            </w:pPr>
            <w:r w:rsidRPr="0080478A">
              <w:rPr>
                <w:rFonts w:cs="Helvetica"/>
                <w:bCs/>
                <w:i/>
                <w:color w:val="595959"/>
                <w:sz w:val="18"/>
                <w:szCs w:val="18"/>
              </w:rPr>
              <w:t>Europe (EUR)</w:t>
            </w:r>
          </w:p>
        </w:tc>
      </w:tr>
      <w:tr w:rsidR="006E4F0A" w:rsidRPr="0080478A" w14:paraId="405144A6" w14:textId="77777777" w:rsidTr="00FD4D41">
        <w:trPr>
          <w:trHeight w:val="13"/>
          <w:jc w:val="center"/>
        </w:trPr>
        <w:tc>
          <w:tcPr>
            <w:tcW w:w="833" w:type="pct"/>
            <w:shd w:val="clear" w:color="auto" w:fill="D9D9D9" w:themeFill="background1" w:themeFillShade="D9"/>
            <w:vAlign w:val="center"/>
          </w:tcPr>
          <w:p w14:paraId="48189476" w14:textId="7E04DFC6" w:rsidR="006E4F0A" w:rsidRPr="0080478A" w:rsidRDefault="006E4F0A" w:rsidP="000D0304">
            <w:pPr>
              <w:spacing w:after="0"/>
              <w:jc w:val="center"/>
              <w:rPr>
                <w:rFonts w:cs="Helvetica"/>
                <w:b/>
                <w:bCs/>
                <w:color w:val="595959"/>
                <w:sz w:val="18"/>
                <w:szCs w:val="18"/>
              </w:rPr>
            </w:pPr>
            <w:r w:rsidRPr="0080478A">
              <w:rPr>
                <w:rFonts w:cs="Helvetica"/>
                <w:b/>
                <w:bCs/>
                <w:color w:val="595959"/>
                <w:sz w:val="18"/>
                <w:szCs w:val="18"/>
              </w:rPr>
              <w:t xml:space="preserve">Scenario </w:t>
            </w:r>
            <w:r w:rsidR="004146F0">
              <w:rPr>
                <w:rFonts w:cs="Helvetica"/>
                <w:b/>
                <w:bCs/>
                <w:color w:val="595959"/>
                <w:sz w:val="18"/>
                <w:szCs w:val="18"/>
              </w:rPr>
              <w:t>4</w:t>
            </w:r>
          </w:p>
        </w:tc>
        <w:tc>
          <w:tcPr>
            <w:tcW w:w="1368" w:type="pct"/>
            <w:shd w:val="clear" w:color="auto" w:fill="D9D9D9" w:themeFill="background1" w:themeFillShade="D9"/>
            <w:vAlign w:val="center"/>
          </w:tcPr>
          <w:p w14:paraId="72045339" w14:textId="77777777" w:rsidR="006E4F0A" w:rsidRPr="0080478A" w:rsidRDefault="00281C9E" w:rsidP="000D0304">
            <w:pPr>
              <w:spacing w:after="0"/>
              <w:jc w:val="center"/>
              <w:rPr>
                <w:rFonts w:cs="Helvetica"/>
                <w:b/>
                <w:bCs/>
                <w:color w:val="595959"/>
                <w:sz w:val="18"/>
                <w:szCs w:val="18"/>
              </w:rPr>
            </w:pPr>
            <w:r w:rsidRPr="0080478A">
              <w:rPr>
                <w:rFonts w:cs="Helvetica"/>
                <w:b/>
                <w:bCs/>
                <w:noProof/>
                <w:color w:val="595959"/>
                <w:sz w:val="18"/>
                <w:szCs w:val="18"/>
                <w:lang w:eastAsia="zh-CN"/>
              </w:rPr>
              <mc:AlternateContent>
                <mc:Choice Requires="wps">
                  <w:drawing>
                    <wp:anchor distT="0" distB="0" distL="114300" distR="114300" simplePos="0" relativeHeight="251658259" behindDoc="0" locked="0" layoutInCell="1" allowOverlap="1" wp14:anchorId="10A7FCD1" wp14:editId="179A8F28">
                      <wp:simplePos x="0" y="0"/>
                      <wp:positionH relativeFrom="column">
                        <wp:posOffset>1436370</wp:posOffset>
                      </wp:positionH>
                      <wp:positionV relativeFrom="paragraph">
                        <wp:posOffset>16510</wp:posOffset>
                      </wp:positionV>
                      <wp:extent cx="215900" cy="107950"/>
                      <wp:effectExtent l="0" t="19050" r="31750" b="44450"/>
                      <wp:wrapNone/>
                      <wp:docPr id="6" name="Arrow: Right 6"/>
                      <wp:cNvGraphicFramePr/>
                      <a:graphic xmlns:a="http://schemas.openxmlformats.org/drawingml/2006/main">
                        <a:graphicData uri="http://schemas.microsoft.com/office/word/2010/wordprocessingShape">
                          <wps:wsp>
                            <wps:cNvSpPr/>
                            <wps:spPr>
                              <a:xfrm>
                                <a:off x="0" y="0"/>
                                <a:ext cx="215900" cy="107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FB660F" w14:textId="77777777" w:rsidR="003E19DF" w:rsidRDefault="003E19DF" w:rsidP="003E3977">
                                  <w:pPr>
                                    <w:jc w:val="center"/>
                                  </w:pPr>
                                  <w:r>
                                    <w:t>I’ve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7FCD1" id="Arrow: Right 6" o:spid="_x0000_s1027" type="#_x0000_t13" style="position:absolute;left:0;text-align:left;margin-left:113.1pt;margin-top:1.3pt;width:17pt;height:8.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" fillcolor="#739faa [3204]" strokecolor="#355158 [1604]" strokeweight="2pt">
                      <v:textbox>
                        <w:txbxContent>
                          <w:p w14:paraId="28FB660F" w14:textId="77777777" w:rsidR="003E19DF" w:rsidRDefault="003E19DF" w:rsidP="003E3977">
                            <w:pPr>
                              <w:jc w:val="center"/>
                            </w:pPr>
                            <w:r>
                              <w:t>I’ve b</w:t>
                            </w:r>
                          </w:p>
                        </w:txbxContent>
                      </v:textbox>
                    </v:shape>
                  </w:pict>
                </mc:Fallback>
              </mc:AlternateContent>
            </w:r>
            <w:r w:rsidR="006E4F0A" w:rsidRPr="0080478A">
              <w:rPr>
                <w:rFonts w:cs="Helvetica"/>
                <w:b/>
                <w:bCs/>
                <w:color w:val="595959"/>
                <w:sz w:val="18"/>
                <w:szCs w:val="18"/>
              </w:rPr>
              <w:t>South America (SAM)</w:t>
            </w:r>
          </w:p>
        </w:tc>
        <w:tc>
          <w:tcPr>
            <w:tcW w:w="1216" w:type="pct"/>
            <w:shd w:val="clear" w:color="auto" w:fill="D9D9D9" w:themeFill="background1" w:themeFillShade="D9"/>
            <w:vAlign w:val="center"/>
          </w:tcPr>
          <w:p w14:paraId="2AF9A22D" w14:textId="3A0C430C" w:rsidR="006E4F0A" w:rsidRPr="0080478A" w:rsidRDefault="004146F0" w:rsidP="000D0304">
            <w:pPr>
              <w:spacing w:after="0"/>
              <w:jc w:val="center"/>
              <w:rPr>
                <w:rFonts w:cs="Helvetica"/>
                <w:b/>
                <w:bCs/>
                <w:color w:val="595959"/>
                <w:sz w:val="18"/>
                <w:szCs w:val="18"/>
              </w:rPr>
            </w:pPr>
            <w:r w:rsidRPr="004146F0">
              <w:rPr>
                <w:rFonts w:cs="Helvetica"/>
                <w:b/>
                <w:bCs/>
                <w:color w:val="595959"/>
                <w:sz w:val="18"/>
                <w:szCs w:val="18"/>
              </w:rPr>
              <w:t xml:space="preserve">South America </w:t>
            </w:r>
            <w:r w:rsidR="006E4F0A" w:rsidRPr="0080478A">
              <w:rPr>
                <w:rFonts w:cs="Helvetica"/>
                <w:b/>
                <w:bCs/>
                <w:color w:val="595959"/>
                <w:sz w:val="18"/>
                <w:szCs w:val="18"/>
              </w:rPr>
              <w:t>(</w:t>
            </w:r>
            <w:r>
              <w:rPr>
                <w:rFonts w:cs="Helvetica"/>
                <w:b/>
                <w:bCs/>
                <w:color w:val="595959"/>
                <w:sz w:val="18"/>
                <w:szCs w:val="18"/>
              </w:rPr>
              <w:t>S</w:t>
            </w:r>
            <w:r w:rsidR="006E4F0A" w:rsidRPr="0080478A">
              <w:rPr>
                <w:rFonts w:cs="Helvetica"/>
                <w:b/>
                <w:bCs/>
                <w:color w:val="595959"/>
                <w:sz w:val="18"/>
                <w:szCs w:val="18"/>
              </w:rPr>
              <w:t>AM)</w:t>
            </w:r>
          </w:p>
        </w:tc>
        <w:tc>
          <w:tcPr>
            <w:tcW w:w="1583" w:type="pct"/>
            <w:shd w:val="clear" w:color="auto" w:fill="D9D9D9" w:themeFill="background1" w:themeFillShade="D9"/>
            <w:vAlign w:val="center"/>
          </w:tcPr>
          <w:p w14:paraId="45CF648D" w14:textId="77777777" w:rsidR="006E4F0A" w:rsidRPr="0080478A" w:rsidRDefault="00281C9E" w:rsidP="000D0304">
            <w:pPr>
              <w:spacing w:after="0"/>
              <w:jc w:val="center"/>
              <w:rPr>
                <w:rFonts w:cs="Helvetica"/>
                <w:b/>
                <w:bCs/>
                <w:color w:val="595959"/>
                <w:sz w:val="18"/>
                <w:szCs w:val="18"/>
              </w:rPr>
            </w:pPr>
            <w:r w:rsidRPr="0080478A">
              <w:rPr>
                <w:rFonts w:cs="Helvetica"/>
                <w:b/>
                <w:bCs/>
                <w:noProof/>
                <w:color w:val="595959"/>
                <w:sz w:val="18"/>
                <w:szCs w:val="18"/>
                <w:lang w:eastAsia="zh-CN"/>
              </w:rPr>
              <mc:AlternateContent>
                <mc:Choice Requires="wps">
                  <w:drawing>
                    <wp:anchor distT="0" distB="0" distL="114300" distR="114300" simplePos="0" relativeHeight="251658260" behindDoc="0" locked="0" layoutInCell="1" allowOverlap="1" wp14:anchorId="1F72B1F9" wp14:editId="0E225907">
                      <wp:simplePos x="0" y="0"/>
                      <wp:positionH relativeFrom="column">
                        <wp:posOffset>-173355</wp:posOffset>
                      </wp:positionH>
                      <wp:positionV relativeFrom="paragraph">
                        <wp:posOffset>21590</wp:posOffset>
                      </wp:positionV>
                      <wp:extent cx="215900" cy="107950"/>
                      <wp:effectExtent l="0" t="19050" r="31750" b="44450"/>
                      <wp:wrapNone/>
                      <wp:docPr id="20" name="Arrow: Right 20"/>
                      <wp:cNvGraphicFramePr/>
                      <a:graphic xmlns:a="http://schemas.openxmlformats.org/drawingml/2006/main">
                        <a:graphicData uri="http://schemas.microsoft.com/office/word/2010/wordprocessingShape">
                          <wps:wsp>
                            <wps:cNvSpPr/>
                            <wps:spPr>
                              <a:xfrm>
                                <a:off x="0" y="0"/>
                                <a:ext cx="215900" cy="107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CA6144" w14:textId="77777777" w:rsidR="003E19DF" w:rsidRDefault="003E19DF" w:rsidP="003E3977">
                                  <w:pPr>
                                    <w:jc w:val="center"/>
                                  </w:pPr>
                                  <w:r>
                                    <w:t>I’ve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2B1F9" id="Arrow: Right 20" o:spid="_x0000_s1028" type="#_x0000_t13" style="position:absolute;left:0;text-align:left;margin-left:-13.65pt;margin-top:1.7pt;width:17pt;height:8.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" fillcolor="#739faa [3204]" strokecolor="#355158 [1604]" strokeweight="2pt">
                      <v:textbox>
                        <w:txbxContent>
                          <w:p w14:paraId="0DCA6144" w14:textId="77777777" w:rsidR="003E19DF" w:rsidRDefault="003E19DF" w:rsidP="003E3977">
                            <w:pPr>
                              <w:jc w:val="center"/>
                            </w:pPr>
                            <w:r>
                              <w:t>I’ve b</w:t>
                            </w:r>
                          </w:p>
                        </w:txbxContent>
                      </v:textbox>
                    </v:shape>
                  </w:pict>
                </mc:Fallback>
              </mc:AlternateContent>
            </w:r>
            <w:r w:rsidR="006E4F0A" w:rsidRPr="0080478A">
              <w:rPr>
                <w:rFonts w:cs="Helvetica"/>
                <w:b/>
                <w:bCs/>
                <w:color w:val="595959"/>
                <w:sz w:val="18"/>
                <w:szCs w:val="18"/>
              </w:rPr>
              <w:t>Canada (CAN)</w:t>
            </w:r>
          </w:p>
        </w:tc>
      </w:tr>
      <w:tr w:rsidR="006E4F0A" w:rsidRPr="0080478A" w14:paraId="1C0B92D3" w14:textId="77777777" w:rsidTr="00FD4D41">
        <w:trPr>
          <w:trHeight w:val="13"/>
          <w:jc w:val="center"/>
        </w:trPr>
        <w:tc>
          <w:tcPr>
            <w:tcW w:w="833" w:type="pct"/>
            <w:vAlign w:val="center"/>
          </w:tcPr>
          <w:p w14:paraId="08C35C77" w14:textId="77777777" w:rsidR="006E4F0A" w:rsidRPr="0080478A" w:rsidRDefault="006E4F0A" w:rsidP="000D0304">
            <w:pPr>
              <w:spacing w:after="0"/>
              <w:jc w:val="center"/>
              <w:rPr>
                <w:rFonts w:cs="Helvetica"/>
                <w:bCs/>
                <w:i/>
                <w:color w:val="595959"/>
                <w:sz w:val="18"/>
                <w:szCs w:val="18"/>
              </w:rPr>
            </w:pPr>
            <w:r w:rsidRPr="0080478A">
              <w:rPr>
                <w:rFonts w:cs="Helvetica"/>
                <w:bCs/>
                <w:i/>
                <w:color w:val="595959"/>
                <w:sz w:val="18"/>
                <w:szCs w:val="18"/>
              </w:rPr>
              <w:t>LCI Data</w:t>
            </w:r>
          </w:p>
        </w:tc>
        <w:tc>
          <w:tcPr>
            <w:tcW w:w="1368" w:type="pct"/>
            <w:vAlign w:val="center"/>
          </w:tcPr>
          <w:p w14:paraId="49BEF1A2" w14:textId="3FB50B8A" w:rsidR="006E4F0A" w:rsidRPr="0080478A" w:rsidRDefault="00DA5301" w:rsidP="000D0304">
            <w:pPr>
              <w:spacing w:after="0"/>
              <w:jc w:val="center"/>
              <w:rPr>
                <w:rFonts w:cs="Helvetica"/>
                <w:i/>
                <w:color w:val="595959"/>
                <w:sz w:val="18"/>
                <w:szCs w:val="18"/>
              </w:rPr>
            </w:pPr>
            <w:r w:rsidRPr="00DA5301">
              <w:rPr>
                <w:rFonts w:cs="Helvetica"/>
                <w:bCs/>
                <w:i/>
                <w:color w:val="595959"/>
                <w:sz w:val="18"/>
                <w:szCs w:val="18"/>
              </w:rPr>
              <w:t>South America (SAM)</w:t>
            </w:r>
          </w:p>
        </w:tc>
        <w:tc>
          <w:tcPr>
            <w:tcW w:w="1216" w:type="pct"/>
            <w:vAlign w:val="center"/>
          </w:tcPr>
          <w:p w14:paraId="3D48BABB" w14:textId="3AC637D4" w:rsidR="006E4F0A" w:rsidRPr="0080478A" w:rsidRDefault="004146F0" w:rsidP="000D0304">
            <w:pPr>
              <w:spacing w:after="0"/>
              <w:jc w:val="center"/>
              <w:rPr>
                <w:rFonts w:cs="Helvetica"/>
                <w:i/>
                <w:color w:val="595959"/>
                <w:sz w:val="18"/>
                <w:szCs w:val="18"/>
              </w:rPr>
            </w:pPr>
            <w:r>
              <w:rPr>
                <w:rFonts w:cs="Helvetica"/>
                <w:bCs/>
                <w:i/>
                <w:color w:val="595959"/>
                <w:sz w:val="18"/>
                <w:szCs w:val="18"/>
              </w:rPr>
              <w:t>South</w:t>
            </w:r>
            <w:r w:rsidRPr="0080478A">
              <w:rPr>
                <w:rFonts w:cs="Helvetica"/>
                <w:bCs/>
                <w:i/>
                <w:color w:val="595959"/>
                <w:sz w:val="18"/>
                <w:szCs w:val="18"/>
              </w:rPr>
              <w:t xml:space="preserve"> </w:t>
            </w:r>
            <w:r w:rsidR="006E4F0A" w:rsidRPr="0080478A">
              <w:rPr>
                <w:rFonts w:cs="Helvetica"/>
                <w:bCs/>
                <w:i/>
                <w:color w:val="595959"/>
                <w:sz w:val="18"/>
                <w:szCs w:val="18"/>
              </w:rPr>
              <w:t>America (</w:t>
            </w:r>
            <w:r>
              <w:rPr>
                <w:rFonts w:cs="Helvetica"/>
                <w:bCs/>
                <w:i/>
                <w:color w:val="595959"/>
                <w:sz w:val="18"/>
                <w:szCs w:val="18"/>
              </w:rPr>
              <w:t>S</w:t>
            </w:r>
            <w:r w:rsidR="006E4F0A" w:rsidRPr="0080478A">
              <w:rPr>
                <w:rFonts w:cs="Helvetica"/>
                <w:bCs/>
                <w:i/>
                <w:color w:val="595959"/>
                <w:sz w:val="18"/>
                <w:szCs w:val="18"/>
              </w:rPr>
              <w:t>AM)</w:t>
            </w:r>
          </w:p>
        </w:tc>
        <w:tc>
          <w:tcPr>
            <w:tcW w:w="1583" w:type="pct"/>
            <w:vAlign w:val="center"/>
          </w:tcPr>
          <w:p w14:paraId="2A305A79" w14:textId="77777777" w:rsidR="006E4F0A" w:rsidRPr="0080478A" w:rsidRDefault="006E4F0A" w:rsidP="000D0304">
            <w:pPr>
              <w:spacing w:after="0"/>
              <w:jc w:val="center"/>
              <w:rPr>
                <w:rFonts w:cs="Helvetica"/>
                <w:i/>
                <w:color w:val="595959"/>
                <w:sz w:val="18"/>
                <w:szCs w:val="18"/>
              </w:rPr>
            </w:pPr>
            <w:r w:rsidRPr="0080478A">
              <w:rPr>
                <w:rFonts w:cs="Helvetica"/>
                <w:bCs/>
                <w:i/>
                <w:color w:val="595959"/>
                <w:sz w:val="18"/>
                <w:szCs w:val="18"/>
              </w:rPr>
              <w:t>Canada (CAN)</w:t>
            </w:r>
          </w:p>
        </w:tc>
      </w:tr>
      <w:tr w:rsidR="006E4F0A" w:rsidRPr="0080478A" w14:paraId="081A0CD9" w14:textId="77777777" w:rsidTr="00FD4D41">
        <w:trPr>
          <w:trHeight w:val="13"/>
          <w:jc w:val="center"/>
        </w:trPr>
        <w:tc>
          <w:tcPr>
            <w:tcW w:w="833" w:type="pct"/>
            <w:vAlign w:val="center"/>
          </w:tcPr>
          <w:p w14:paraId="030C6B58" w14:textId="77777777" w:rsidR="006E4F0A" w:rsidRPr="0080478A" w:rsidRDefault="006E4F0A" w:rsidP="000D0304">
            <w:pPr>
              <w:spacing w:after="0"/>
              <w:jc w:val="center"/>
              <w:rPr>
                <w:rFonts w:cs="Helvetica"/>
                <w:bCs/>
                <w:i/>
                <w:color w:val="595959"/>
                <w:sz w:val="18"/>
                <w:szCs w:val="18"/>
              </w:rPr>
            </w:pPr>
            <w:r w:rsidRPr="0080478A">
              <w:rPr>
                <w:rFonts w:cs="Helvetica"/>
                <w:bCs/>
                <w:i/>
                <w:color w:val="595959"/>
                <w:sz w:val="18"/>
                <w:szCs w:val="18"/>
              </w:rPr>
              <w:t>Energy Data</w:t>
            </w:r>
          </w:p>
        </w:tc>
        <w:tc>
          <w:tcPr>
            <w:tcW w:w="1368" w:type="pct"/>
            <w:vAlign w:val="center"/>
          </w:tcPr>
          <w:p w14:paraId="0E7EB569" w14:textId="1F88894C" w:rsidR="006E4F0A" w:rsidRPr="0080478A" w:rsidRDefault="00DA5301" w:rsidP="000D0304">
            <w:pPr>
              <w:spacing w:after="0"/>
              <w:jc w:val="center"/>
              <w:rPr>
                <w:rFonts w:cs="Helvetica"/>
                <w:bCs/>
                <w:i/>
                <w:color w:val="595959"/>
                <w:sz w:val="18"/>
                <w:szCs w:val="18"/>
              </w:rPr>
            </w:pPr>
            <w:r w:rsidRPr="00DA5301">
              <w:rPr>
                <w:rFonts w:cs="Helvetica"/>
                <w:bCs/>
                <w:i/>
                <w:color w:val="595959"/>
                <w:sz w:val="18"/>
                <w:szCs w:val="18"/>
              </w:rPr>
              <w:t>South America (SAM)</w:t>
            </w:r>
          </w:p>
        </w:tc>
        <w:tc>
          <w:tcPr>
            <w:tcW w:w="1216" w:type="pct"/>
            <w:vAlign w:val="center"/>
          </w:tcPr>
          <w:p w14:paraId="2E023798" w14:textId="1E4CE128" w:rsidR="006E4F0A" w:rsidRPr="0080478A" w:rsidRDefault="004146F0" w:rsidP="000D0304">
            <w:pPr>
              <w:spacing w:after="0"/>
              <w:jc w:val="center"/>
              <w:rPr>
                <w:rFonts w:cs="Helvetica"/>
                <w:bCs/>
                <w:i/>
                <w:color w:val="595959"/>
                <w:sz w:val="18"/>
                <w:szCs w:val="18"/>
              </w:rPr>
            </w:pPr>
            <w:r>
              <w:rPr>
                <w:rFonts w:cs="Helvetica"/>
                <w:bCs/>
                <w:i/>
                <w:color w:val="595959"/>
                <w:sz w:val="18"/>
                <w:szCs w:val="18"/>
              </w:rPr>
              <w:t>South</w:t>
            </w:r>
            <w:r w:rsidRPr="0080478A">
              <w:rPr>
                <w:rFonts w:cs="Helvetica"/>
                <w:bCs/>
                <w:i/>
                <w:color w:val="595959"/>
                <w:sz w:val="18"/>
                <w:szCs w:val="18"/>
              </w:rPr>
              <w:t xml:space="preserve"> </w:t>
            </w:r>
            <w:r w:rsidR="006E4F0A" w:rsidRPr="0080478A">
              <w:rPr>
                <w:rFonts w:cs="Helvetica"/>
                <w:bCs/>
                <w:i/>
                <w:color w:val="595959"/>
                <w:sz w:val="18"/>
                <w:szCs w:val="18"/>
              </w:rPr>
              <w:t>America (</w:t>
            </w:r>
            <w:r>
              <w:rPr>
                <w:rFonts w:cs="Helvetica"/>
                <w:bCs/>
                <w:i/>
                <w:color w:val="595959"/>
                <w:sz w:val="18"/>
                <w:szCs w:val="18"/>
              </w:rPr>
              <w:t>S</w:t>
            </w:r>
            <w:r w:rsidR="006E4F0A" w:rsidRPr="0080478A">
              <w:rPr>
                <w:rFonts w:cs="Helvetica"/>
                <w:bCs/>
                <w:i/>
                <w:color w:val="595959"/>
                <w:sz w:val="18"/>
                <w:szCs w:val="18"/>
              </w:rPr>
              <w:t>AM)</w:t>
            </w:r>
          </w:p>
        </w:tc>
        <w:tc>
          <w:tcPr>
            <w:tcW w:w="1583" w:type="pct"/>
            <w:vAlign w:val="center"/>
          </w:tcPr>
          <w:p w14:paraId="261B8069" w14:textId="77777777" w:rsidR="006E4F0A" w:rsidRPr="0080478A" w:rsidRDefault="006E4F0A" w:rsidP="000D0304">
            <w:pPr>
              <w:spacing w:after="0"/>
              <w:jc w:val="center"/>
              <w:rPr>
                <w:rFonts w:cs="Helvetica"/>
                <w:bCs/>
                <w:i/>
                <w:color w:val="595959"/>
                <w:sz w:val="18"/>
                <w:szCs w:val="18"/>
              </w:rPr>
            </w:pPr>
            <w:r w:rsidRPr="0080478A">
              <w:rPr>
                <w:rFonts w:cs="Helvetica"/>
                <w:bCs/>
                <w:i/>
                <w:color w:val="595959"/>
                <w:sz w:val="18"/>
                <w:szCs w:val="18"/>
              </w:rPr>
              <w:t>Canada (CAN)</w:t>
            </w:r>
          </w:p>
        </w:tc>
      </w:tr>
    </w:tbl>
    <w:p w14:paraId="3A006513" w14:textId="77777777" w:rsidR="00733BF3" w:rsidRDefault="00733BF3" w:rsidP="001A5B9F">
      <w:pPr>
        <w:spacing w:before="120" w:after="0" w:line="312" w:lineRule="auto"/>
        <w:jc w:val="right"/>
        <w:rPr>
          <w:rFonts w:cs="Helvetica"/>
          <w:color w:val="595959"/>
          <w:szCs w:val="20"/>
          <w:lang w:eastAsia="en-GB"/>
        </w:rPr>
      </w:pPr>
      <w:r w:rsidRPr="005F0AA8">
        <w:rPr>
          <w:rFonts w:cs="Helvetica"/>
          <w:b/>
          <w:color w:val="595959"/>
          <w:szCs w:val="20"/>
          <w:lang w:eastAsia="en-GB"/>
        </w:rPr>
        <w:t xml:space="preserve">Table </w:t>
      </w:r>
      <w:r w:rsidR="00360851">
        <w:rPr>
          <w:rFonts w:cs="Helvetica"/>
          <w:b/>
          <w:color w:val="595959"/>
          <w:szCs w:val="20"/>
          <w:lang w:eastAsia="en-GB"/>
        </w:rPr>
        <w:t>7</w:t>
      </w:r>
      <w:r w:rsidRPr="005F0AA8">
        <w:rPr>
          <w:rFonts w:cs="Helvetica"/>
          <w:b/>
          <w:color w:val="595959"/>
          <w:szCs w:val="20"/>
          <w:lang w:eastAsia="en-GB"/>
        </w:rPr>
        <w:t>:</w:t>
      </w:r>
      <w:r>
        <w:rPr>
          <w:rFonts w:cs="Helvetica"/>
          <w:b/>
          <w:color w:val="595959"/>
          <w:szCs w:val="20"/>
          <w:lang w:eastAsia="en-GB"/>
        </w:rPr>
        <w:tab/>
      </w:r>
      <w:r w:rsidRPr="005F0AA8">
        <w:rPr>
          <w:rFonts w:cs="Helvetica"/>
          <w:b/>
          <w:color w:val="595959"/>
          <w:szCs w:val="20"/>
          <w:lang w:eastAsia="en-GB"/>
        </w:rPr>
        <w:t>Example archetype scenarios considered for impact modelling</w:t>
      </w:r>
    </w:p>
    <w:p w14:paraId="3C3250C9" w14:textId="4E09BF03" w:rsidR="009C0114" w:rsidRDefault="009C0114" w:rsidP="009C0114">
      <w:pPr>
        <w:tabs>
          <w:tab w:val="left" w:pos="1537"/>
          <w:tab w:val="right" w:pos="9639"/>
        </w:tabs>
        <w:spacing w:before="120" w:after="0" w:line="312" w:lineRule="auto"/>
        <w:rPr>
          <w:rFonts w:cs="Helvetica"/>
          <w:color w:val="595959"/>
          <w:szCs w:val="20"/>
          <w:lang w:eastAsia="en-GB"/>
        </w:rPr>
      </w:pPr>
      <w:r>
        <w:rPr>
          <w:rFonts w:cs="Helvetica"/>
          <w:color w:val="595959"/>
          <w:szCs w:val="20"/>
          <w:lang w:eastAsia="en-GB"/>
        </w:rPr>
        <w:tab/>
      </w:r>
    </w:p>
    <w:p w14:paraId="06055A59" w14:textId="77777777" w:rsidR="00733BF3" w:rsidRPr="009C0114" w:rsidRDefault="00733BF3" w:rsidP="009C0114">
      <w:pPr>
        <w:rPr>
          <w:rFonts w:cs="Helvetica"/>
          <w:szCs w:val="20"/>
          <w:lang w:eastAsia="en-GB"/>
        </w:rPr>
        <w:sectPr w:rsidR="00733BF3" w:rsidRPr="009C0114" w:rsidSect="003461C4">
          <w:type w:val="continuous"/>
          <w:pgSz w:w="11907" w:h="16839" w:code="9"/>
          <w:pgMar w:top="2552" w:right="1134" w:bottom="1276" w:left="1134" w:header="1276" w:footer="850" w:gutter="0"/>
          <w:cols w:space="708"/>
          <w:docGrid w:linePitch="326"/>
        </w:sectPr>
      </w:pPr>
    </w:p>
    <w:p w14:paraId="71520269" w14:textId="77777777" w:rsidR="006A58FF" w:rsidRDefault="006A58FF">
      <w:pPr>
        <w:spacing w:after="0" w:line="312" w:lineRule="auto"/>
        <w:contextualSpacing/>
        <w:jc w:val="both"/>
        <w:rPr>
          <w:rFonts w:cs="Helvetica"/>
          <w:color w:val="595959"/>
          <w:szCs w:val="20"/>
          <w:lang w:eastAsia="en-GB"/>
        </w:rPr>
      </w:pPr>
    </w:p>
    <w:p w14:paraId="72D83DAF" w14:textId="08E27039" w:rsidR="00354F57" w:rsidRPr="000D0304" w:rsidRDefault="0010194B" w:rsidP="00354F57">
      <w:pPr>
        <w:spacing w:before="120" w:after="0" w:line="312" w:lineRule="auto"/>
        <w:jc w:val="right"/>
        <w:rPr>
          <w:rFonts w:cs="Helvetica"/>
          <w:b/>
          <w:color w:val="595959"/>
          <w:szCs w:val="20"/>
        </w:rPr>
      </w:pPr>
      <w:r w:rsidRPr="003C293F">
        <w:rPr>
          <w:rFonts w:cs="Helvetica"/>
          <w:b/>
          <w:noProof/>
          <w:color w:val="595959"/>
          <w:sz w:val="22"/>
          <w:szCs w:val="22"/>
          <w:lang w:eastAsia="zh-CN"/>
        </w:rPr>
        <mc:AlternateContent>
          <mc:Choice Requires="wps">
            <w:drawing>
              <wp:anchor distT="0" distB="0" distL="114300" distR="114300" simplePos="0" relativeHeight="251658241" behindDoc="0" locked="0" layoutInCell="1" allowOverlap="1" wp14:anchorId="56BE2487" wp14:editId="0D41F9A2">
                <wp:simplePos x="0" y="0"/>
                <wp:positionH relativeFrom="column">
                  <wp:posOffset>1042035</wp:posOffset>
                </wp:positionH>
                <wp:positionV relativeFrom="paragraph">
                  <wp:posOffset>523240</wp:posOffset>
                </wp:positionV>
                <wp:extent cx="2466975" cy="181927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2466975" cy="18192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490D76" id="Rectangle: Rounded Corners 3" o:spid="_x0000_s1026" style="position:absolute;margin-left:82.05pt;margin-top:41.2pt;width:194.25pt;height:143.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" filled="f" strokecolor="#355158 [1604]" strokeweight="2pt"/>
            </w:pict>
          </mc:Fallback>
        </mc:AlternateContent>
      </w:r>
      <w:r w:rsidR="004146F0" w:rsidRPr="004146F0">
        <w:rPr>
          <w:noProof/>
        </w:rPr>
        <w:t xml:space="preserve"> </w:t>
      </w:r>
      <w:r w:rsidR="004146F0" w:rsidRPr="004146F0">
        <w:rPr>
          <w:rFonts w:cs="Helvetica"/>
          <w:b/>
          <w:noProof/>
          <w:color w:val="595959"/>
          <w:sz w:val="22"/>
          <w:szCs w:val="22"/>
        </w:rPr>
        <w:drawing>
          <wp:inline distT="0" distB="0" distL="0" distR="0" wp14:anchorId="119CF2F4" wp14:editId="48D52AE7">
            <wp:extent cx="7431932" cy="411813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2"/>
                    <a:stretch>
                      <a:fillRect/>
                    </a:stretch>
                  </pic:blipFill>
                  <pic:spPr>
                    <a:xfrm>
                      <a:off x="0" y="0"/>
                      <a:ext cx="7512517" cy="4162792"/>
                    </a:xfrm>
                    <a:prstGeom prst="rect">
                      <a:avLst/>
                    </a:prstGeom>
                  </pic:spPr>
                </pic:pic>
              </a:graphicData>
            </a:graphic>
          </wp:inline>
        </w:drawing>
      </w:r>
      <w:r w:rsidR="00354F57" w:rsidRPr="00354F57">
        <w:rPr>
          <w:rFonts w:cs="Helvetica"/>
          <w:b/>
          <w:color w:val="595959"/>
          <w:szCs w:val="20"/>
        </w:rPr>
        <w:t xml:space="preserve"> </w:t>
      </w:r>
    </w:p>
    <w:p w14:paraId="72337CB7" w14:textId="4E34815C" w:rsidR="0010194B" w:rsidRPr="003C293F" w:rsidRDefault="00D66982" w:rsidP="00D66982">
      <w:pPr>
        <w:spacing w:after="0" w:line="312" w:lineRule="auto"/>
        <w:contextualSpacing/>
        <w:jc w:val="right"/>
        <w:rPr>
          <w:rFonts w:cs="Helvetica"/>
          <w:b/>
          <w:color w:val="595959"/>
          <w:sz w:val="22"/>
          <w:szCs w:val="22"/>
        </w:rPr>
      </w:pPr>
      <w:r w:rsidRPr="000D0304">
        <w:rPr>
          <w:rFonts w:cs="Helvetica"/>
          <w:b/>
          <w:color w:val="595959"/>
          <w:szCs w:val="20"/>
        </w:rPr>
        <w:t xml:space="preserve">Figure </w:t>
      </w:r>
      <w:r>
        <w:rPr>
          <w:rFonts w:cs="Helvetica"/>
          <w:b/>
          <w:color w:val="595959"/>
          <w:szCs w:val="20"/>
        </w:rPr>
        <w:t>8</w:t>
      </w:r>
      <w:r w:rsidRPr="000D0304">
        <w:rPr>
          <w:rFonts w:cs="Helvetica"/>
          <w:b/>
          <w:color w:val="595959"/>
          <w:szCs w:val="20"/>
        </w:rPr>
        <w:t>:</w:t>
      </w:r>
      <w:r>
        <w:rPr>
          <w:rFonts w:cs="Helvetica"/>
          <w:b/>
          <w:color w:val="595959"/>
          <w:szCs w:val="20"/>
        </w:rPr>
        <w:tab/>
      </w:r>
      <w:r w:rsidRPr="000D0304">
        <w:rPr>
          <w:rFonts w:cs="Helvetica"/>
          <w:b/>
          <w:color w:val="595959"/>
          <w:szCs w:val="20"/>
        </w:rPr>
        <w:t>Mass flow</w:t>
      </w:r>
      <w:r w:rsidRPr="00D66982">
        <w:rPr>
          <w:rFonts w:cs="Helvetica"/>
          <w:b/>
          <w:color w:val="595959"/>
          <w:szCs w:val="20"/>
        </w:rPr>
        <w:t xml:space="preserve"> </w:t>
      </w:r>
      <w:r w:rsidRPr="000D0304">
        <w:rPr>
          <w:rFonts w:cs="Helvetica"/>
          <w:b/>
          <w:color w:val="595959"/>
          <w:szCs w:val="20"/>
        </w:rPr>
        <w:t>example Scenario 1 – China</w:t>
      </w:r>
    </w:p>
    <w:p w14:paraId="25645689" w14:textId="77777777" w:rsidR="00224FDE" w:rsidRPr="000D0304" w:rsidRDefault="00224FDE">
      <w:pPr>
        <w:spacing w:after="0" w:line="312" w:lineRule="auto"/>
        <w:contextualSpacing/>
        <w:rPr>
          <w:rFonts w:cs="Helvetica"/>
          <w:color w:val="595959"/>
          <w:szCs w:val="20"/>
          <w:lang w:eastAsia="en-GB"/>
        </w:rPr>
      </w:pPr>
    </w:p>
    <w:p w14:paraId="15589472" w14:textId="77777777" w:rsidR="00733BF3" w:rsidRDefault="00733BF3">
      <w:pPr>
        <w:spacing w:after="0" w:line="312" w:lineRule="auto"/>
        <w:contextualSpacing/>
        <w:rPr>
          <w:rFonts w:cs="Helvetica"/>
          <w:color w:val="595959"/>
          <w:szCs w:val="20"/>
          <w:lang w:eastAsia="en-GB"/>
        </w:rPr>
        <w:sectPr w:rsidR="00733BF3" w:rsidSect="000D0304">
          <w:pgSz w:w="16839" w:h="11907" w:orient="landscape" w:code="9"/>
          <w:pgMar w:top="2552" w:right="1134" w:bottom="1276" w:left="1134" w:header="1276" w:footer="850" w:gutter="0"/>
          <w:cols w:space="708"/>
          <w:docGrid w:linePitch="326"/>
        </w:sectPr>
      </w:pPr>
    </w:p>
    <w:p w14:paraId="0243A89E" w14:textId="77777777" w:rsidR="006D76FD" w:rsidRPr="000D0304" w:rsidRDefault="006D76FD" w:rsidP="00DA5301">
      <w:pPr>
        <w:pStyle w:val="Heading3"/>
      </w:pPr>
      <w:bookmarkStart w:id="164" w:name="_Toc120111945"/>
      <w:r w:rsidRPr="000D0304">
        <w:lastRenderedPageBreak/>
        <w:t>Impact Modelling</w:t>
      </w:r>
      <w:bookmarkEnd w:id="164"/>
    </w:p>
    <w:p w14:paraId="4D3DA5C3" w14:textId="06667E5F" w:rsidR="00362A29" w:rsidRDefault="00BD4661" w:rsidP="009E11C8">
      <w:pPr>
        <w:autoSpaceDE w:val="0"/>
        <w:autoSpaceDN w:val="0"/>
        <w:adjustRightInd w:val="0"/>
        <w:spacing w:after="0" w:line="312" w:lineRule="auto"/>
        <w:jc w:val="both"/>
        <w:rPr>
          <w:rFonts w:cs="Helvetica"/>
          <w:color w:val="595959"/>
          <w:szCs w:val="20"/>
          <w:lang w:eastAsia="en-GB"/>
        </w:rPr>
      </w:pPr>
      <w:r w:rsidRPr="000D0304">
        <w:rPr>
          <w:rFonts w:cs="Helvetica"/>
          <w:color w:val="595959"/>
          <w:szCs w:val="20"/>
          <w:lang w:eastAsia="en-GB"/>
        </w:rPr>
        <w:t>A</w:t>
      </w:r>
      <w:r w:rsidR="00DA462C">
        <w:rPr>
          <w:rFonts w:cs="Helvetica"/>
          <w:color w:val="595959"/>
          <w:szCs w:val="20"/>
          <w:lang w:eastAsia="en-GB"/>
        </w:rPr>
        <w:t xml:space="preserve"> primary aluminium</w:t>
      </w:r>
      <w:r w:rsidRPr="000D0304">
        <w:rPr>
          <w:rFonts w:cs="Helvetica"/>
          <w:color w:val="595959"/>
          <w:szCs w:val="20"/>
          <w:lang w:eastAsia="en-GB"/>
        </w:rPr>
        <w:t xml:space="preserve"> cradle-to-gate model</w:t>
      </w:r>
      <w:r w:rsidR="00732E93" w:rsidRPr="000D0304">
        <w:rPr>
          <w:rFonts w:cs="Helvetica"/>
          <w:color w:val="595959"/>
          <w:szCs w:val="20"/>
          <w:lang w:eastAsia="en-GB"/>
        </w:rPr>
        <w:t xml:space="preserve"> was</w:t>
      </w:r>
      <w:r w:rsidRPr="000D0304">
        <w:rPr>
          <w:rFonts w:cs="Helvetica"/>
          <w:color w:val="595959"/>
          <w:szCs w:val="20"/>
          <w:lang w:eastAsia="en-GB"/>
        </w:rPr>
        <w:t xml:space="preserve"> </w:t>
      </w:r>
      <w:r w:rsidR="00362A29">
        <w:rPr>
          <w:rFonts w:cs="Helvetica"/>
          <w:color w:val="595959"/>
          <w:szCs w:val="20"/>
          <w:lang w:eastAsia="en-GB"/>
        </w:rPr>
        <w:t>initially</w:t>
      </w:r>
      <w:r w:rsidR="005A0C6E">
        <w:rPr>
          <w:rFonts w:cs="Helvetica"/>
          <w:color w:val="595959"/>
          <w:szCs w:val="20"/>
          <w:lang w:eastAsia="en-GB"/>
        </w:rPr>
        <w:t xml:space="preserve"> </w:t>
      </w:r>
      <w:r w:rsidRPr="000D0304">
        <w:rPr>
          <w:rFonts w:cs="Helvetica"/>
          <w:color w:val="595959"/>
          <w:szCs w:val="20"/>
          <w:lang w:eastAsia="en-GB"/>
        </w:rPr>
        <w:t xml:space="preserve">developed as part of the impact modelling </w:t>
      </w:r>
      <w:r w:rsidR="006B0766" w:rsidRPr="000D0304">
        <w:rPr>
          <w:rFonts w:cs="Helvetica"/>
          <w:color w:val="595959"/>
          <w:szCs w:val="20"/>
          <w:lang w:eastAsia="en-GB"/>
        </w:rPr>
        <w:t xml:space="preserve">process </w:t>
      </w:r>
      <w:r w:rsidR="00406E9F">
        <w:rPr>
          <w:rFonts w:cs="Helvetica"/>
          <w:color w:val="595959"/>
          <w:szCs w:val="20"/>
          <w:lang w:eastAsia="en-GB"/>
        </w:rPr>
        <w:t>for</w:t>
      </w:r>
      <w:r w:rsidR="005A0C6E">
        <w:rPr>
          <w:rFonts w:cs="Helvetica"/>
          <w:color w:val="595959"/>
          <w:szCs w:val="20"/>
          <w:lang w:eastAsia="en-GB"/>
        </w:rPr>
        <w:t xml:space="preserve"> 2010 data</w:t>
      </w:r>
      <w:r w:rsidR="00DA462C">
        <w:rPr>
          <w:rFonts w:cs="Helvetica"/>
          <w:color w:val="595959"/>
          <w:szCs w:val="20"/>
          <w:lang w:eastAsia="en-GB"/>
        </w:rPr>
        <w:t xml:space="preserve">; </w:t>
      </w:r>
      <w:r w:rsidR="006B0766" w:rsidRPr="000D0304">
        <w:rPr>
          <w:rFonts w:cs="Helvetica"/>
          <w:color w:val="595959"/>
          <w:szCs w:val="20"/>
          <w:lang w:eastAsia="en-GB"/>
        </w:rPr>
        <w:t>this</w:t>
      </w:r>
      <w:r w:rsidR="006A58FF" w:rsidRPr="000D0304">
        <w:rPr>
          <w:rFonts w:cs="Helvetica"/>
          <w:color w:val="595959"/>
          <w:szCs w:val="20"/>
          <w:lang w:eastAsia="en-GB"/>
        </w:rPr>
        <w:t xml:space="preserve"> model </w:t>
      </w:r>
      <w:r w:rsidR="006B0766" w:rsidRPr="000D0304">
        <w:rPr>
          <w:rFonts w:cs="Helvetica"/>
          <w:color w:val="595959"/>
          <w:szCs w:val="20"/>
          <w:lang w:eastAsia="en-GB"/>
        </w:rPr>
        <w:t>provide</w:t>
      </w:r>
      <w:r w:rsidR="005A0C6E">
        <w:rPr>
          <w:rFonts w:cs="Helvetica"/>
          <w:color w:val="595959"/>
          <w:szCs w:val="20"/>
          <w:lang w:eastAsia="en-GB"/>
        </w:rPr>
        <w:t>s</w:t>
      </w:r>
      <w:r w:rsidR="006B0766" w:rsidRPr="000D0304">
        <w:rPr>
          <w:rFonts w:cs="Helvetica"/>
          <w:color w:val="595959"/>
          <w:szCs w:val="20"/>
          <w:lang w:eastAsia="en-GB"/>
        </w:rPr>
        <w:t xml:space="preserve"> the</w:t>
      </w:r>
      <w:r w:rsidRPr="000D0304">
        <w:rPr>
          <w:rFonts w:cs="Helvetica"/>
          <w:color w:val="595959"/>
          <w:szCs w:val="20"/>
          <w:lang w:eastAsia="en-GB"/>
        </w:rPr>
        <w:t xml:space="preserve"> </w:t>
      </w:r>
      <w:r w:rsidR="006B0766" w:rsidRPr="000D0304">
        <w:rPr>
          <w:rFonts w:cs="Helvetica"/>
          <w:color w:val="595959"/>
          <w:szCs w:val="20"/>
          <w:lang w:eastAsia="en-GB"/>
        </w:rPr>
        <w:t>foundation</w:t>
      </w:r>
      <w:r w:rsidRPr="000D0304">
        <w:rPr>
          <w:rFonts w:cs="Helvetica"/>
          <w:color w:val="595959"/>
          <w:szCs w:val="20"/>
          <w:lang w:eastAsia="en-GB"/>
        </w:rPr>
        <w:t xml:space="preserve"> </w:t>
      </w:r>
      <w:r w:rsidR="006B0766" w:rsidRPr="000D0304">
        <w:rPr>
          <w:rFonts w:cs="Helvetica"/>
          <w:color w:val="595959"/>
          <w:szCs w:val="20"/>
          <w:lang w:eastAsia="en-GB"/>
        </w:rPr>
        <w:t xml:space="preserve">for </w:t>
      </w:r>
      <w:r w:rsidR="005A0C6E">
        <w:rPr>
          <w:rFonts w:cs="Helvetica"/>
          <w:color w:val="595959"/>
          <w:szCs w:val="20"/>
          <w:lang w:eastAsia="en-GB"/>
        </w:rPr>
        <w:t>the</w:t>
      </w:r>
      <w:r w:rsidR="005A0C6E" w:rsidRPr="000D0304">
        <w:rPr>
          <w:rFonts w:cs="Helvetica"/>
          <w:color w:val="595959"/>
          <w:szCs w:val="20"/>
          <w:lang w:eastAsia="en-GB"/>
        </w:rPr>
        <w:t xml:space="preserve"> </w:t>
      </w:r>
      <w:r w:rsidR="005A0C6E">
        <w:rPr>
          <w:rFonts w:cs="Helvetica"/>
          <w:color w:val="595959"/>
          <w:szCs w:val="20"/>
          <w:lang w:eastAsia="en-GB"/>
        </w:rPr>
        <w:t xml:space="preserve">current </w:t>
      </w:r>
      <w:r w:rsidRPr="000D0304">
        <w:rPr>
          <w:rFonts w:cs="Helvetica"/>
          <w:color w:val="595959"/>
          <w:szCs w:val="20"/>
          <w:lang w:eastAsia="en-GB"/>
        </w:rPr>
        <w:t>impact assessment</w:t>
      </w:r>
      <w:r w:rsidR="009831A3">
        <w:rPr>
          <w:rFonts w:cs="Helvetica"/>
          <w:color w:val="595959"/>
          <w:szCs w:val="20"/>
          <w:lang w:eastAsia="en-GB"/>
        </w:rPr>
        <w:t xml:space="preserve">.  </w:t>
      </w:r>
      <w:r w:rsidRPr="000D0304">
        <w:rPr>
          <w:rFonts w:cs="Helvetica"/>
          <w:color w:val="595959"/>
          <w:szCs w:val="20"/>
          <w:lang w:eastAsia="en-GB"/>
        </w:rPr>
        <w:t xml:space="preserve">The global model </w:t>
      </w:r>
      <w:r w:rsidR="00DA462C">
        <w:rPr>
          <w:rFonts w:cs="Helvetica"/>
          <w:color w:val="595959"/>
          <w:szCs w:val="20"/>
          <w:lang w:eastAsia="en-GB"/>
        </w:rPr>
        <w:t>has been</w:t>
      </w:r>
      <w:r w:rsidR="00DA462C" w:rsidRPr="000D0304">
        <w:rPr>
          <w:rFonts w:cs="Helvetica"/>
          <w:color w:val="595959"/>
          <w:szCs w:val="20"/>
          <w:lang w:eastAsia="en-GB"/>
        </w:rPr>
        <w:t xml:space="preserve"> </w:t>
      </w:r>
      <w:r w:rsidR="00362A29">
        <w:rPr>
          <w:rFonts w:cs="Helvetica"/>
          <w:color w:val="595959"/>
          <w:szCs w:val="20"/>
          <w:lang w:eastAsia="en-GB"/>
        </w:rPr>
        <w:t xml:space="preserve">adjusted as follows, prior to the update with 2019 inventory data </w:t>
      </w:r>
      <w:r w:rsidR="00362A29" w:rsidRPr="000D0304">
        <w:rPr>
          <w:rFonts w:cs="Helvetica"/>
          <w:color w:val="595959"/>
          <w:szCs w:val="20"/>
          <w:lang w:eastAsia="en-GB"/>
        </w:rPr>
        <w:t>(foreground data)</w:t>
      </w:r>
      <w:r w:rsidR="00362A29">
        <w:rPr>
          <w:rFonts w:cs="Helvetica"/>
          <w:color w:val="595959"/>
          <w:szCs w:val="20"/>
          <w:lang w:eastAsia="en-GB"/>
        </w:rPr>
        <w:t>:</w:t>
      </w:r>
    </w:p>
    <w:p w14:paraId="71E44B80" w14:textId="77777777" w:rsidR="00362A29" w:rsidRPr="00FD4D41" w:rsidRDefault="00362A29" w:rsidP="00FD4D41">
      <w:pPr>
        <w:pStyle w:val="ListParagraph"/>
        <w:numPr>
          <w:ilvl w:val="0"/>
          <w:numId w:val="74"/>
        </w:numPr>
        <w:autoSpaceDE w:val="0"/>
        <w:autoSpaceDN w:val="0"/>
        <w:adjustRightInd w:val="0"/>
        <w:spacing w:after="0" w:line="312" w:lineRule="auto"/>
        <w:jc w:val="both"/>
        <w:rPr>
          <w:rFonts w:cs="Helvetica"/>
          <w:color w:val="595959"/>
          <w:szCs w:val="20"/>
          <w:lang w:eastAsia="en-GB"/>
        </w:rPr>
      </w:pPr>
      <w:r w:rsidRPr="00FD4D41">
        <w:rPr>
          <w:rFonts w:cs="Helvetica"/>
          <w:color w:val="595959"/>
          <w:szCs w:val="20"/>
          <w:lang w:eastAsia="en-GB"/>
        </w:rPr>
        <w:t>Electricity supply: inclusion of net losses as a parameter</w:t>
      </w:r>
    </w:p>
    <w:p w14:paraId="0CAA0993" w14:textId="75821010" w:rsidR="00362A29" w:rsidRPr="00FD4D41" w:rsidRDefault="00362A29" w:rsidP="00FD4D41">
      <w:pPr>
        <w:pStyle w:val="ListParagraph"/>
        <w:numPr>
          <w:ilvl w:val="0"/>
          <w:numId w:val="74"/>
        </w:numPr>
        <w:autoSpaceDE w:val="0"/>
        <w:autoSpaceDN w:val="0"/>
        <w:adjustRightInd w:val="0"/>
        <w:spacing w:after="0" w:line="312" w:lineRule="auto"/>
        <w:jc w:val="both"/>
        <w:rPr>
          <w:rFonts w:cs="Helvetica"/>
          <w:color w:val="595959"/>
          <w:szCs w:val="20"/>
          <w:lang w:eastAsia="en-GB"/>
        </w:rPr>
      </w:pPr>
      <w:r w:rsidRPr="00FD4D41">
        <w:rPr>
          <w:rFonts w:cs="Helvetica"/>
          <w:color w:val="595959"/>
          <w:szCs w:val="20"/>
          <w:lang w:eastAsia="en-GB"/>
        </w:rPr>
        <w:t xml:space="preserve">Update of the </w:t>
      </w:r>
      <w:r w:rsidR="00B13FF5" w:rsidRPr="00FD4D41">
        <w:rPr>
          <w:rFonts w:cs="Helvetica"/>
          <w:color w:val="595959"/>
          <w:szCs w:val="20"/>
          <w:lang w:eastAsia="en-GB"/>
        </w:rPr>
        <w:t>petrol</w:t>
      </w:r>
      <w:r w:rsidR="00B13FF5">
        <w:rPr>
          <w:rFonts w:cs="Helvetica"/>
          <w:color w:val="595959"/>
          <w:szCs w:val="20"/>
          <w:lang w:eastAsia="en-GB"/>
        </w:rPr>
        <w:t>eum</w:t>
      </w:r>
      <w:r w:rsidRPr="00FD4D41">
        <w:rPr>
          <w:rFonts w:cs="Helvetica"/>
          <w:color w:val="595959"/>
          <w:szCs w:val="20"/>
          <w:lang w:eastAsia="en-GB"/>
        </w:rPr>
        <w:t xml:space="preserve"> coke dataset to calcined petrol</w:t>
      </w:r>
      <w:r w:rsidR="00B13FF5">
        <w:rPr>
          <w:rFonts w:cs="Helvetica"/>
          <w:color w:val="595959"/>
          <w:szCs w:val="20"/>
          <w:lang w:eastAsia="en-GB"/>
        </w:rPr>
        <w:t>eum</w:t>
      </w:r>
      <w:r w:rsidRPr="00FD4D41">
        <w:rPr>
          <w:rFonts w:cs="Helvetica"/>
          <w:color w:val="595959"/>
          <w:szCs w:val="20"/>
          <w:lang w:eastAsia="en-GB"/>
        </w:rPr>
        <w:t xml:space="preserve"> coke</w:t>
      </w:r>
    </w:p>
    <w:p w14:paraId="5B6527AB" w14:textId="6AB41A7A" w:rsidR="00362A29" w:rsidRDefault="00362A29" w:rsidP="00FD4D41">
      <w:pPr>
        <w:pStyle w:val="ListParagraph"/>
        <w:numPr>
          <w:ilvl w:val="0"/>
          <w:numId w:val="74"/>
        </w:numPr>
        <w:autoSpaceDE w:val="0"/>
        <w:autoSpaceDN w:val="0"/>
        <w:adjustRightInd w:val="0"/>
        <w:spacing w:after="0" w:line="312" w:lineRule="auto"/>
        <w:jc w:val="both"/>
        <w:rPr>
          <w:rFonts w:cs="Helvetica"/>
          <w:color w:val="595959"/>
          <w:szCs w:val="20"/>
          <w:lang w:eastAsia="en-GB"/>
        </w:rPr>
      </w:pPr>
      <w:r w:rsidRPr="00FD4D41">
        <w:rPr>
          <w:rFonts w:cs="Helvetica"/>
          <w:color w:val="595959"/>
          <w:szCs w:val="20"/>
          <w:lang w:eastAsia="en-GB"/>
        </w:rPr>
        <w:t xml:space="preserve">Anode </w:t>
      </w:r>
      <w:r w:rsidR="00E75E24">
        <w:rPr>
          <w:rFonts w:cs="Helvetica"/>
          <w:color w:val="595959"/>
          <w:szCs w:val="20"/>
          <w:lang w:eastAsia="en-GB"/>
        </w:rPr>
        <w:t>consumption</w:t>
      </w:r>
      <w:r w:rsidRPr="00FD4D41">
        <w:rPr>
          <w:rFonts w:cs="Helvetica"/>
          <w:color w:val="595959"/>
          <w:szCs w:val="20"/>
          <w:lang w:eastAsia="en-GB"/>
        </w:rPr>
        <w:t xml:space="preserve"> net values is replaced by gross </w:t>
      </w:r>
      <w:r w:rsidR="00845A9C">
        <w:rPr>
          <w:rFonts w:cs="Helvetica"/>
          <w:color w:val="595959"/>
          <w:szCs w:val="20"/>
          <w:lang w:eastAsia="en-GB"/>
        </w:rPr>
        <w:t>consumption</w:t>
      </w:r>
      <w:r w:rsidR="00E75E24">
        <w:rPr>
          <w:rFonts w:cs="Helvetica"/>
          <w:color w:val="595959"/>
          <w:szCs w:val="20"/>
          <w:lang w:eastAsia="en-GB"/>
        </w:rPr>
        <w:t xml:space="preserve">, with butt </w:t>
      </w:r>
      <w:r w:rsidR="00845A9C">
        <w:rPr>
          <w:rFonts w:cs="Helvetica"/>
          <w:color w:val="595959"/>
          <w:szCs w:val="20"/>
          <w:lang w:eastAsia="en-GB"/>
        </w:rPr>
        <w:t>values</w:t>
      </w:r>
    </w:p>
    <w:p w14:paraId="6FB1AEB3" w14:textId="165791F0" w:rsidR="00F84A2D" w:rsidRPr="00FD4D41" w:rsidRDefault="00F84A2D" w:rsidP="00FD4D41">
      <w:pPr>
        <w:pStyle w:val="ListParagraph"/>
        <w:numPr>
          <w:ilvl w:val="0"/>
          <w:numId w:val="74"/>
        </w:numPr>
        <w:autoSpaceDE w:val="0"/>
        <w:autoSpaceDN w:val="0"/>
        <w:adjustRightInd w:val="0"/>
        <w:spacing w:after="0" w:line="312" w:lineRule="auto"/>
        <w:jc w:val="both"/>
        <w:rPr>
          <w:rFonts w:cs="Helvetica"/>
          <w:color w:val="595959"/>
          <w:szCs w:val="20"/>
          <w:lang w:eastAsia="en-GB"/>
        </w:rPr>
      </w:pPr>
      <w:r w:rsidRPr="00F84A2D">
        <w:rPr>
          <w:rFonts w:cs="Helvetica"/>
          <w:color w:val="595959"/>
          <w:szCs w:val="20"/>
          <w:lang w:eastAsia="en-GB"/>
        </w:rPr>
        <w:t>Low voltage PFC emissions is added by following the 2019 Refinement to the 2006 IPCC Guidelines for National Greenhouse Gas Inventories</w:t>
      </w:r>
    </w:p>
    <w:p w14:paraId="5B6EA7B0" w14:textId="49FE9EF3" w:rsidR="00362A29" w:rsidRPr="00FD4D41" w:rsidRDefault="00362A29" w:rsidP="00FD4D41">
      <w:pPr>
        <w:pStyle w:val="ListParagraph"/>
        <w:numPr>
          <w:ilvl w:val="0"/>
          <w:numId w:val="74"/>
        </w:numPr>
        <w:autoSpaceDE w:val="0"/>
        <w:autoSpaceDN w:val="0"/>
        <w:adjustRightInd w:val="0"/>
        <w:spacing w:after="0" w:line="312" w:lineRule="auto"/>
        <w:jc w:val="both"/>
        <w:rPr>
          <w:rFonts w:cs="Helvetica"/>
          <w:color w:val="595959"/>
          <w:szCs w:val="20"/>
          <w:lang w:eastAsia="en-GB"/>
        </w:rPr>
      </w:pPr>
      <w:r w:rsidRPr="00FD4D41">
        <w:rPr>
          <w:rFonts w:cs="Helvetica"/>
          <w:color w:val="595959"/>
          <w:szCs w:val="20"/>
          <w:lang w:eastAsia="en-GB"/>
        </w:rPr>
        <w:t xml:space="preserve">Split the refining module into digestion and </w:t>
      </w:r>
      <w:r w:rsidR="00AE00C0" w:rsidRPr="00FD4D41">
        <w:rPr>
          <w:rFonts w:cs="Helvetica"/>
          <w:color w:val="595959"/>
          <w:szCs w:val="20"/>
          <w:lang w:eastAsia="en-GB"/>
        </w:rPr>
        <w:t>calcination</w:t>
      </w:r>
    </w:p>
    <w:p w14:paraId="35D27E08" w14:textId="5BEF76B6" w:rsidR="00362A29" w:rsidRDefault="00362A29" w:rsidP="009E11C8">
      <w:pPr>
        <w:autoSpaceDE w:val="0"/>
        <w:autoSpaceDN w:val="0"/>
        <w:adjustRightInd w:val="0"/>
        <w:spacing w:after="0" w:line="312" w:lineRule="auto"/>
        <w:jc w:val="both"/>
        <w:rPr>
          <w:rFonts w:cs="Helvetica"/>
          <w:color w:val="595959"/>
          <w:szCs w:val="20"/>
          <w:lang w:eastAsia="en-GB"/>
        </w:rPr>
      </w:pPr>
      <w:r>
        <w:rPr>
          <w:rFonts w:cs="Helvetica"/>
          <w:color w:val="595959"/>
          <w:szCs w:val="20"/>
          <w:lang w:eastAsia="en-GB"/>
        </w:rPr>
        <w:t xml:space="preserve"> </w:t>
      </w:r>
    </w:p>
    <w:p w14:paraId="78A868A5" w14:textId="4824ADB6" w:rsidR="00B610F0" w:rsidRDefault="00362A29" w:rsidP="009E11C8">
      <w:pPr>
        <w:autoSpaceDE w:val="0"/>
        <w:autoSpaceDN w:val="0"/>
        <w:adjustRightInd w:val="0"/>
        <w:spacing w:after="0" w:line="312" w:lineRule="auto"/>
        <w:jc w:val="both"/>
        <w:rPr>
          <w:rFonts w:cs="Helvetica"/>
          <w:color w:val="595959"/>
          <w:szCs w:val="20"/>
          <w:lang w:eastAsia="en-GB"/>
        </w:rPr>
      </w:pPr>
      <w:r>
        <w:rPr>
          <w:rFonts w:cs="Helvetica"/>
          <w:color w:val="595959"/>
          <w:szCs w:val="20"/>
          <w:lang w:eastAsia="en-GB"/>
        </w:rPr>
        <w:t>The</w:t>
      </w:r>
      <w:r w:rsidR="00B610F0" w:rsidRPr="000D0304">
        <w:rPr>
          <w:rFonts w:cs="Helvetica"/>
          <w:color w:val="595959"/>
          <w:szCs w:val="20"/>
          <w:lang w:eastAsia="en-GB"/>
        </w:rPr>
        <w:t xml:space="preserve"> background datasets </w:t>
      </w:r>
      <w:r w:rsidR="00EC481B">
        <w:rPr>
          <w:rFonts w:cs="Helvetica"/>
          <w:color w:val="595959"/>
          <w:szCs w:val="20"/>
          <w:lang w:eastAsia="en-GB"/>
        </w:rPr>
        <w:t>are</w:t>
      </w:r>
      <w:r>
        <w:rPr>
          <w:rFonts w:cs="Helvetica"/>
          <w:color w:val="595959"/>
          <w:szCs w:val="20"/>
          <w:lang w:eastAsia="en-GB"/>
        </w:rPr>
        <w:t xml:space="preserve"> from</w:t>
      </w:r>
      <w:r w:rsidR="00B610F0" w:rsidRPr="000D0304">
        <w:rPr>
          <w:rFonts w:cs="Helvetica"/>
          <w:color w:val="595959"/>
          <w:szCs w:val="20"/>
          <w:lang w:eastAsia="en-GB"/>
        </w:rPr>
        <w:t xml:space="preserve"> </w:t>
      </w:r>
      <w:r w:rsidR="00406E9F">
        <w:rPr>
          <w:rFonts w:cs="Helvetica"/>
          <w:color w:val="595959"/>
          <w:szCs w:val="20"/>
          <w:lang w:eastAsia="en-GB"/>
        </w:rPr>
        <w:t xml:space="preserve">GaBi </w:t>
      </w:r>
      <w:r w:rsidR="001B0FFD">
        <w:rPr>
          <w:rFonts w:cs="Helvetica"/>
          <w:color w:val="595959"/>
          <w:szCs w:val="20"/>
          <w:lang w:eastAsia="en-GB"/>
        </w:rPr>
        <w:t xml:space="preserve">version </w:t>
      </w:r>
      <w:r w:rsidR="00D03AD3">
        <w:rPr>
          <w:rFonts w:cs="Helvetica"/>
          <w:color w:val="595959"/>
          <w:szCs w:val="20"/>
          <w:lang w:eastAsia="en-GB"/>
        </w:rPr>
        <w:t>2022</w:t>
      </w:r>
      <w:r w:rsidR="001B0FFD">
        <w:rPr>
          <w:rFonts w:cs="Helvetica"/>
          <w:color w:val="595959"/>
          <w:szCs w:val="20"/>
          <w:lang w:eastAsia="en-GB"/>
        </w:rPr>
        <w:t>.2</w:t>
      </w:r>
      <w:r w:rsidR="009831A3">
        <w:rPr>
          <w:rFonts w:cs="Helvetica"/>
          <w:color w:val="595959"/>
          <w:szCs w:val="20"/>
          <w:lang w:eastAsia="en-GB"/>
        </w:rPr>
        <w:t xml:space="preserve">.  </w:t>
      </w:r>
      <w:r w:rsidR="00DA462C">
        <w:rPr>
          <w:rFonts w:cs="Helvetica"/>
          <w:color w:val="595959"/>
          <w:szCs w:val="20"/>
          <w:lang w:eastAsia="en-GB"/>
        </w:rPr>
        <w:t xml:space="preserve">The scenario models are adapted from the global model by using the appropriate regional (or global) </w:t>
      </w:r>
      <w:r w:rsidR="006B0766" w:rsidRPr="000D0304">
        <w:rPr>
          <w:rFonts w:cs="Helvetica"/>
          <w:color w:val="595959"/>
          <w:szCs w:val="20"/>
          <w:lang w:eastAsia="en-GB"/>
        </w:rPr>
        <w:t>inventory</w:t>
      </w:r>
      <w:r w:rsidR="00BD4661" w:rsidRPr="000D0304">
        <w:rPr>
          <w:rFonts w:cs="Helvetica"/>
          <w:color w:val="595959"/>
          <w:szCs w:val="20"/>
          <w:lang w:eastAsia="en-GB"/>
        </w:rPr>
        <w:t xml:space="preserve"> and energy datasets </w:t>
      </w:r>
      <w:r w:rsidR="00DA462C">
        <w:rPr>
          <w:rFonts w:cs="Helvetica"/>
          <w:color w:val="595959"/>
          <w:szCs w:val="20"/>
          <w:lang w:eastAsia="en-GB"/>
        </w:rPr>
        <w:t>of each unit process</w:t>
      </w:r>
      <w:r w:rsidR="009831A3">
        <w:rPr>
          <w:rFonts w:cs="Helvetica"/>
          <w:color w:val="595959"/>
          <w:szCs w:val="20"/>
          <w:lang w:eastAsia="en-GB"/>
        </w:rPr>
        <w:t xml:space="preserve">.  </w:t>
      </w:r>
    </w:p>
    <w:p w14:paraId="3F943A8E" w14:textId="6B75CC65" w:rsidR="00316A37" w:rsidRDefault="00316A37" w:rsidP="009E11C8">
      <w:pPr>
        <w:autoSpaceDE w:val="0"/>
        <w:autoSpaceDN w:val="0"/>
        <w:adjustRightInd w:val="0"/>
        <w:spacing w:after="0" w:line="312" w:lineRule="auto"/>
        <w:jc w:val="both"/>
        <w:rPr>
          <w:rFonts w:cs="Helvetica"/>
          <w:color w:val="595959"/>
          <w:szCs w:val="20"/>
          <w:lang w:eastAsia="en-GB"/>
        </w:rPr>
      </w:pPr>
    </w:p>
    <w:p w14:paraId="5413329C" w14:textId="1E9E209C" w:rsidR="0085154A" w:rsidRPr="000D0304" w:rsidRDefault="00E57F9B" w:rsidP="009E11C8">
      <w:pPr>
        <w:autoSpaceDE w:val="0"/>
        <w:autoSpaceDN w:val="0"/>
        <w:adjustRightInd w:val="0"/>
        <w:spacing w:after="0" w:line="312" w:lineRule="auto"/>
        <w:jc w:val="both"/>
        <w:rPr>
          <w:rFonts w:cs="Helvetica"/>
          <w:color w:val="595959"/>
          <w:szCs w:val="20"/>
          <w:lang w:eastAsia="en-GB"/>
        </w:rPr>
      </w:pPr>
      <w:r>
        <w:rPr>
          <w:rFonts w:cs="Helvetica"/>
          <w:color w:val="595959"/>
          <w:szCs w:val="20"/>
          <w:lang w:eastAsia="en-GB"/>
        </w:rPr>
        <w:t xml:space="preserve">Appendix F </w:t>
      </w:r>
      <w:r w:rsidR="001B34B3">
        <w:rPr>
          <w:rFonts w:cs="Helvetica"/>
          <w:color w:val="595959"/>
          <w:szCs w:val="20"/>
          <w:lang w:eastAsia="en-GB"/>
        </w:rPr>
        <w:t>provide</w:t>
      </w:r>
      <w:r>
        <w:rPr>
          <w:rFonts w:cs="Helvetica"/>
          <w:color w:val="595959"/>
          <w:szCs w:val="20"/>
          <w:lang w:eastAsia="en-GB"/>
        </w:rPr>
        <w:t>s the recalculated LCIA</w:t>
      </w:r>
      <w:r w:rsidR="009F6569">
        <w:rPr>
          <w:rFonts w:cs="Helvetica"/>
          <w:color w:val="595959"/>
          <w:szCs w:val="20"/>
          <w:lang w:eastAsia="en-GB"/>
        </w:rPr>
        <w:t xml:space="preserve"> results</w:t>
      </w:r>
      <w:r>
        <w:rPr>
          <w:rFonts w:cs="Helvetica"/>
          <w:color w:val="595959"/>
          <w:szCs w:val="20"/>
          <w:lang w:eastAsia="en-GB"/>
        </w:rPr>
        <w:t xml:space="preserve"> of 2015 LCIs </w:t>
      </w:r>
      <w:r w:rsidR="00205430">
        <w:rPr>
          <w:rFonts w:cs="Helvetica"/>
          <w:color w:val="595959"/>
          <w:szCs w:val="20"/>
          <w:lang w:eastAsia="en-GB"/>
        </w:rPr>
        <w:t>at global level.</w:t>
      </w:r>
    </w:p>
    <w:p w14:paraId="6FC38B6F" w14:textId="77777777" w:rsidR="006B0766" w:rsidRPr="000D0304" w:rsidRDefault="006B0766" w:rsidP="00B86E2D">
      <w:pPr>
        <w:autoSpaceDE w:val="0"/>
        <w:autoSpaceDN w:val="0"/>
        <w:adjustRightInd w:val="0"/>
        <w:spacing w:after="0" w:line="312" w:lineRule="auto"/>
        <w:jc w:val="both"/>
        <w:rPr>
          <w:rFonts w:cs="Helvetica"/>
          <w:color w:val="595959"/>
          <w:szCs w:val="20"/>
          <w:lang w:eastAsia="en-GB"/>
        </w:rPr>
      </w:pPr>
    </w:p>
    <w:p w14:paraId="3BC91E15" w14:textId="77777777" w:rsidR="00E13024" w:rsidRPr="000D0304" w:rsidRDefault="0009066F">
      <w:pPr>
        <w:autoSpaceDE w:val="0"/>
        <w:autoSpaceDN w:val="0"/>
        <w:adjustRightInd w:val="0"/>
        <w:spacing w:after="0" w:line="312" w:lineRule="auto"/>
        <w:jc w:val="both"/>
        <w:rPr>
          <w:rFonts w:cs="Helvetica"/>
          <w:color w:val="595959"/>
          <w:szCs w:val="20"/>
          <w:lang w:eastAsia="en-GB"/>
        </w:rPr>
      </w:pPr>
      <w:r w:rsidRPr="000D0304">
        <w:rPr>
          <w:rFonts w:cs="Helvetica"/>
          <w:color w:val="595959"/>
          <w:szCs w:val="20"/>
          <w:lang w:eastAsia="en-GB"/>
        </w:rPr>
        <w:t>In the absence of region-specific f</w:t>
      </w:r>
      <w:r w:rsidR="00F70A00" w:rsidRPr="000D0304">
        <w:rPr>
          <w:rFonts w:cs="Helvetica"/>
          <w:color w:val="595959"/>
          <w:szCs w:val="20"/>
          <w:lang w:eastAsia="en-GB"/>
        </w:rPr>
        <w:t>oreground data</w:t>
      </w:r>
      <w:r w:rsidR="00E13024" w:rsidRPr="000D0304">
        <w:rPr>
          <w:rFonts w:cs="Helvetica"/>
          <w:color w:val="595959"/>
          <w:szCs w:val="20"/>
          <w:lang w:eastAsia="en-GB"/>
        </w:rPr>
        <w:t xml:space="preserve"> for regions such as China</w:t>
      </w:r>
      <w:r w:rsidRPr="000D0304">
        <w:rPr>
          <w:rFonts w:cs="Helvetica"/>
          <w:color w:val="595959"/>
          <w:szCs w:val="20"/>
          <w:lang w:eastAsia="en-GB"/>
        </w:rPr>
        <w:t xml:space="preserve">, global level data </w:t>
      </w:r>
      <w:r w:rsidR="00406E9F">
        <w:rPr>
          <w:rFonts w:cs="Helvetica"/>
          <w:color w:val="595959"/>
          <w:szCs w:val="20"/>
          <w:lang w:eastAsia="en-GB"/>
        </w:rPr>
        <w:t>are</w:t>
      </w:r>
      <w:r w:rsidR="00DA462C" w:rsidRPr="000D0304">
        <w:rPr>
          <w:rFonts w:cs="Helvetica"/>
          <w:color w:val="595959"/>
          <w:szCs w:val="20"/>
          <w:lang w:eastAsia="en-GB"/>
        </w:rPr>
        <w:t xml:space="preserve"> </w:t>
      </w:r>
      <w:r w:rsidRPr="000D0304">
        <w:rPr>
          <w:rFonts w:cs="Helvetica"/>
          <w:color w:val="595959"/>
          <w:szCs w:val="20"/>
          <w:lang w:eastAsia="en-GB"/>
        </w:rPr>
        <w:t>used as a proxy</w:t>
      </w:r>
      <w:r w:rsidR="009831A3">
        <w:rPr>
          <w:rFonts w:cs="Helvetica"/>
          <w:color w:val="595959"/>
          <w:szCs w:val="20"/>
          <w:lang w:eastAsia="en-GB"/>
        </w:rPr>
        <w:t xml:space="preserve">.  </w:t>
      </w:r>
      <w:r w:rsidRPr="000D0304">
        <w:rPr>
          <w:rFonts w:cs="Helvetica"/>
          <w:color w:val="595959"/>
          <w:szCs w:val="20"/>
          <w:lang w:eastAsia="en-GB"/>
        </w:rPr>
        <w:t xml:space="preserve">Collecting </w:t>
      </w:r>
      <w:r w:rsidR="006B0766" w:rsidRPr="000D0304">
        <w:rPr>
          <w:rFonts w:cs="Helvetica"/>
          <w:color w:val="595959"/>
          <w:szCs w:val="20"/>
          <w:lang w:eastAsia="en-GB"/>
        </w:rPr>
        <w:t>inventory (</w:t>
      </w:r>
      <w:r w:rsidRPr="000D0304">
        <w:rPr>
          <w:rFonts w:cs="Helvetica"/>
          <w:color w:val="595959"/>
          <w:szCs w:val="20"/>
          <w:lang w:eastAsia="en-GB"/>
        </w:rPr>
        <w:t>foreground</w:t>
      </w:r>
      <w:r w:rsidR="006B0766" w:rsidRPr="000D0304">
        <w:rPr>
          <w:rFonts w:cs="Helvetica"/>
          <w:color w:val="595959"/>
          <w:szCs w:val="20"/>
          <w:lang w:eastAsia="en-GB"/>
        </w:rPr>
        <w:t>)</w:t>
      </w:r>
      <w:r w:rsidRPr="000D0304">
        <w:rPr>
          <w:rFonts w:cs="Helvetica"/>
          <w:color w:val="595959"/>
          <w:szCs w:val="20"/>
          <w:lang w:eastAsia="en-GB"/>
        </w:rPr>
        <w:t xml:space="preserve"> data for China, beyond energy consumption, remains a challenge but as Chinese capacity is exclusively point fed prebake technology, the </w:t>
      </w:r>
      <w:r w:rsidR="00DA462C">
        <w:rPr>
          <w:rFonts w:cs="Helvetica"/>
          <w:color w:val="595959"/>
          <w:szCs w:val="20"/>
          <w:lang w:eastAsia="en-GB"/>
        </w:rPr>
        <w:t xml:space="preserve">use of </w:t>
      </w:r>
      <w:r w:rsidRPr="000D0304">
        <w:rPr>
          <w:rFonts w:cs="Helvetica"/>
          <w:color w:val="595959"/>
          <w:szCs w:val="20"/>
          <w:lang w:eastAsia="en-GB"/>
        </w:rPr>
        <w:t xml:space="preserve">global averages for prebake technology </w:t>
      </w:r>
      <w:r w:rsidR="00DA462C">
        <w:rPr>
          <w:rFonts w:cs="Helvetica"/>
          <w:color w:val="595959"/>
          <w:szCs w:val="20"/>
          <w:lang w:eastAsia="en-GB"/>
        </w:rPr>
        <w:t>is reasonable</w:t>
      </w:r>
      <w:r w:rsidR="009831A3">
        <w:rPr>
          <w:rFonts w:cs="Helvetica"/>
          <w:color w:val="595959"/>
          <w:szCs w:val="20"/>
          <w:lang w:eastAsia="en-GB"/>
        </w:rPr>
        <w:t xml:space="preserve">.  </w:t>
      </w:r>
      <w:r w:rsidR="00E13024" w:rsidRPr="000D0304">
        <w:rPr>
          <w:rFonts w:cs="Helvetica"/>
          <w:color w:val="595959"/>
          <w:szCs w:val="20"/>
          <w:lang w:eastAsia="en-GB"/>
        </w:rPr>
        <w:t>Data</w:t>
      </w:r>
      <w:r w:rsidR="006A58FF" w:rsidRPr="000D0304">
        <w:rPr>
          <w:rFonts w:cs="Helvetica"/>
          <w:color w:val="595959"/>
          <w:szCs w:val="20"/>
          <w:lang w:eastAsia="en-GB"/>
        </w:rPr>
        <w:t>sets</w:t>
      </w:r>
      <w:r w:rsidR="00E13024" w:rsidRPr="000D0304">
        <w:rPr>
          <w:rFonts w:cs="Helvetica"/>
          <w:color w:val="595959"/>
          <w:szCs w:val="20"/>
          <w:lang w:eastAsia="en-GB"/>
        </w:rPr>
        <w:t xml:space="preserve"> on electricity </w:t>
      </w:r>
      <w:r w:rsidR="00214289" w:rsidRPr="000D0304">
        <w:rPr>
          <w:rFonts w:cs="Helvetica"/>
          <w:color w:val="595959"/>
          <w:szCs w:val="20"/>
          <w:lang w:eastAsia="en-GB"/>
        </w:rPr>
        <w:t>consumption</w:t>
      </w:r>
      <w:r w:rsidR="006A58FF" w:rsidRPr="000D0304">
        <w:rPr>
          <w:rFonts w:cs="Helvetica"/>
          <w:color w:val="595959"/>
          <w:szCs w:val="20"/>
          <w:lang w:eastAsia="en-GB"/>
        </w:rPr>
        <w:t xml:space="preserve">, </w:t>
      </w:r>
      <w:r w:rsidR="00214289" w:rsidRPr="000D0304">
        <w:rPr>
          <w:rFonts w:cs="Helvetica"/>
          <w:color w:val="595959"/>
          <w:szCs w:val="20"/>
          <w:lang w:eastAsia="en-GB"/>
        </w:rPr>
        <w:t>power</w:t>
      </w:r>
      <w:r w:rsidR="003F41D4">
        <w:rPr>
          <w:rFonts w:cs="Helvetica"/>
          <w:color w:val="595959"/>
          <w:szCs w:val="20"/>
          <w:lang w:eastAsia="en-GB"/>
        </w:rPr>
        <w:t xml:space="preserve"> mix, </w:t>
      </w:r>
      <w:r w:rsidR="006A58FF" w:rsidRPr="000D0304">
        <w:rPr>
          <w:rFonts w:cs="Helvetica"/>
          <w:color w:val="595959"/>
          <w:szCs w:val="20"/>
          <w:lang w:eastAsia="en-GB"/>
        </w:rPr>
        <w:t>thermal energy</w:t>
      </w:r>
      <w:r w:rsidR="003F41D4">
        <w:rPr>
          <w:rFonts w:cs="Helvetica"/>
          <w:color w:val="595959"/>
          <w:szCs w:val="20"/>
          <w:lang w:eastAsia="en-GB"/>
        </w:rPr>
        <w:t xml:space="preserve"> and perfluorocarbon emissions</w:t>
      </w:r>
      <w:r w:rsidR="006A58FF" w:rsidRPr="000D0304">
        <w:rPr>
          <w:rFonts w:cs="Helvetica"/>
          <w:color w:val="595959"/>
          <w:szCs w:val="20"/>
          <w:lang w:eastAsia="en-GB"/>
        </w:rPr>
        <w:t>, t</w:t>
      </w:r>
      <w:r w:rsidR="00E13024" w:rsidRPr="000D0304">
        <w:rPr>
          <w:rFonts w:cs="Helvetica"/>
          <w:color w:val="595959"/>
          <w:szCs w:val="20"/>
          <w:lang w:eastAsia="en-GB"/>
        </w:rPr>
        <w:t xml:space="preserve">he most </w:t>
      </w:r>
      <w:r w:rsidR="00DA462C">
        <w:rPr>
          <w:rFonts w:cs="Helvetica"/>
          <w:color w:val="595959"/>
          <w:szCs w:val="20"/>
          <w:lang w:eastAsia="en-GB"/>
        </w:rPr>
        <w:t xml:space="preserve">significant drivers of </w:t>
      </w:r>
      <w:r w:rsidR="00E13024" w:rsidRPr="000D0304">
        <w:rPr>
          <w:rFonts w:cs="Helvetica"/>
          <w:color w:val="595959"/>
          <w:szCs w:val="20"/>
          <w:lang w:eastAsia="en-GB"/>
        </w:rPr>
        <w:t xml:space="preserve">environmental impact, </w:t>
      </w:r>
      <w:r w:rsidR="00DA462C">
        <w:rPr>
          <w:rFonts w:cs="Helvetica"/>
          <w:color w:val="595959"/>
          <w:szCs w:val="20"/>
          <w:lang w:eastAsia="en-GB"/>
        </w:rPr>
        <w:t>are</w:t>
      </w:r>
      <w:r w:rsidR="00DA462C" w:rsidRPr="000D0304">
        <w:rPr>
          <w:rFonts w:cs="Helvetica"/>
          <w:color w:val="595959"/>
          <w:szCs w:val="20"/>
          <w:lang w:eastAsia="en-GB"/>
        </w:rPr>
        <w:t xml:space="preserve"> </w:t>
      </w:r>
      <w:r w:rsidR="00E13024" w:rsidRPr="000D0304">
        <w:rPr>
          <w:rFonts w:cs="Helvetica"/>
          <w:color w:val="595959"/>
          <w:szCs w:val="20"/>
          <w:lang w:eastAsia="en-GB"/>
        </w:rPr>
        <w:t xml:space="preserve">available at a regional level </w:t>
      </w:r>
      <w:r w:rsidR="00214289" w:rsidRPr="000D0304">
        <w:rPr>
          <w:rFonts w:cs="Helvetica"/>
          <w:color w:val="595959"/>
          <w:szCs w:val="20"/>
          <w:lang w:eastAsia="en-GB"/>
        </w:rPr>
        <w:t xml:space="preserve">for all scenarios </w:t>
      </w:r>
      <w:r w:rsidR="00E13024" w:rsidRPr="000D0304">
        <w:rPr>
          <w:rFonts w:cs="Helvetica"/>
          <w:color w:val="595959"/>
          <w:szCs w:val="20"/>
          <w:lang w:eastAsia="en-GB"/>
        </w:rPr>
        <w:t>and</w:t>
      </w:r>
      <w:r w:rsidR="00DA462C">
        <w:rPr>
          <w:rFonts w:cs="Helvetica"/>
          <w:color w:val="595959"/>
          <w:szCs w:val="20"/>
          <w:lang w:eastAsia="en-GB"/>
        </w:rPr>
        <w:t xml:space="preserve"> are</w:t>
      </w:r>
      <w:r w:rsidR="00E13024" w:rsidRPr="000D0304">
        <w:rPr>
          <w:rFonts w:cs="Helvetica"/>
          <w:color w:val="595959"/>
          <w:szCs w:val="20"/>
          <w:lang w:eastAsia="en-GB"/>
        </w:rPr>
        <w:t xml:space="preserve"> incorporated into the</w:t>
      </w:r>
      <w:r w:rsidR="00DA462C">
        <w:rPr>
          <w:rFonts w:cs="Helvetica"/>
          <w:color w:val="595959"/>
          <w:szCs w:val="20"/>
          <w:lang w:eastAsia="en-GB"/>
        </w:rPr>
        <w:t xml:space="preserve"> scenario</w:t>
      </w:r>
      <w:r w:rsidR="00E13024" w:rsidRPr="000D0304">
        <w:rPr>
          <w:rFonts w:cs="Helvetica"/>
          <w:color w:val="595959"/>
          <w:szCs w:val="20"/>
          <w:lang w:eastAsia="en-GB"/>
        </w:rPr>
        <w:t xml:space="preserve"> model</w:t>
      </w:r>
      <w:r w:rsidR="006A58FF" w:rsidRPr="000D0304">
        <w:rPr>
          <w:rFonts w:cs="Helvetica"/>
          <w:color w:val="595959"/>
          <w:szCs w:val="20"/>
          <w:lang w:eastAsia="en-GB"/>
        </w:rPr>
        <w:t>s</w:t>
      </w:r>
      <w:r w:rsidR="009831A3">
        <w:rPr>
          <w:rFonts w:cs="Helvetica"/>
          <w:color w:val="595959"/>
          <w:szCs w:val="20"/>
          <w:lang w:eastAsia="en-GB"/>
        </w:rPr>
        <w:t xml:space="preserve">.  </w:t>
      </w:r>
    </w:p>
    <w:p w14:paraId="2D93CFBD" w14:textId="77777777" w:rsidR="00426F86" w:rsidRPr="000D0304" w:rsidRDefault="00426F86">
      <w:pPr>
        <w:autoSpaceDE w:val="0"/>
        <w:autoSpaceDN w:val="0"/>
        <w:adjustRightInd w:val="0"/>
        <w:spacing w:after="0" w:line="312" w:lineRule="auto"/>
        <w:jc w:val="both"/>
        <w:rPr>
          <w:rFonts w:cs="Helvetica"/>
          <w:color w:val="595959"/>
          <w:szCs w:val="20"/>
          <w:lang w:eastAsia="en-GB"/>
        </w:rPr>
      </w:pPr>
    </w:p>
    <w:p w14:paraId="1A9563C6" w14:textId="772B2581" w:rsidR="00073AC3" w:rsidRDefault="00F70A00">
      <w:pPr>
        <w:autoSpaceDE w:val="0"/>
        <w:autoSpaceDN w:val="0"/>
        <w:adjustRightInd w:val="0"/>
        <w:spacing w:after="0" w:line="312" w:lineRule="auto"/>
        <w:jc w:val="both"/>
        <w:rPr>
          <w:rFonts w:cs="Helvetica"/>
          <w:color w:val="595959"/>
          <w:szCs w:val="20"/>
          <w:lang w:eastAsia="en-GB"/>
        </w:rPr>
      </w:pPr>
      <w:r w:rsidRPr="000D0304">
        <w:rPr>
          <w:rFonts w:cs="Helvetica"/>
          <w:color w:val="595959"/>
          <w:szCs w:val="20"/>
          <w:lang w:eastAsia="en-GB"/>
        </w:rPr>
        <w:t xml:space="preserve">Figure </w:t>
      </w:r>
      <w:r w:rsidR="00B63273">
        <w:rPr>
          <w:rFonts w:cs="Helvetica"/>
          <w:color w:val="595959"/>
          <w:szCs w:val="20"/>
          <w:lang w:eastAsia="en-GB"/>
        </w:rPr>
        <w:t>9</w:t>
      </w:r>
      <w:r w:rsidRPr="000D0304">
        <w:rPr>
          <w:rFonts w:cs="Helvetica"/>
          <w:color w:val="595959"/>
          <w:szCs w:val="20"/>
          <w:lang w:eastAsia="en-GB"/>
        </w:rPr>
        <w:t xml:space="preserve"> </w:t>
      </w:r>
      <w:r w:rsidR="006B0766" w:rsidRPr="000D0304">
        <w:rPr>
          <w:rFonts w:cs="Helvetica"/>
          <w:color w:val="595959"/>
          <w:szCs w:val="20"/>
          <w:lang w:eastAsia="en-GB"/>
        </w:rPr>
        <w:t>outlin</w:t>
      </w:r>
      <w:r w:rsidR="00DA462C">
        <w:rPr>
          <w:rFonts w:cs="Helvetica"/>
          <w:color w:val="595959"/>
          <w:szCs w:val="20"/>
          <w:lang w:eastAsia="en-GB"/>
        </w:rPr>
        <w:t xml:space="preserve">es </w:t>
      </w:r>
      <w:r w:rsidRPr="000D0304">
        <w:rPr>
          <w:rFonts w:cs="Helvetica"/>
          <w:color w:val="595959"/>
          <w:szCs w:val="20"/>
          <w:lang w:eastAsia="en-GB"/>
        </w:rPr>
        <w:t xml:space="preserve">how the primary aluminium data </w:t>
      </w:r>
      <w:r w:rsidR="006B0766" w:rsidRPr="000D0304">
        <w:rPr>
          <w:rFonts w:cs="Helvetica"/>
          <w:color w:val="595959"/>
          <w:szCs w:val="20"/>
          <w:lang w:eastAsia="en-GB"/>
        </w:rPr>
        <w:t>w</w:t>
      </w:r>
      <w:r w:rsidR="00406E9F">
        <w:rPr>
          <w:rFonts w:cs="Helvetica"/>
          <w:color w:val="595959"/>
          <w:szCs w:val="20"/>
          <w:lang w:eastAsia="en-GB"/>
        </w:rPr>
        <w:t>ere</w:t>
      </w:r>
      <w:r w:rsidRPr="000D0304">
        <w:rPr>
          <w:rFonts w:cs="Helvetica"/>
          <w:color w:val="595959"/>
          <w:szCs w:val="20"/>
          <w:lang w:eastAsia="en-GB"/>
        </w:rPr>
        <w:t xml:space="preserve"> </w:t>
      </w:r>
      <w:r w:rsidRPr="00EC481B">
        <w:rPr>
          <w:rFonts w:cs="Helvetica"/>
          <w:color w:val="595959"/>
          <w:szCs w:val="20"/>
          <w:lang w:eastAsia="en-GB"/>
        </w:rPr>
        <w:t xml:space="preserve">modelled in </w:t>
      </w:r>
      <w:r w:rsidR="00406E9F" w:rsidRPr="00EC481B">
        <w:rPr>
          <w:rFonts w:cs="Helvetica"/>
          <w:color w:val="595959"/>
          <w:szCs w:val="20"/>
          <w:lang w:eastAsia="en-GB"/>
        </w:rPr>
        <w:t xml:space="preserve">GaBi </w:t>
      </w:r>
      <w:r w:rsidR="00103BED">
        <w:rPr>
          <w:rFonts w:cs="Helvetica"/>
          <w:color w:val="595959"/>
          <w:szCs w:val="20"/>
          <w:lang w:eastAsia="en-GB"/>
        </w:rPr>
        <w:t xml:space="preserve">version </w:t>
      </w:r>
      <w:r w:rsidR="00D03AD3">
        <w:rPr>
          <w:rFonts w:cs="Helvetica"/>
          <w:color w:val="595959"/>
          <w:szCs w:val="20"/>
          <w:lang w:eastAsia="en-GB"/>
        </w:rPr>
        <w:t>2022</w:t>
      </w:r>
      <w:r w:rsidR="00103BED">
        <w:rPr>
          <w:rFonts w:cs="Helvetica"/>
          <w:color w:val="595959"/>
          <w:szCs w:val="20"/>
          <w:lang w:eastAsia="en-GB"/>
        </w:rPr>
        <w:t>.2</w:t>
      </w:r>
      <w:r w:rsidR="00362A29" w:rsidRPr="00EC481B">
        <w:rPr>
          <w:rFonts w:cs="Helvetica"/>
          <w:color w:val="595959"/>
          <w:szCs w:val="20"/>
          <w:lang w:eastAsia="en-GB"/>
        </w:rPr>
        <w:t xml:space="preserve"> </w:t>
      </w:r>
      <w:r w:rsidR="00DA462C" w:rsidRPr="00EC481B">
        <w:rPr>
          <w:rFonts w:cs="Helvetica"/>
          <w:color w:val="595959"/>
          <w:szCs w:val="20"/>
          <w:lang w:eastAsia="en-GB"/>
        </w:rPr>
        <w:t>(</w:t>
      </w:r>
      <w:r w:rsidR="00DA462C">
        <w:rPr>
          <w:rFonts w:cs="Helvetica"/>
          <w:color w:val="595959"/>
          <w:szCs w:val="20"/>
          <w:lang w:eastAsia="en-GB"/>
        </w:rPr>
        <w:t>using the global dataset)</w:t>
      </w:r>
      <w:r w:rsidR="009831A3">
        <w:rPr>
          <w:rFonts w:cs="Helvetica"/>
          <w:color w:val="595959"/>
          <w:szCs w:val="20"/>
          <w:lang w:eastAsia="en-GB"/>
        </w:rPr>
        <w:t xml:space="preserve">.  </w:t>
      </w:r>
      <w:r w:rsidR="00DA462C">
        <w:rPr>
          <w:rFonts w:cs="Helvetica"/>
          <w:color w:val="595959"/>
          <w:szCs w:val="20"/>
          <w:lang w:eastAsia="en-GB"/>
        </w:rPr>
        <w:t>Electrolysis process impact</w:t>
      </w:r>
      <w:r w:rsidR="00315052">
        <w:rPr>
          <w:rFonts w:cs="Helvetica"/>
          <w:color w:val="595959"/>
          <w:szCs w:val="20"/>
          <w:lang w:eastAsia="en-GB"/>
        </w:rPr>
        <w:t>s</w:t>
      </w:r>
      <w:r w:rsidR="00DA462C">
        <w:rPr>
          <w:rFonts w:cs="Helvetica"/>
          <w:color w:val="595959"/>
          <w:szCs w:val="20"/>
          <w:lang w:eastAsia="en-GB"/>
        </w:rPr>
        <w:t xml:space="preserve"> from</w:t>
      </w:r>
      <w:r w:rsidR="00DA462C" w:rsidRPr="000A40E2">
        <w:rPr>
          <w:rFonts w:cs="Helvetica"/>
          <w:color w:val="595959"/>
          <w:szCs w:val="20"/>
          <w:lang w:eastAsia="en-GB"/>
        </w:rPr>
        <w:t xml:space="preserve"> </w:t>
      </w:r>
      <w:proofErr w:type="spellStart"/>
      <w:r w:rsidR="0010194B" w:rsidRPr="000D0304">
        <w:rPr>
          <w:rFonts w:cs="Helvetica"/>
          <w:color w:val="595959"/>
          <w:szCs w:val="20"/>
          <w:lang w:eastAsia="en-GB"/>
        </w:rPr>
        <w:t>Søderberg</w:t>
      </w:r>
      <w:proofErr w:type="spellEnd"/>
      <w:r w:rsidR="00073AC3" w:rsidRPr="000D0304">
        <w:rPr>
          <w:rFonts w:cs="Helvetica"/>
          <w:color w:val="595959"/>
          <w:szCs w:val="20"/>
          <w:lang w:eastAsia="en-GB"/>
        </w:rPr>
        <w:t xml:space="preserve"> </w:t>
      </w:r>
      <w:r w:rsidR="00DA462C">
        <w:rPr>
          <w:rFonts w:cs="Helvetica"/>
          <w:color w:val="595959"/>
          <w:szCs w:val="20"/>
          <w:lang w:eastAsia="en-GB"/>
        </w:rPr>
        <w:t xml:space="preserve">technology </w:t>
      </w:r>
      <w:r w:rsidR="00315052">
        <w:rPr>
          <w:rFonts w:cs="Helvetica"/>
          <w:color w:val="595959"/>
          <w:szCs w:val="20"/>
          <w:lang w:eastAsia="en-GB"/>
        </w:rPr>
        <w:t xml:space="preserve">are </w:t>
      </w:r>
      <w:r w:rsidR="00073AC3" w:rsidRPr="000D0304">
        <w:rPr>
          <w:rFonts w:cs="Helvetica"/>
          <w:color w:val="595959"/>
          <w:szCs w:val="20"/>
          <w:lang w:eastAsia="en-GB"/>
        </w:rPr>
        <w:t>only modelled at the global level</w:t>
      </w:r>
      <w:r w:rsidR="009831A3">
        <w:rPr>
          <w:rFonts w:cs="Helvetica"/>
          <w:color w:val="595959"/>
          <w:szCs w:val="20"/>
          <w:lang w:eastAsia="en-GB"/>
        </w:rPr>
        <w:t xml:space="preserve">.  </w:t>
      </w:r>
      <w:r w:rsidR="00073AC3" w:rsidRPr="000D0304">
        <w:rPr>
          <w:rFonts w:cs="Helvetica"/>
          <w:color w:val="595959"/>
          <w:szCs w:val="20"/>
          <w:lang w:eastAsia="en-GB"/>
        </w:rPr>
        <w:t xml:space="preserve">As discussed in </w:t>
      </w:r>
      <w:r w:rsidR="00315052" w:rsidRPr="00315052">
        <w:rPr>
          <w:rFonts w:cs="Helvetica"/>
          <w:color w:val="595959"/>
          <w:szCs w:val="20"/>
          <w:lang w:eastAsia="en-GB"/>
        </w:rPr>
        <w:t>S</w:t>
      </w:r>
      <w:r w:rsidR="00DA462C" w:rsidRPr="00315052">
        <w:rPr>
          <w:rFonts w:cs="Helvetica"/>
          <w:color w:val="595959"/>
          <w:szCs w:val="20"/>
          <w:lang w:eastAsia="en-GB"/>
        </w:rPr>
        <w:t xml:space="preserve">ection </w:t>
      </w:r>
      <w:r w:rsidR="00315052">
        <w:rPr>
          <w:rFonts w:cs="Helvetica"/>
          <w:color w:val="595959"/>
          <w:szCs w:val="20"/>
          <w:lang w:eastAsia="en-GB"/>
        </w:rPr>
        <w:t>2.8</w:t>
      </w:r>
      <w:r w:rsidR="00073AC3" w:rsidRPr="000D0304">
        <w:rPr>
          <w:rFonts w:cs="Helvetica"/>
          <w:color w:val="595959"/>
          <w:szCs w:val="20"/>
          <w:lang w:eastAsia="en-GB"/>
        </w:rPr>
        <w:t xml:space="preserve">, </w:t>
      </w:r>
      <w:proofErr w:type="spellStart"/>
      <w:r w:rsidR="0010194B" w:rsidRPr="000D0304">
        <w:rPr>
          <w:rFonts w:cs="Helvetica"/>
          <w:color w:val="595959"/>
          <w:szCs w:val="20"/>
          <w:lang w:eastAsia="en-GB"/>
        </w:rPr>
        <w:t>Søderberg</w:t>
      </w:r>
      <w:proofErr w:type="spellEnd"/>
      <w:r w:rsidR="00073AC3" w:rsidRPr="000D0304">
        <w:rPr>
          <w:rFonts w:cs="Helvetica"/>
          <w:color w:val="595959"/>
          <w:szCs w:val="20"/>
          <w:lang w:eastAsia="en-GB"/>
        </w:rPr>
        <w:t xml:space="preserve"> </w:t>
      </w:r>
      <w:r w:rsidR="00DD5397">
        <w:rPr>
          <w:rFonts w:cs="Helvetica"/>
          <w:color w:val="595959"/>
          <w:szCs w:val="20"/>
          <w:lang w:eastAsia="en-GB"/>
        </w:rPr>
        <w:t>smelter output</w:t>
      </w:r>
      <w:r w:rsidR="00DD5397" w:rsidRPr="000D0304">
        <w:rPr>
          <w:rFonts w:cs="Helvetica"/>
          <w:color w:val="595959"/>
          <w:szCs w:val="20"/>
          <w:lang w:eastAsia="en-GB"/>
        </w:rPr>
        <w:t xml:space="preserve"> </w:t>
      </w:r>
      <w:r w:rsidR="00073AC3" w:rsidRPr="000D0304">
        <w:rPr>
          <w:rFonts w:cs="Helvetica"/>
          <w:color w:val="595959"/>
          <w:szCs w:val="20"/>
          <w:lang w:eastAsia="en-GB"/>
        </w:rPr>
        <w:t xml:space="preserve">only accounted for 5% of global production in </w:t>
      </w:r>
      <w:r w:rsidR="00362A29" w:rsidRPr="000D0304">
        <w:rPr>
          <w:rFonts w:cs="Helvetica"/>
          <w:color w:val="595959"/>
          <w:szCs w:val="20"/>
          <w:lang w:eastAsia="en-GB"/>
        </w:rPr>
        <w:t>201</w:t>
      </w:r>
      <w:r w:rsidR="00362A29">
        <w:rPr>
          <w:rFonts w:cs="Helvetica"/>
          <w:color w:val="595959"/>
          <w:szCs w:val="20"/>
          <w:lang w:eastAsia="en-GB"/>
        </w:rPr>
        <w:t xml:space="preserve">9 </w:t>
      </w:r>
      <w:r w:rsidR="00DD5397">
        <w:rPr>
          <w:rFonts w:cs="Helvetica"/>
          <w:color w:val="595959"/>
          <w:szCs w:val="20"/>
          <w:lang w:eastAsia="en-GB"/>
        </w:rPr>
        <w:t xml:space="preserve">and so </w:t>
      </w:r>
      <w:r w:rsidR="00073AC3" w:rsidRPr="000D0304">
        <w:rPr>
          <w:rFonts w:cs="Helvetica"/>
          <w:color w:val="595959"/>
          <w:szCs w:val="20"/>
          <w:lang w:eastAsia="en-GB"/>
        </w:rPr>
        <w:t xml:space="preserve">data </w:t>
      </w:r>
      <w:r w:rsidR="00DD5397">
        <w:rPr>
          <w:rFonts w:cs="Helvetica"/>
          <w:color w:val="595959"/>
          <w:szCs w:val="20"/>
          <w:lang w:eastAsia="en-GB"/>
        </w:rPr>
        <w:t>ha</w:t>
      </w:r>
      <w:r w:rsidR="00406E9F">
        <w:rPr>
          <w:rFonts w:cs="Helvetica"/>
          <w:color w:val="595959"/>
          <w:szCs w:val="20"/>
          <w:lang w:eastAsia="en-GB"/>
        </w:rPr>
        <w:t>ve</w:t>
      </w:r>
      <w:r w:rsidR="00DD5397">
        <w:rPr>
          <w:rFonts w:cs="Helvetica"/>
          <w:color w:val="595959"/>
          <w:szCs w:val="20"/>
          <w:lang w:eastAsia="en-GB"/>
        </w:rPr>
        <w:t xml:space="preserve"> </w:t>
      </w:r>
      <w:r w:rsidR="00073AC3" w:rsidRPr="000D0304">
        <w:rPr>
          <w:rFonts w:cs="Helvetica"/>
          <w:color w:val="595959"/>
          <w:szCs w:val="20"/>
          <w:lang w:eastAsia="en-GB"/>
        </w:rPr>
        <w:t xml:space="preserve">not </w:t>
      </w:r>
      <w:r w:rsidR="00DD5397">
        <w:rPr>
          <w:rFonts w:cs="Helvetica"/>
          <w:color w:val="595959"/>
          <w:szCs w:val="20"/>
          <w:lang w:eastAsia="en-GB"/>
        </w:rPr>
        <w:t xml:space="preserve">been </w:t>
      </w:r>
      <w:r w:rsidR="00073AC3" w:rsidRPr="000D0304">
        <w:rPr>
          <w:rFonts w:cs="Helvetica"/>
          <w:color w:val="595959"/>
          <w:szCs w:val="20"/>
          <w:lang w:eastAsia="en-GB"/>
        </w:rPr>
        <w:t>disaggregated in the regional datasets to maintain reporter confidentiality</w:t>
      </w:r>
      <w:r w:rsidR="009831A3">
        <w:rPr>
          <w:rFonts w:cs="Helvetica"/>
          <w:color w:val="595959"/>
          <w:szCs w:val="20"/>
          <w:lang w:eastAsia="en-GB"/>
        </w:rPr>
        <w:t xml:space="preserve">.  </w:t>
      </w:r>
    </w:p>
    <w:p w14:paraId="70215BCC" w14:textId="77777777" w:rsidR="00CF4B90" w:rsidRDefault="00CF4B90">
      <w:pPr>
        <w:autoSpaceDE w:val="0"/>
        <w:autoSpaceDN w:val="0"/>
        <w:adjustRightInd w:val="0"/>
        <w:spacing w:after="0" w:line="312" w:lineRule="auto"/>
        <w:jc w:val="both"/>
        <w:rPr>
          <w:rFonts w:cs="Helvetica"/>
          <w:color w:val="595959"/>
          <w:szCs w:val="20"/>
          <w:lang w:eastAsia="en-GB"/>
        </w:rPr>
      </w:pPr>
    </w:p>
    <w:p w14:paraId="4ACB9C24" w14:textId="3BCC1F2E" w:rsidR="00CF4B90" w:rsidRPr="005F0AA8" w:rsidRDefault="00CF4B90" w:rsidP="00CF4B90">
      <w:pPr>
        <w:autoSpaceDE w:val="0"/>
        <w:autoSpaceDN w:val="0"/>
        <w:adjustRightInd w:val="0"/>
        <w:spacing w:after="0" w:line="312" w:lineRule="auto"/>
        <w:jc w:val="both"/>
        <w:rPr>
          <w:rFonts w:cs="Helvetica"/>
          <w:color w:val="595959"/>
          <w:szCs w:val="20"/>
          <w:lang w:eastAsia="en-GB"/>
        </w:rPr>
      </w:pPr>
      <w:r w:rsidRPr="005F0AA8">
        <w:rPr>
          <w:rFonts w:cs="Helvetica"/>
          <w:color w:val="595959"/>
          <w:szCs w:val="20"/>
          <w:lang w:eastAsia="en-GB"/>
        </w:rPr>
        <w:t xml:space="preserve">In addition to the inventory data related to the aluminium processes collected as part of the IAI surveys, background datasets related to auxiliary processes </w:t>
      </w:r>
      <w:r w:rsidR="00DD5397">
        <w:rPr>
          <w:rFonts w:cs="Helvetica"/>
          <w:color w:val="595959"/>
          <w:szCs w:val="20"/>
          <w:lang w:eastAsia="en-GB"/>
        </w:rPr>
        <w:t>are</w:t>
      </w:r>
      <w:r w:rsidRPr="005F0AA8">
        <w:rPr>
          <w:rFonts w:cs="Helvetica"/>
          <w:color w:val="595959"/>
          <w:szCs w:val="20"/>
          <w:lang w:eastAsia="en-GB"/>
        </w:rPr>
        <w:t xml:space="preserve"> integrated and updated in the model</w:t>
      </w:r>
      <w:r>
        <w:rPr>
          <w:rFonts w:cs="Helvetica"/>
          <w:color w:val="595959"/>
          <w:szCs w:val="20"/>
          <w:lang w:eastAsia="en-GB"/>
        </w:rPr>
        <w:t xml:space="preserve">.  </w:t>
      </w:r>
      <w:r w:rsidRPr="005F0AA8">
        <w:rPr>
          <w:rFonts w:cs="Helvetica"/>
          <w:color w:val="595959"/>
          <w:szCs w:val="20"/>
          <w:lang w:eastAsia="en-GB"/>
        </w:rPr>
        <w:t xml:space="preserve">These datasets are </w:t>
      </w:r>
      <w:r w:rsidRPr="00EC481B">
        <w:rPr>
          <w:rFonts w:cs="Helvetica"/>
          <w:color w:val="595959"/>
          <w:szCs w:val="20"/>
          <w:lang w:eastAsia="en-GB"/>
        </w:rPr>
        <w:t>inclu</w:t>
      </w:r>
      <w:r w:rsidR="00406E9F" w:rsidRPr="00EC481B">
        <w:rPr>
          <w:rFonts w:cs="Helvetica"/>
          <w:color w:val="595959"/>
          <w:szCs w:val="20"/>
          <w:lang w:eastAsia="en-GB"/>
        </w:rPr>
        <w:t xml:space="preserve">ded in GaBi </w:t>
      </w:r>
      <w:r w:rsidR="0099595A">
        <w:rPr>
          <w:rFonts w:cs="Helvetica"/>
          <w:color w:val="595959"/>
          <w:szCs w:val="20"/>
          <w:lang w:eastAsia="en-GB"/>
        </w:rPr>
        <w:t xml:space="preserve">version </w:t>
      </w:r>
      <w:r w:rsidR="00D03AD3">
        <w:rPr>
          <w:rFonts w:cs="Helvetica"/>
          <w:color w:val="595959"/>
          <w:szCs w:val="20"/>
          <w:lang w:eastAsia="en-GB"/>
        </w:rPr>
        <w:t>2022</w:t>
      </w:r>
      <w:r w:rsidR="0099595A">
        <w:rPr>
          <w:rFonts w:cs="Helvetica"/>
          <w:color w:val="595959"/>
          <w:szCs w:val="20"/>
          <w:lang w:eastAsia="en-GB"/>
        </w:rPr>
        <w:t>.2</w:t>
      </w:r>
      <w:r w:rsidR="0099595A" w:rsidRPr="00EC481B">
        <w:rPr>
          <w:rFonts w:cs="Helvetica"/>
          <w:color w:val="595959"/>
          <w:szCs w:val="20"/>
          <w:lang w:eastAsia="en-GB"/>
        </w:rPr>
        <w:t xml:space="preserve"> </w:t>
      </w:r>
      <w:r w:rsidRPr="00EC481B">
        <w:rPr>
          <w:rFonts w:cs="Helvetica"/>
          <w:color w:val="595959"/>
          <w:szCs w:val="20"/>
          <w:lang w:eastAsia="en-GB"/>
        </w:rPr>
        <w:t>and</w:t>
      </w:r>
      <w:r w:rsidRPr="005F0AA8">
        <w:rPr>
          <w:rFonts w:cs="Helvetica"/>
          <w:color w:val="595959"/>
          <w:szCs w:val="20"/>
          <w:lang w:eastAsia="en-GB"/>
        </w:rPr>
        <w:t xml:space="preserve"> include:</w:t>
      </w:r>
    </w:p>
    <w:p w14:paraId="0031F4D0" w14:textId="279DA4E7" w:rsidR="00CF4B90" w:rsidRDefault="00CF4B90" w:rsidP="000D0304">
      <w:pPr>
        <w:pStyle w:val="ListParagraph"/>
        <w:numPr>
          <w:ilvl w:val="0"/>
          <w:numId w:val="65"/>
        </w:numPr>
        <w:spacing w:after="0" w:line="312" w:lineRule="auto"/>
        <w:rPr>
          <w:rFonts w:cs="Helvetica"/>
          <w:color w:val="595959"/>
          <w:szCs w:val="20"/>
          <w:lang w:eastAsia="en-GB"/>
        </w:rPr>
      </w:pPr>
      <w:r w:rsidRPr="005F0AA8">
        <w:rPr>
          <w:rFonts w:cs="Helvetica"/>
          <w:color w:val="595959"/>
          <w:szCs w:val="20"/>
          <w:lang w:eastAsia="en-GB"/>
        </w:rPr>
        <w:t>Limestone production (</w:t>
      </w:r>
      <w:r w:rsidR="006525B0">
        <w:rPr>
          <w:rFonts w:cs="Helvetica"/>
          <w:color w:val="595959"/>
          <w:szCs w:val="20"/>
          <w:lang w:eastAsia="en-GB"/>
        </w:rPr>
        <w:t>EU-28</w:t>
      </w:r>
      <w:r w:rsidRPr="005F0AA8">
        <w:rPr>
          <w:rFonts w:cs="Helvetica"/>
          <w:color w:val="595959"/>
          <w:szCs w:val="20"/>
          <w:lang w:eastAsia="en-GB"/>
        </w:rPr>
        <w:t xml:space="preserve">, </w:t>
      </w:r>
      <w:r w:rsidR="00D03AD3" w:rsidRPr="005F0AA8">
        <w:rPr>
          <w:rFonts w:cs="Helvetica"/>
          <w:color w:val="595959"/>
          <w:szCs w:val="20"/>
          <w:lang w:eastAsia="en-GB"/>
        </w:rPr>
        <w:t>20</w:t>
      </w:r>
      <w:r w:rsidR="00D03AD3">
        <w:rPr>
          <w:rFonts w:cs="Helvetica"/>
          <w:color w:val="595959"/>
          <w:szCs w:val="20"/>
          <w:lang w:eastAsia="en-GB"/>
        </w:rPr>
        <w:t>21</w:t>
      </w:r>
      <w:r w:rsidRPr="005F0AA8">
        <w:rPr>
          <w:rFonts w:cs="Helvetica"/>
          <w:color w:val="595959"/>
          <w:szCs w:val="20"/>
          <w:lang w:eastAsia="en-GB"/>
        </w:rPr>
        <w:t>)</w:t>
      </w:r>
    </w:p>
    <w:p w14:paraId="178979FA" w14:textId="5F1A0C96" w:rsidR="00CF4B90" w:rsidRDefault="00CF4B90" w:rsidP="000D0304">
      <w:pPr>
        <w:pStyle w:val="ListParagraph"/>
        <w:numPr>
          <w:ilvl w:val="0"/>
          <w:numId w:val="65"/>
        </w:numPr>
        <w:spacing w:after="0" w:line="312" w:lineRule="auto"/>
        <w:rPr>
          <w:rFonts w:cs="Helvetica"/>
          <w:color w:val="595959"/>
          <w:szCs w:val="20"/>
          <w:lang w:eastAsia="en-GB"/>
        </w:rPr>
      </w:pPr>
      <w:r w:rsidRPr="005F0AA8">
        <w:rPr>
          <w:rFonts w:cs="Helvetica"/>
          <w:color w:val="595959"/>
          <w:szCs w:val="20"/>
          <w:lang w:eastAsia="en-GB"/>
        </w:rPr>
        <w:t>Caustic soda production (</w:t>
      </w:r>
      <w:r w:rsidR="006525B0">
        <w:rPr>
          <w:rFonts w:cs="Helvetica"/>
          <w:color w:val="595959"/>
          <w:szCs w:val="20"/>
          <w:lang w:eastAsia="en-GB"/>
        </w:rPr>
        <w:t>EU-28</w:t>
      </w:r>
      <w:r w:rsidR="006525B0" w:rsidRPr="005F0AA8">
        <w:rPr>
          <w:rFonts w:cs="Helvetica"/>
          <w:color w:val="595959"/>
          <w:szCs w:val="20"/>
          <w:lang w:eastAsia="en-GB"/>
        </w:rPr>
        <w:t xml:space="preserve">, </w:t>
      </w:r>
      <w:r w:rsidR="00D03AD3" w:rsidRPr="005F0AA8">
        <w:rPr>
          <w:rFonts w:cs="Helvetica"/>
          <w:color w:val="595959"/>
          <w:szCs w:val="20"/>
          <w:lang w:eastAsia="en-GB"/>
        </w:rPr>
        <w:t>20</w:t>
      </w:r>
      <w:r w:rsidR="00D03AD3">
        <w:rPr>
          <w:rFonts w:cs="Helvetica"/>
          <w:color w:val="595959"/>
          <w:szCs w:val="20"/>
          <w:lang w:eastAsia="en-GB"/>
        </w:rPr>
        <w:t>21</w:t>
      </w:r>
      <w:r w:rsidRPr="005F0AA8">
        <w:rPr>
          <w:rFonts w:cs="Helvetica"/>
          <w:color w:val="595959"/>
          <w:szCs w:val="20"/>
          <w:lang w:eastAsia="en-GB"/>
        </w:rPr>
        <w:t>)</w:t>
      </w:r>
    </w:p>
    <w:p w14:paraId="101917F5" w14:textId="7BB4C573" w:rsidR="00CF4B90" w:rsidRDefault="006525B0" w:rsidP="000D0304">
      <w:pPr>
        <w:pStyle w:val="ListParagraph"/>
        <w:numPr>
          <w:ilvl w:val="0"/>
          <w:numId w:val="65"/>
        </w:numPr>
        <w:spacing w:after="0" w:line="312" w:lineRule="auto"/>
        <w:rPr>
          <w:rFonts w:cs="Helvetica"/>
          <w:color w:val="595959"/>
          <w:szCs w:val="20"/>
          <w:lang w:eastAsia="en-GB"/>
        </w:rPr>
      </w:pPr>
      <w:r>
        <w:rPr>
          <w:rFonts w:cs="Helvetica"/>
          <w:color w:val="595959"/>
          <w:szCs w:val="20"/>
          <w:lang w:eastAsia="en-GB"/>
        </w:rPr>
        <w:t>C</w:t>
      </w:r>
      <w:r w:rsidRPr="006525B0">
        <w:rPr>
          <w:rFonts w:cs="Helvetica"/>
          <w:color w:val="595959"/>
          <w:szCs w:val="20"/>
          <w:lang w:eastAsia="en-GB"/>
        </w:rPr>
        <w:t>alcined petrol</w:t>
      </w:r>
      <w:r w:rsidR="00F022AA">
        <w:rPr>
          <w:rFonts w:cs="Helvetica"/>
          <w:color w:val="595959"/>
          <w:szCs w:val="20"/>
          <w:lang w:eastAsia="en-GB"/>
        </w:rPr>
        <w:t>eum</w:t>
      </w:r>
      <w:r w:rsidRPr="006525B0">
        <w:rPr>
          <w:rFonts w:cs="Helvetica"/>
          <w:color w:val="595959"/>
          <w:szCs w:val="20"/>
          <w:lang w:eastAsia="en-GB"/>
        </w:rPr>
        <w:t xml:space="preserve"> coke</w:t>
      </w:r>
      <w:r w:rsidR="00213730">
        <w:rPr>
          <w:rFonts w:cs="Helvetica"/>
          <w:color w:val="595959"/>
          <w:szCs w:val="20"/>
          <w:lang w:eastAsia="en-GB"/>
        </w:rPr>
        <w:t xml:space="preserve"> </w:t>
      </w:r>
      <w:r w:rsidR="00CF4B90" w:rsidRPr="005F0AA8">
        <w:rPr>
          <w:rFonts w:cs="Helvetica"/>
          <w:color w:val="595959"/>
          <w:szCs w:val="20"/>
          <w:lang w:eastAsia="en-GB"/>
        </w:rPr>
        <w:t xml:space="preserve">production (EU28, </w:t>
      </w:r>
      <w:r w:rsidR="00D03AD3" w:rsidRPr="005F0AA8">
        <w:rPr>
          <w:rFonts w:cs="Helvetica"/>
          <w:color w:val="595959"/>
          <w:szCs w:val="20"/>
          <w:lang w:eastAsia="en-GB"/>
        </w:rPr>
        <w:t>20</w:t>
      </w:r>
      <w:r w:rsidR="00D03AD3">
        <w:rPr>
          <w:rFonts w:cs="Helvetica"/>
          <w:color w:val="595959"/>
          <w:szCs w:val="20"/>
          <w:lang w:eastAsia="en-GB"/>
        </w:rPr>
        <w:t>21</w:t>
      </w:r>
      <w:r w:rsidR="00315052">
        <w:rPr>
          <w:rFonts w:cs="Helvetica"/>
          <w:color w:val="595959"/>
          <w:szCs w:val="20"/>
          <w:lang w:eastAsia="en-GB"/>
        </w:rPr>
        <w:t>)</w:t>
      </w:r>
    </w:p>
    <w:p w14:paraId="2DB8D353" w14:textId="0E983B70" w:rsidR="00CF4B90" w:rsidRDefault="00CF4B90" w:rsidP="000D0304">
      <w:pPr>
        <w:pStyle w:val="ListParagraph"/>
        <w:numPr>
          <w:ilvl w:val="0"/>
          <w:numId w:val="65"/>
        </w:numPr>
        <w:spacing w:after="0" w:line="312" w:lineRule="auto"/>
        <w:rPr>
          <w:rFonts w:cs="Helvetica"/>
          <w:color w:val="595959"/>
          <w:szCs w:val="20"/>
          <w:lang w:eastAsia="en-GB"/>
        </w:rPr>
      </w:pPr>
      <w:r w:rsidRPr="005F0AA8">
        <w:rPr>
          <w:rFonts w:cs="Helvetica"/>
          <w:color w:val="595959"/>
          <w:szCs w:val="20"/>
          <w:lang w:eastAsia="en-GB"/>
        </w:rPr>
        <w:t xml:space="preserve">Pitch production (DE, </w:t>
      </w:r>
      <w:r w:rsidR="00D03AD3" w:rsidRPr="005F0AA8">
        <w:rPr>
          <w:rFonts w:cs="Helvetica"/>
          <w:color w:val="595959"/>
          <w:szCs w:val="20"/>
          <w:lang w:eastAsia="en-GB"/>
        </w:rPr>
        <w:t>20</w:t>
      </w:r>
      <w:r w:rsidR="00D03AD3">
        <w:rPr>
          <w:rFonts w:cs="Helvetica"/>
          <w:color w:val="595959"/>
          <w:szCs w:val="20"/>
          <w:lang w:eastAsia="en-GB"/>
        </w:rPr>
        <w:t>21</w:t>
      </w:r>
      <w:r w:rsidRPr="005F0AA8">
        <w:rPr>
          <w:rFonts w:cs="Helvetica"/>
          <w:color w:val="595959"/>
          <w:szCs w:val="20"/>
          <w:lang w:eastAsia="en-GB"/>
        </w:rPr>
        <w:t>)</w:t>
      </w:r>
    </w:p>
    <w:p w14:paraId="5E63C90F" w14:textId="21B2D843" w:rsidR="006525B0" w:rsidRDefault="007413AD" w:rsidP="000D0304">
      <w:pPr>
        <w:pStyle w:val="ListParagraph"/>
        <w:numPr>
          <w:ilvl w:val="0"/>
          <w:numId w:val="65"/>
        </w:numPr>
        <w:spacing w:after="0" w:line="312" w:lineRule="auto"/>
        <w:rPr>
          <w:rFonts w:cs="Helvetica"/>
          <w:color w:val="595959"/>
          <w:szCs w:val="20"/>
          <w:lang w:eastAsia="en-GB"/>
        </w:rPr>
      </w:pPr>
      <w:r>
        <w:rPr>
          <w:rFonts w:cs="Helvetica"/>
          <w:color w:val="595959"/>
          <w:szCs w:val="20"/>
          <w:lang w:eastAsia="en-GB"/>
        </w:rPr>
        <w:t>Aluminium</w:t>
      </w:r>
      <w:r w:rsidR="006525B0">
        <w:rPr>
          <w:rFonts w:cs="Helvetica"/>
          <w:color w:val="595959"/>
          <w:szCs w:val="20"/>
          <w:lang w:eastAsia="en-GB"/>
        </w:rPr>
        <w:t xml:space="preserve"> Fluoride</w:t>
      </w:r>
      <w:r w:rsidR="006525B0" w:rsidRPr="006525B0">
        <w:rPr>
          <w:rFonts w:cs="Helvetica"/>
          <w:color w:val="595959"/>
          <w:szCs w:val="20"/>
          <w:lang w:eastAsia="en-GB"/>
        </w:rPr>
        <w:t xml:space="preserve"> </w:t>
      </w:r>
      <w:r w:rsidR="006525B0" w:rsidRPr="005F0AA8">
        <w:rPr>
          <w:rFonts w:cs="Helvetica"/>
          <w:color w:val="595959"/>
          <w:szCs w:val="20"/>
          <w:lang w:eastAsia="en-GB"/>
        </w:rPr>
        <w:t xml:space="preserve">production (EU28, </w:t>
      </w:r>
      <w:r w:rsidR="00D03AD3" w:rsidRPr="005F0AA8">
        <w:rPr>
          <w:rFonts w:cs="Helvetica"/>
          <w:color w:val="595959"/>
          <w:szCs w:val="20"/>
          <w:lang w:eastAsia="en-GB"/>
        </w:rPr>
        <w:t>20</w:t>
      </w:r>
      <w:r w:rsidR="00D03AD3">
        <w:rPr>
          <w:rFonts w:cs="Helvetica"/>
          <w:color w:val="595959"/>
          <w:szCs w:val="20"/>
          <w:lang w:eastAsia="en-GB"/>
        </w:rPr>
        <w:t>21</w:t>
      </w:r>
      <w:r w:rsidR="006525B0">
        <w:rPr>
          <w:rFonts w:cs="Helvetica"/>
          <w:color w:val="595959"/>
          <w:szCs w:val="20"/>
          <w:lang w:eastAsia="en-GB"/>
        </w:rPr>
        <w:t>)</w:t>
      </w:r>
    </w:p>
    <w:p w14:paraId="268FE177" w14:textId="58304F5D" w:rsidR="00CF4B90" w:rsidRDefault="00CF4B90" w:rsidP="000D0304">
      <w:pPr>
        <w:pStyle w:val="ListParagraph"/>
        <w:numPr>
          <w:ilvl w:val="0"/>
          <w:numId w:val="65"/>
        </w:numPr>
        <w:spacing w:after="0" w:line="312" w:lineRule="auto"/>
        <w:rPr>
          <w:rFonts w:cs="Helvetica"/>
          <w:color w:val="595959"/>
          <w:szCs w:val="20"/>
          <w:lang w:eastAsia="en-GB"/>
        </w:rPr>
      </w:pPr>
      <w:r w:rsidRPr="005F0AA8">
        <w:rPr>
          <w:rFonts w:cs="Helvetica"/>
          <w:color w:val="595959"/>
          <w:szCs w:val="20"/>
          <w:lang w:eastAsia="en-GB"/>
        </w:rPr>
        <w:t>Electricity and fuel supply systems (</w:t>
      </w:r>
      <w:r w:rsidR="00D03AD3" w:rsidRPr="005F0AA8">
        <w:rPr>
          <w:rFonts w:cs="Helvetica"/>
          <w:color w:val="595959"/>
          <w:szCs w:val="20"/>
          <w:lang w:eastAsia="en-GB"/>
        </w:rPr>
        <w:t>201</w:t>
      </w:r>
      <w:r w:rsidR="00D03AD3">
        <w:rPr>
          <w:rFonts w:cs="Helvetica"/>
          <w:color w:val="595959"/>
          <w:szCs w:val="20"/>
          <w:lang w:eastAsia="en-GB"/>
        </w:rPr>
        <w:t>8</w:t>
      </w:r>
      <w:r w:rsidRPr="005F0AA8">
        <w:rPr>
          <w:rFonts w:cs="Helvetica"/>
          <w:color w:val="595959"/>
          <w:szCs w:val="20"/>
          <w:lang w:eastAsia="en-GB"/>
        </w:rPr>
        <w:t>)</w:t>
      </w:r>
    </w:p>
    <w:p w14:paraId="78C954C3" w14:textId="484CE868" w:rsidR="00CF4B90" w:rsidRPr="000D0304" w:rsidRDefault="00CF4B90" w:rsidP="000D0304">
      <w:pPr>
        <w:pStyle w:val="ListParagraph"/>
        <w:numPr>
          <w:ilvl w:val="0"/>
          <w:numId w:val="65"/>
        </w:numPr>
        <w:autoSpaceDE w:val="0"/>
        <w:autoSpaceDN w:val="0"/>
        <w:adjustRightInd w:val="0"/>
        <w:spacing w:after="0" w:line="312" w:lineRule="auto"/>
        <w:jc w:val="both"/>
        <w:rPr>
          <w:rFonts w:cs="Helvetica"/>
          <w:color w:val="595959"/>
          <w:szCs w:val="20"/>
          <w:lang w:eastAsia="en-GB"/>
        </w:rPr>
      </w:pPr>
      <w:r w:rsidRPr="000D0304">
        <w:rPr>
          <w:rFonts w:cs="Helvetica"/>
          <w:color w:val="595959"/>
          <w:szCs w:val="20"/>
          <w:lang w:eastAsia="en-GB"/>
        </w:rPr>
        <w:t xml:space="preserve">Transportation (GLO, </w:t>
      </w:r>
      <w:r w:rsidR="00D03AD3" w:rsidRPr="000D0304">
        <w:rPr>
          <w:rFonts w:cs="Helvetica"/>
          <w:color w:val="595959"/>
          <w:szCs w:val="20"/>
          <w:lang w:eastAsia="en-GB"/>
        </w:rPr>
        <w:t>20</w:t>
      </w:r>
      <w:r w:rsidR="00D03AD3">
        <w:rPr>
          <w:rFonts w:cs="Helvetica"/>
          <w:color w:val="595959"/>
          <w:szCs w:val="20"/>
          <w:lang w:eastAsia="en-GB"/>
        </w:rPr>
        <w:t>21</w:t>
      </w:r>
      <w:r w:rsidRPr="000D0304">
        <w:rPr>
          <w:rFonts w:cs="Helvetica"/>
          <w:color w:val="595959"/>
          <w:szCs w:val="20"/>
          <w:lang w:eastAsia="en-GB"/>
        </w:rPr>
        <w:t>)</w:t>
      </w:r>
    </w:p>
    <w:p w14:paraId="5EC5C86E" w14:textId="77777777" w:rsidR="00CF4B90" w:rsidRPr="000D0304" w:rsidRDefault="00CF4B90" w:rsidP="000D0304">
      <w:pPr>
        <w:pStyle w:val="ListParagraph"/>
        <w:spacing w:after="0" w:line="312" w:lineRule="auto"/>
        <w:ind w:left="0"/>
        <w:rPr>
          <w:rFonts w:cs="Helvetica"/>
          <w:color w:val="595959"/>
          <w:szCs w:val="20"/>
          <w:lang w:eastAsia="en-GB"/>
        </w:rPr>
      </w:pPr>
    </w:p>
    <w:p w14:paraId="64A70D15" w14:textId="77777777" w:rsidR="00CF4B90" w:rsidRPr="000D0304" w:rsidRDefault="00CF4B90">
      <w:pPr>
        <w:spacing w:after="0"/>
        <w:rPr>
          <w:rFonts w:cs="Helvetica"/>
          <w:color w:val="595959"/>
          <w:szCs w:val="20"/>
          <w:lang w:eastAsia="en-GB"/>
        </w:rPr>
      </w:pPr>
    </w:p>
    <w:p w14:paraId="77ADD8C2" w14:textId="77777777" w:rsidR="00CF4B90" w:rsidRDefault="00CF4B90">
      <w:pPr>
        <w:spacing w:after="0"/>
        <w:rPr>
          <w:rFonts w:cs="Helvetica"/>
          <w:b/>
          <w:color w:val="595959"/>
          <w:szCs w:val="20"/>
          <w:lang w:eastAsia="en-GB"/>
        </w:rPr>
      </w:pPr>
      <w:r>
        <w:rPr>
          <w:rFonts w:cs="Helvetica"/>
          <w:b/>
          <w:color w:val="595959"/>
          <w:szCs w:val="20"/>
          <w:lang w:eastAsia="en-GB"/>
        </w:rPr>
        <w:br w:type="page"/>
      </w:r>
    </w:p>
    <w:p w14:paraId="63618D86" w14:textId="77777777" w:rsidR="00EF549B" w:rsidRDefault="00EF549B">
      <w:pPr>
        <w:spacing w:after="0" w:line="312" w:lineRule="auto"/>
        <w:contextualSpacing/>
        <w:jc w:val="center"/>
        <w:rPr>
          <w:rFonts w:cs="Helvetica"/>
          <w:b/>
          <w:color w:val="595959"/>
          <w:szCs w:val="20"/>
          <w:lang w:eastAsia="en-GB"/>
        </w:rPr>
      </w:pPr>
    </w:p>
    <w:p w14:paraId="307F420B" w14:textId="038B2C3D" w:rsidR="00CC231D" w:rsidRDefault="006525B0" w:rsidP="00CC231D">
      <w:pPr>
        <w:spacing w:after="0" w:line="312" w:lineRule="auto"/>
        <w:contextualSpacing/>
        <w:jc w:val="center"/>
        <w:rPr>
          <w:rFonts w:cs="Helvetica"/>
          <w:b/>
          <w:color w:val="595959"/>
          <w:szCs w:val="20"/>
          <w:lang w:eastAsia="en-GB"/>
        </w:rPr>
      </w:pPr>
      <w:r w:rsidRPr="006525B0">
        <w:rPr>
          <w:rFonts w:cs="Helvetica"/>
          <w:b/>
          <w:noProof/>
          <w:color w:val="595959"/>
          <w:szCs w:val="20"/>
          <w:lang w:eastAsia="en-GB"/>
        </w:rPr>
        <w:drawing>
          <wp:inline distT="0" distB="0" distL="0" distR="0" wp14:anchorId="0D2CDCDB" wp14:editId="1E69C9E7">
            <wp:extent cx="6120765" cy="5905500"/>
            <wp:effectExtent l="0" t="0" r="0" b="0"/>
            <wp:docPr id="57" name="Picture 5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imeline&#10;&#10;Description automatically generated"/>
                    <pic:cNvPicPr/>
                  </pic:nvPicPr>
                  <pic:blipFill>
                    <a:blip r:embed="rId23"/>
                    <a:stretch>
                      <a:fillRect/>
                    </a:stretch>
                  </pic:blipFill>
                  <pic:spPr>
                    <a:xfrm>
                      <a:off x="0" y="0"/>
                      <a:ext cx="6120765" cy="5905500"/>
                    </a:xfrm>
                    <a:prstGeom prst="rect">
                      <a:avLst/>
                    </a:prstGeom>
                  </pic:spPr>
                </pic:pic>
              </a:graphicData>
            </a:graphic>
          </wp:inline>
        </w:drawing>
      </w:r>
    </w:p>
    <w:p w14:paraId="1D157D36" w14:textId="77777777" w:rsidR="00DC2E77" w:rsidRPr="000D0304" w:rsidRDefault="00226B12" w:rsidP="001A5B9F">
      <w:pPr>
        <w:spacing w:before="120" w:after="0" w:line="312" w:lineRule="auto"/>
        <w:jc w:val="right"/>
        <w:rPr>
          <w:rFonts w:cs="Helvetica"/>
          <w:b/>
          <w:color w:val="595959"/>
          <w:szCs w:val="20"/>
          <w:lang w:eastAsia="en-GB"/>
        </w:rPr>
      </w:pPr>
      <w:r w:rsidRPr="000D0304">
        <w:rPr>
          <w:rFonts w:cs="Helvetica"/>
          <w:b/>
          <w:color w:val="595959"/>
          <w:szCs w:val="20"/>
          <w:lang w:eastAsia="en-GB"/>
        </w:rPr>
        <w:t xml:space="preserve">Figure </w:t>
      </w:r>
      <w:r w:rsidR="00EF549B">
        <w:rPr>
          <w:rFonts w:cs="Helvetica"/>
          <w:b/>
          <w:color w:val="595959"/>
          <w:szCs w:val="20"/>
          <w:lang w:eastAsia="en-GB"/>
        </w:rPr>
        <w:t>9</w:t>
      </w:r>
      <w:r w:rsidRPr="000D0304">
        <w:rPr>
          <w:rFonts w:cs="Helvetica"/>
          <w:b/>
          <w:color w:val="595959"/>
          <w:szCs w:val="20"/>
          <w:lang w:eastAsia="en-GB"/>
        </w:rPr>
        <w:t>:</w:t>
      </w:r>
      <w:r w:rsidR="00EF549B">
        <w:rPr>
          <w:rFonts w:cs="Helvetica"/>
          <w:b/>
          <w:color w:val="595959"/>
          <w:szCs w:val="20"/>
          <w:lang w:eastAsia="en-GB"/>
        </w:rPr>
        <w:tab/>
      </w:r>
      <w:r w:rsidRPr="000D0304">
        <w:rPr>
          <w:rFonts w:cs="Helvetica"/>
          <w:b/>
          <w:color w:val="595959"/>
          <w:szCs w:val="20"/>
          <w:lang w:eastAsia="en-GB"/>
        </w:rPr>
        <w:t>GaBi plan for global model</w:t>
      </w:r>
    </w:p>
    <w:p w14:paraId="5C713298" w14:textId="77777777" w:rsidR="00CF4B90" w:rsidRDefault="00CF4B90">
      <w:pPr>
        <w:spacing w:after="0"/>
        <w:rPr>
          <w:rFonts w:eastAsia="Times New Roman" w:cs="Helvetica"/>
          <w:i/>
          <w:iCs/>
          <w:color w:val="595959"/>
          <w:kern w:val="32"/>
          <w:szCs w:val="20"/>
          <w:highlight w:val="lightGray"/>
        </w:rPr>
      </w:pPr>
      <w:r>
        <w:rPr>
          <w:highlight w:val="lightGray"/>
        </w:rPr>
        <w:br w:type="page"/>
      </w:r>
    </w:p>
    <w:p w14:paraId="7DAED0F9" w14:textId="77777777" w:rsidR="006D76FD" w:rsidRPr="000D0304" w:rsidRDefault="006D76FD" w:rsidP="00DA5301">
      <w:pPr>
        <w:pStyle w:val="Heading3"/>
      </w:pPr>
      <w:bookmarkStart w:id="165" w:name="_Toc120111946"/>
      <w:r w:rsidRPr="000D0304">
        <w:lastRenderedPageBreak/>
        <w:t>Electricity</w:t>
      </w:r>
      <w:r w:rsidR="00F70A00" w:rsidRPr="000D0304">
        <w:t xml:space="preserve"> </w:t>
      </w:r>
      <w:r w:rsidR="00CA70B1">
        <w:t>G</w:t>
      </w:r>
      <w:r w:rsidR="00F70A00" w:rsidRPr="000D0304">
        <w:t>eneration</w:t>
      </w:r>
      <w:bookmarkEnd w:id="165"/>
    </w:p>
    <w:p w14:paraId="3693E5E8" w14:textId="199EF763" w:rsidR="00624C27" w:rsidRPr="000D0304" w:rsidRDefault="002B0C74">
      <w:pPr>
        <w:spacing w:after="0" w:line="312" w:lineRule="auto"/>
        <w:contextualSpacing/>
        <w:jc w:val="both"/>
        <w:rPr>
          <w:rFonts w:cs="Helvetica"/>
          <w:color w:val="595959"/>
          <w:szCs w:val="20"/>
          <w:lang w:eastAsia="en-GB"/>
        </w:rPr>
      </w:pPr>
      <w:r w:rsidRPr="000D0304">
        <w:rPr>
          <w:rFonts w:cs="Helvetica"/>
          <w:color w:val="595959"/>
          <w:szCs w:val="20"/>
          <w:lang w:eastAsia="en-GB"/>
        </w:rPr>
        <w:t>Primary aluminium production</w:t>
      </w:r>
      <w:r w:rsidR="00A54B86">
        <w:rPr>
          <w:rFonts w:cs="Helvetica"/>
          <w:color w:val="595959"/>
          <w:szCs w:val="20"/>
          <w:lang w:eastAsia="en-GB"/>
        </w:rPr>
        <w:t xml:space="preserve"> (in particular</w:t>
      </w:r>
      <w:r w:rsidR="000F6E3D">
        <w:rPr>
          <w:rFonts w:cs="Helvetica"/>
          <w:color w:val="595959"/>
          <w:szCs w:val="20"/>
          <w:lang w:eastAsia="en-GB"/>
        </w:rPr>
        <w:t>,</w:t>
      </w:r>
      <w:r w:rsidR="00A54B86">
        <w:rPr>
          <w:rFonts w:cs="Helvetica"/>
          <w:color w:val="595959"/>
          <w:szCs w:val="20"/>
          <w:lang w:eastAsia="en-GB"/>
        </w:rPr>
        <w:t xml:space="preserve"> electrolysis and alumina refining processes)</w:t>
      </w:r>
      <w:r w:rsidRPr="000D0304">
        <w:rPr>
          <w:rFonts w:cs="Helvetica"/>
          <w:color w:val="595959"/>
          <w:szCs w:val="20"/>
          <w:lang w:eastAsia="en-GB"/>
        </w:rPr>
        <w:t xml:space="preserve"> </w:t>
      </w:r>
      <w:r w:rsidR="00C56157" w:rsidRPr="000D0304">
        <w:rPr>
          <w:rFonts w:cs="Helvetica"/>
          <w:color w:val="595959"/>
          <w:szCs w:val="20"/>
          <w:lang w:eastAsia="en-GB"/>
        </w:rPr>
        <w:t>is an energy intensive process</w:t>
      </w:r>
      <w:r w:rsidR="00A54B86">
        <w:rPr>
          <w:rFonts w:cs="Helvetica"/>
          <w:color w:val="595959"/>
          <w:szCs w:val="20"/>
          <w:lang w:eastAsia="en-GB"/>
        </w:rPr>
        <w:t xml:space="preserve">.  </w:t>
      </w:r>
      <w:r w:rsidR="003778A3">
        <w:rPr>
          <w:rFonts w:cs="Helvetica" w:hint="eastAsia"/>
          <w:color w:val="595959"/>
          <w:szCs w:val="20"/>
          <w:lang w:eastAsia="zh-CN"/>
        </w:rPr>
        <w:t>IAI</w:t>
      </w:r>
      <w:r w:rsidR="003778A3">
        <w:rPr>
          <w:rFonts w:cs="Helvetica"/>
          <w:color w:val="595959"/>
          <w:szCs w:val="20"/>
          <w:lang w:eastAsia="en-GB"/>
        </w:rPr>
        <w:t xml:space="preserve"> p</w:t>
      </w:r>
      <w:r w:rsidR="00A54B86">
        <w:rPr>
          <w:rFonts w:cs="Helvetica"/>
          <w:color w:val="595959"/>
          <w:szCs w:val="20"/>
          <w:lang w:eastAsia="en-GB"/>
        </w:rPr>
        <w:t>r</w:t>
      </w:r>
      <w:r w:rsidR="00C56157" w:rsidRPr="000D0304">
        <w:rPr>
          <w:rFonts w:cs="Helvetica"/>
          <w:color w:val="595959"/>
          <w:szCs w:val="20"/>
          <w:lang w:eastAsia="en-GB"/>
        </w:rPr>
        <w:t>evious studies</w:t>
      </w:r>
      <w:r w:rsidR="00A328EF">
        <w:rPr>
          <w:rFonts w:cs="Helvetica"/>
          <w:color w:val="595959"/>
          <w:szCs w:val="20"/>
          <w:lang w:eastAsia="en-GB"/>
        </w:rPr>
        <w:t xml:space="preserve"> </w:t>
      </w:r>
      <w:r w:rsidR="00C56157" w:rsidRPr="000D0304">
        <w:rPr>
          <w:rFonts w:cs="Helvetica"/>
          <w:color w:val="595959"/>
          <w:szCs w:val="20"/>
          <w:lang w:eastAsia="en-GB"/>
        </w:rPr>
        <w:t>show that</w:t>
      </w:r>
      <w:r w:rsidR="00A54B86">
        <w:rPr>
          <w:rFonts w:cs="Helvetica"/>
          <w:color w:val="595959"/>
          <w:szCs w:val="20"/>
          <w:lang w:eastAsia="en-GB"/>
        </w:rPr>
        <w:t>,</w:t>
      </w:r>
      <w:r w:rsidR="006A58FF" w:rsidRPr="000D0304">
        <w:rPr>
          <w:rFonts w:cs="Helvetica"/>
          <w:color w:val="595959"/>
          <w:szCs w:val="20"/>
          <w:lang w:eastAsia="en-GB"/>
        </w:rPr>
        <w:t xml:space="preserve"> at the global level, </w:t>
      </w:r>
      <w:r w:rsidR="00C56157" w:rsidRPr="000D0304">
        <w:rPr>
          <w:rFonts w:cs="Helvetica"/>
          <w:color w:val="595959"/>
          <w:szCs w:val="20"/>
          <w:lang w:eastAsia="en-GB"/>
        </w:rPr>
        <w:t xml:space="preserve">electricity is the </w:t>
      </w:r>
      <w:r w:rsidR="00A54B86">
        <w:rPr>
          <w:rFonts w:cs="Helvetica"/>
          <w:color w:val="595959"/>
          <w:szCs w:val="20"/>
          <w:lang w:eastAsia="en-GB"/>
        </w:rPr>
        <w:t>most significant</w:t>
      </w:r>
      <w:r w:rsidR="00A54B86" w:rsidRPr="000D0304">
        <w:rPr>
          <w:rFonts w:cs="Helvetica"/>
          <w:color w:val="595959"/>
          <w:szCs w:val="20"/>
          <w:lang w:eastAsia="en-GB"/>
        </w:rPr>
        <w:t xml:space="preserve"> </w:t>
      </w:r>
      <w:r w:rsidR="00C56157" w:rsidRPr="000D0304">
        <w:rPr>
          <w:rFonts w:cs="Helvetica"/>
          <w:color w:val="595959"/>
          <w:szCs w:val="20"/>
          <w:lang w:eastAsia="en-GB"/>
        </w:rPr>
        <w:t>influence on environmental impact category indicator results</w:t>
      </w:r>
      <w:r w:rsidR="00D54256" w:rsidRPr="000D0304">
        <w:rPr>
          <w:rFonts w:cs="Helvetica"/>
          <w:color w:val="595959"/>
          <w:szCs w:val="20"/>
          <w:lang w:eastAsia="en-GB"/>
        </w:rPr>
        <w:t xml:space="preserve"> for primary aluminium production</w:t>
      </w:r>
      <w:r w:rsidR="009831A3">
        <w:rPr>
          <w:rFonts w:cs="Helvetica"/>
          <w:color w:val="595959"/>
          <w:szCs w:val="20"/>
          <w:lang w:eastAsia="en-GB"/>
        </w:rPr>
        <w:t xml:space="preserve">.  </w:t>
      </w:r>
      <w:r w:rsidR="00C56157" w:rsidRPr="000D0304">
        <w:rPr>
          <w:rFonts w:cs="Helvetica"/>
          <w:color w:val="595959"/>
          <w:szCs w:val="20"/>
          <w:lang w:eastAsia="en-GB"/>
        </w:rPr>
        <w:t>As such, i</w:t>
      </w:r>
      <w:r w:rsidR="00D54256" w:rsidRPr="000D0304">
        <w:rPr>
          <w:rFonts w:cs="Helvetica"/>
          <w:color w:val="595959"/>
          <w:szCs w:val="20"/>
          <w:lang w:eastAsia="en-GB"/>
        </w:rPr>
        <w:t xml:space="preserve">t </w:t>
      </w:r>
      <w:r w:rsidR="00A54B86">
        <w:rPr>
          <w:rFonts w:cs="Helvetica"/>
          <w:color w:val="595959"/>
          <w:szCs w:val="20"/>
          <w:lang w:eastAsia="en-GB"/>
        </w:rPr>
        <w:t>is</w:t>
      </w:r>
      <w:r w:rsidR="00A54B86" w:rsidRPr="000D0304">
        <w:rPr>
          <w:rFonts w:cs="Helvetica"/>
          <w:color w:val="595959"/>
          <w:szCs w:val="20"/>
          <w:lang w:eastAsia="en-GB"/>
        </w:rPr>
        <w:t xml:space="preserve"> </w:t>
      </w:r>
      <w:r w:rsidR="00C56157" w:rsidRPr="000D0304">
        <w:rPr>
          <w:rFonts w:cs="Helvetica"/>
          <w:color w:val="595959"/>
          <w:szCs w:val="20"/>
          <w:lang w:eastAsia="en-GB"/>
        </w:rPr>
        <w:t>important to represent accurately electricity consumption in the electrolysis process</w:t>
      </w:r>
      <w:r w:rsidR="00A54B86">
        <w:rPr>
          <w:rFonts w:cs="Helvetica"/>
          <w:color w:val="595959"/>
          <w:szCs w:val="20"/>
          <w:lang w:eastAsia="en-GB"/>
        </w:rPr>
        <w:t>,</w:t>
      </w:r>
      <w:r w:rsidR="00C56157" w:rsidRPr="000D0304">
        <w:rPr>
          <w:rFonts w:cs="Helvetica"/>
          <w:color w:val="595959"/>
          <w:szCs w:val="20"/>
          <w:lang w:eastAsia="en-GB"/>
        </w:rPr>
        <w:t xml:space="preserve"> which accounts for the </w:t>
      </w:r>
      <w:r w:rsidRPr="000D0304">
        <w:rPr>
          <w:rFonts w:cs="Helvetica"/>
          <w:color w:val="595959"/>
          <w:szCs w:val="20"/>
          <w:lang w:eastAsia="en-GB"/>
        </w:rPr>
        <w:t xml:space="preserve">largest percentage of </w:t>
      </w:r>
      <w:r w:rsidR="00C56157" w:rsidRPr="000D0304">
        <w:rPr>
          <w:rFonts w:cs="Helvetica"/>
          <w:color w:val="595959"/>
          <w:szCs w:val="20"/>
          <w:lang w:eastAsia="en-GB"/>
        </w:rPr>
        <w:t xml:space="preserve">total </w:t>
      </w:r>
      <w:r w:rsidRPr="000D0304">
        <w:rPr>
          <w:rFonts w:cs="Helvetica"/>
          <w:color w:val="595959"/>
          <w:szCs w:val="20"/>
          <w:lang w:eastAsia="en-GB"/>
        </w:rPr>
        <w:t xml:space="preserve">electricity </w:t>
      </w:r>
      <w:r w:rsidR="00C56157" w:rsidRPr="000D0304">
        <w:rPr>
          <w:rFonts w:cs="Helvetica"/>
          <w:color w:val="595959"/>
          <w:szCs w:val="20"/>
          <w:lang w:eastAsia="en-GB"/>
        </w:rPr>
        <w:t>consumption</w:t>
      </w:r>
      <w:r w:rsidR="00F06C14" w:rsidRPr="000D0304">
        <w:rPr>
          <w:rFonts w:cs="Helvetica"/>
          <w:color w:val="595959"/>
          <w:szCs w:val="20"/>
          <w:lang w:eastAsia="en-GB"/>
        </w:rPr>
        <w:t xml:space="preserve"> at the global level</w:t>
      </w:r>
      <w:r w:rsidR="00C56157" w:rsidRPr="000D0304">
        <w:rPr>
          <w:rFonts w:cs="Helvetica"/>
          <w:color w:val="595959"/>
          <w:szCs w:val="20"/>
          <w:lang w:eastAsia="en-GB"/>
        </w:rPr>
        <w:t xml:space="preserve"> (&gt;9</w:t>
      </w:r>
      <w:r w:rsidR="00F06C14" w:rsidRPr="000D0304">
        <w:rPr>
          <w:rFonts w:cs="Helvetica"/>
          <w:color w:val="595959"/>
          <w:szCs w:val="20"/>
          <w:lang w:eastAsia="en-GB"/>
        </w:rPr>
        <w:t>0</w:t>
      </w:r>
      <w:r w:rsidR="00C56157" w:rsidRPr="000D0304">
        <w:rPr>
          <w:rFonts w:cs="Helvetica"/>
          <w:color w:val="595959"/>
          <w:szCs w:val="20"/>
          <w:lang w:eastAsia="en-GB"/>
        </w:rPr>
        <w:t>%)</w:t>
      </w:r>
      <w:r w:rsidR="009831A3">
        <w:rPr>
          <w:rFonts w:cs="Helvetica"/>
          <w:color w:val="595959"/>
          <w:szCs w:val="20"/>
          <w:lang w:eastAsia="en-GB"/>
        </w:rPr>
        <w:t xml:space="preserve">.  </w:t>
      </w:r>
    </w:p>
    <w:p w14:paraId="62E7BC16" w14:textId="77777777" w:rsidR="00624C27" w:rsidRPr="000D0304" w:rsidRDefault="00624C27">
      <w:pPr>
        <w:spacing w:after="0" w:line="312" w:lineRule="auto"/>
        <w:contextualSpacing/>
        <w:jc w:val="both"/>
        <w:rPr>
          <w:rFonts w:cs="Helvetica"/>
          <w:color w:val="595959"/>
          <w:szCs w:val="20"/>
          <w:lang w:eastAsia="en-GB"/>
        </w:rPr>
      </w:pPr>
    </w:p>
    <w:p w14:paraId="6F278AC8" w14:textId="1E19466A" w:rsidR="000B3CAE" w:rsidRPr="000D0304" w:rsidRDefault="002B0C74">
      <w:pPr>
        <w:spacing w:after="0" w:line="312" w:lineRule="auto"/>
        <w:contextualSpacing/>
        <w:jc w:val="both"/>
        <w:rPr>
          <w:rFonts w:cs="Helvetica"/>
          <w:color w:val="595959"/>
          <w:szCs w:val="20"/>
          <w:lang w:eastAsia="en-GB"/>
        </w:rPr>
      </w:pPr>
      <w:r w:rsidRPr="000D0304">
        <w:rPr>
          <w:rFonts w:cs="Helvetica"/>
          <w:color w:val="595959"/>
          <w:szCs w:val="20"/>
          <w:lang w:eastAsia="en-GB"/>
        </w:rPr>
        <w:t>An i</w:t>
      </w:r>
      <w:r w:rsidR="00C56157" w:rsidRPr="000D0304">
        <w:rPr>
          <w:rFonts w:cs="Helvetica"/>
          <w:color w:val="595959"/>
          <w:szCs w:val="20"/>
          <w:lang w:eastAsia="en-GB"/>
        </w:rPr>
        <w:t xml:space="preserve">ndustry specific </w:t>
      </w:r>
      <w:r w:rsidR="00D54256" w:rsidRPr="000D0304">
        <w:rPr>
          <w:rFonts w:cs="Helvetica"/>
          <w:color w:val="595959"/>
          <w:szCs w:val="20"/>
          <w:lang w:eastAsia="en-GB"/>
        </w:rPr>
        <w:t xml:space="preserve">electricity </w:t>
      </w:r>
      <w:r w:rsidR="00C56157" w:rsidRPr="000D0304">
        <w:rPr>
          <w:rFonts w:cs="Helvetica"/>
          <w:color w:val="595959"/>
          <w:szCs w:val="20"/>
          <w:lang w:eastAsia="en-GB"/>
        </w:rPr>
        <w:t xml:space="preserve">model </w:t>
      </w:r>
      <w:r w:rsidR="00BB1E62">
        <w:rPr>
          <w:rFonts w:cs="Helvetica"/>
          <w:color w:val="595959"/>
          <w:szCs w:val="20"/>
          <w:lang w:eastAsia="en-GB"/>
        </w:rPr>
        <w:t>was</w:t>
      </w:r>
      <w:r w:rsidR="00BB1E62" w:rsidRPr="000D0304">
        <w:rPr>
          <w:rFonts w:cs="Helvetica"/>
          <w:color w:val="595959"/>
          <w:szCs w:val="20"/>
          <w:lang w:eastAsia="en-GB"/>
        </w:rPr>
        <w:t xml:space="preserve"> </w:t>
      </w:r>
      <w:r w:rsidR="00C56157" w:rsidRPr="000D0304">
        <w:rPr>
          <w:rFonts w:cs="Helvetica"/>
          <w:color w:val="595959"/>
          <w:szCs w:val="20"/>
          <w:lang w:eastAsia="en-GB"/>
        </w:rPr>
        <w:t xml:space="preserve">updated </w:t>
      </w:r>
      <w:r w:rsidRPr="000D0304">
        <w:rPr>
          <w:rFonts w:cs="Helvetica"/>
          <w:color w:val="595959"/>
          <w:szCs w:val="20"/>
          <w:lang w:eastAsia="en-GB"/>
        </w:rPr>
        <w:t>within the GaBi database for the electrolysis process</w:t>
      </w:r>
      <w:r w:rsidR="009831A3">
        <w:rPr>
          <w:rFonts w:cs="Helvetica"/>
          <w:color w:val="595959"/>
          <w:szCs w:val="20"/>
          <w:lang w:eastAsia="en-GB"/>
        </w:rPr>
        <w:t>.</w:t>
      </w:r>
      <w:r w:rsidR="003778A3">
        <w:rPr>
          <w:rFonts w:cs="Helvetica"/>
          <w:color w:val="595959"/>
          <w:szCs w:val="20"/>
          <w:lang w:eastAsia="en-GB"/>
        </w:rPr>
        <w:t xml:space="preserve"> Grid loss has been </w:t>
      </w:r>
      <w:r w:rsidR="00EC481B">
        <w:rPr>
          <w:rFonts w:cs="Helvetica"/>
          <w:color w:val="595959"/>
          <w:szCs w:val="20"/>
          <w:lang w:eastAsia="en-GB"/>
        </w:rPr>
        <w:t>considered</w:t>
      </w:r>
      <w:r w:rsidR="003778A3">
        <w:rPr>
          <w:rFonts w:cs="Helvetica"/>
          <w:color w:val="595959"/>
          <w:szCs w:val="20"/>
          <w:lang w:eastAsia="en-GB"/>
        </w:rPr>
        <w:t>.</w:t>
      </w:r>
      <w:r w:rsidR="00EC481B">
        <w:rPr>
          <w:rFonts w:cs="Helvetica"/>
          <w:color w:val="595959"/>
          <w:szCs w:val="20"/>
          <w:lang w:eastAsia="en-GB"/>
        </w:rPr>
        <w:t xml:space="preserve"> </w:t>
      </w:r>
      <w:r w:rsidR="00A60D03" w:rsidRPr="000D0304">
        <w:rPr>
          <w:rFonts w:cs="Helvetica"/>
          <w:color w:val="595959"/>
          <w:szCs w:val="20"/>
          <w:lang w:eastAsia="en-GB"/>
        </w:rPr>
        <w:t xml:space="preserve">The model </w:t>
      </w:r>
      <w:r w:rsidR="00BB1E62">
        <w:rPr>
          <w:rFonts w:cs="Helvetica"/>
          <w:color w:val="595959"/>
          <w:szCs w:val="20"/>
          <w:lang w:eastAsia="en-GB"/>
        </w:rPr>
        <w:t>is</w:t>
      </w:r>
      <w:r w:rsidR="00BB1E62" w:rsidRPr="000D0304">
        <w:rPr>
          <w:rFonts w:cs="Helvetica"/>
          <w:color w:val="595959"/>
          <w:szCs w:val="20"/>
          <w:lang w:eastAsia="en-GB"/>
        </w:rPr>
        <w:t xml:space="preserve"> </w:t>
      </w:r>
      <w:r w:rsidRPr="000D0304">
        <w:rPr>
          <w:rFonts w:cs="Helvetica"/>
          <w:color w:val="595959"/>
          <w:szCs w:val="20"/>
          <w:lang w:eastAsia="en-GB"/>
        </w:rPr>
        <w:t xml:space="preserve">based on </w:t>
      </w:r>
      <w:r w:rsidR="00BB1E62">
        <w:rPr>
          <w:rFonts w:cs="Helvetica"/>
          <w:color w:val="595959"/>
          <w:szCs w:val="20"/>
          <w:lang w:eastAsia="en-GB"/>
        </w:rPr>
        <w:t xml:space="preserve">regionalised </w:t>
      </w:r>
      <w:r w:rsidRPr="000D0304">
        <w:rPr>
          <w:rFonts w:cs="Helvetica"/>
          <w:color w:val="595959"/>
          <w:szCs w:val="20"/>
          <w:lang w:eastAsia="en-GB"/>
        </w:rPr>
        <w:t xml:space="preserve">power consumption data </w:t>
      </w:r>
      <w:r w:rsidR="00D54256" w:rsidRPr="000D0304">
        <w:rPr>
          <w:rFonts w:cs="Helvetica"/>
          <w:color w:val="595959"/>
          <w:szCs w:val="20"/>
          <w:lang w:eastAsia="en-GB"/>
        </w:rPr>
        <w:t xml:space="preserve">as reported by industry respondents as part of </w:t>
      </w:r>
      <w:r w:rsidR="00C56157" w:rsidRPr="000D0304">
        <w:rPr>
          <w:rFonts w:cs="Helvetica"/>
          <w:color w:val="595959"/>
          <w:szCs w:val="20"/>
          <w:lang w:eastAsia="en-GB"/>
        </w:rPr>
        <w:t xml:space="preserve">the IAI </w:t>
      </w:r>
      <w:r w:rsidR="003778A3" w:rsidRPr="000D0304">
        <w:rPr>
          <w:rFonts w:cs="Helvetica"/>
          <w:color w:val="595959"/>
          <w:szCs w:val="20"/>
          <w:lang w:eastAsia="en-GB"/>
        </w:rPr>
        <w:t>201</w:t>
      </w:r>
      <w:r w:rsidR="003778A3">
        <w:rPr>
          <w:rFonts w:cs="Helvetica"/>
          <w:color w:val="595959"/>
          <w:szCs w:val="20"/>
          <w:lang w:eastAsia="en-GB"/>
        </w:rPr>
        <w:t>9</w:t>
      </w:r>
      <w:r w:rsidR="003778A3" w:rsidRPr="000D0304">
        <w:rPr>
          <w:rFonts w:cs="Helvetica"/>
          <w:color w:val="595959"/>
          <w:szCs w:val="20"/>
          <w:lang w:eastAsia="en-GB"/>
        </w:rPr>
        <w:t xml:space="preserve"> </w:t>
      </w:r>
      <w:r w:rsidR="00C56157" w:rsidRPr="000D0304">
        <w:rPr>
          <w:rFonts w:cs="Helvetica"/>
          <w:color w:val="595959"/>
          <w:szCs w:val="20"/>
          <w:lang w:eastAsia="en-GB"/>
        </w:rPr>
        <w:t>annual energy surveys</w:t>
      </w:r>
      <w:r w:rsidR="0032074B" w:rsidRPr="000D0304">
        <w:rPr>
          <w:rFonts w:cs="Helvetica"/>
          <w:color w:val="595959"/>
          <w:szCs w:val="20"/>
          <w:lang w:eastAsia="en-GB"/>
        </w:rPr>
        <w:t xml:space="preserve"> (See Table </w:t>
      </w:r>
      <w:r w:rsidR="00CA5A82">
        <w:rPr>
          <w:rFonts w:cs="Helvetica"/>
          <w:color w:val="595959"/>
          <w:szCs w:val="20"/>
          <w:lang w:eastAsia="en-GB"/>
        </w:rPr>
        <w:t>8</w:t>
      </w:r>
      <w:r w:rsidR="0032074B" w:rsidRPr="000D0304">
        <w:rPr>
          <w:rFonts w:cs="Helvetica"/>
          <w:color w:val="595959"/>
          <w:szCs w:val="20"/>
          <w:lang w:eastAsia="en-GB"/>
        </w:rPr>
        <w:t>)</w:t>
      </w:r>
      <w:r w:rsidR="009831A3">
        <w:rPr>
          <w:rFonts w:cs="Helvetica"/>
          <w:color w:val="595959"/>
          <w:szCs w:val="20"/>
          <w:lang w:eastAsia="en-GB"/>
        </w:rPr>
        <w:t xml:space="preserve">.  </w:t>
      </w:r>
      <w:r w:rsidR="00D54256" w:rsidRPr="000D0304">
        <w:rPr>
          <w:rFonts w:cs="Helvetica"/>
          <w:color w:val="595959"/>
          <w:szCs w:val="20"/>
          <w:lang w:eastAsia="en-GB"/>
        </w:rPr>
        <w:t>Inclusion of an</w:t>
      </w:r>
      <w:r w:rsidRPr="000D0304">
        <w:rPr>
          <w:rFonts w:cs="Helvetica"/>
          <w:color w:val="595959"/>
          <w:szCs w:val="20"/>
          <w:lang w:eastAsia="en-GB"/>
        </w:rPr>
        <w:t xml:space="preserve"> industry-specific electricity mix</w:t>
      </w:r>
      <w:r w:rsidR="00C56157" w:rsidRPr="000D0304">
        <w:rPr>
          <w:rFonts w:cs="Helvetica"/>
          <w:color w:val="595959"/>
          <w:szCs w:val="20"/>
          <w:lang w:eastAsia="en-GB"/>
        </w:rPr>
        <w:t xml:space="preserve"> by region </w:t>
      </w:r>
      <w:r w:rsidR="00BB1E62">
        <w:rPr>
          <w:rFonts w:cs="Helvetica"/>
          <w:color w:val="595959"/>
          <w:szCs w:val="20"/>
          <w:lang w:eastAsia="en-GB"/>
        </w:rPr>
        <w:t>is</w:t>
      </w:r>
      <w:r w:rsidR="00BB1E62" w:rsidRPr="000D0304">
        <w:rPr>
          <w:rFonts w:cs="Helvetica"/>
          <w:color w:val="595959"/>
          <w:szCs w:val="20"/>
          <w:lang w:eastAsia="en-GB"/>
        </w:rPr>
        <w:t xml:space="preserve"> </w:t>
      </w:r>
      <w:r w:rsidR="00D54256" w:rsidRPr="000D0304">
        <w:rPr>
          <w:rFonts w:cs="Helvetica"/>
          <w:color w:val="595959"/>
          <w:szCs w:val="20"/>
          <w:lang w:eastAsia="en-GB"/>
        </w:rPr>
        <w:t xml:space="preserve">important as </w:t>
      </w:r>
      <w:r w:rsidR="00C56157" w:rsidRPr="000D0304">
        <w:rPr>
          <w:rFonts w:cs="Helvetica"/>
          <w:color w:val="595959"/>
          <w:szCs w:val="20"/>
          <w:lang w:eastAsia="en-GB"/>
        </w:rPr>
        <w:t>regional or national grid mix</w:t>
      </w:r>
      <w:r w:rsidR="00D54256" w:rsidRPr="000D0304">
        <w:rPr>
          <w:rFonts w:cs="Helvetica"/>
          <w:color w:val="595959"/>
          <w:szCs w:val="20"/>
          <w:lang w:eastAsia="en-GB"/>
        </w:rPr>
        <w:t xml:space="preserve">es often </w:t>
      </w:r>
      <w:r w:rsidR="00BB1E62">
        <w:rPr>
          <w:rFonts w:cs="Helvetica"/>
          <w:color w:val="595959"/>
          <w:szCs w:val="20"/>
          <w:lang w:eastAsia="en-GB"/>
        </w:rPr>
        <w:t>do not reflect the power mix of the</w:t>
      </w:r>
      <w:r w:rsidRPr="000D0304">
        <w:rPr>
          <w:rFonts w:cs="Helvetica"/>
          <w:color w:val="595959"/>
          <w:szCs w:val="20"/>
          <w:lang w:eastAsia="en-GB"/>
        </w:rPr>
        <w:t xml:space="preserve"> aluminium </w:t>
      </w:r>
      <w:r w:rsidR="00BB1E62">
        <w:rPr>
          <w:rFonts w:cs="Helvetica"/>
          <w:color w:val="595959"/>
          <w:szCs w:val="20"/>
          <w:lang w:eastAsia="en-GB"/>
        </w:rPr>
        <w:t>industrial consumer</w:t>
      </w:r>
      <w:r w:rsidR="009831A3">
        <w:rPr>
          <w:rFonts w:cs="Helvetica"/>
          <w:color w:val="595959"/>
          <w:szCs w:val="20"/>
          <w:lang w:eastAsia="en-GB"/>
        </w:rPr>
        <w:t xml:space="preserve">.  </w:t>
      </w:r>
    </w:p>
    <w:p w14:paraId="5B03FEFC" w14:textId="77777777" w:rsidR="000B3CAE" w:rsidRPr="000D0304" w:rsidRDefault="000B3CAE">
      <w:pPr>
        <w:spacing w:after="0" w:line="312" w:lineRule="auto"/>
        <w:contextualSpacing/>
        <w:jc w:val="both"/>
        <w:rPr>
          <w:rFonts w:cs="Helvetica"/>
          <w:color w:val="595959"/>
          <w:szCs w:val="20"/>
          <w:lang w:eastAsia="en-GB"/>
        </w:rPr>
      </w:pPr>
    </w:p>
    <w:p w14:paraId="4359EBC7" w14:textId="26109A63" w:rsidR="002B0C74" w:rsidRDefault="002B0C74">
      <w:pPr>
        <w:spacing w:after="0" w:line="312" w:lineRule="auto"/>
        <w:contextualSpacing/>
        <w:jc w:val="both"/>
        <w:rPr>
          <w:rFonts w:cs="Helvetica"/>
          <w:color w:val="595959"/>
          <w:szCs w:val="20"/>
          <w:lang w:eastAsia="en-GB"/>
        </w:rPr>
      </w:pPr>
      <w:r w:rsidRPr="000D0304">
        <w:rPr>
          <w:rFonts w:cs="Helvetica"/>
          <w:color w:val="595959"/>
          <w:szCs w:val="20"/>
          <w:lang w:eastAsia="en-GB"/>
        </w:rPr>
        <w:t xml:space="preserve">Regional background datasets, corresponding to the regions </w:t>
      </w:r>
      <w:r w:rsidR="00A60D03" w:rsidRPr="000D0304">
        <w:rPr>
          <w:rFonts w:cs="Helvetica"/>
          <w:color w:val="595959"/>
          <w:szCs w:val="20"/>
          <w:lang w:eastAsia="en-GB"/>
        </w:rPr>
        <w:t>included in each scenario</w:t>
      </w:r>
      <w:r w:rsidR="00F03903" w:rsidRPr="000D0304">
        <w:rPr>
          <w:rFonts w:cs="Helvetica"/>
          <w:color w:val="595959"/>
          <w:szCs w:val="20"/>
          <w:lang w:eastAsia="en-GB"/>
        </w:rPr>
        <w:t xml:space="preserve"> </w:t>
      </w:r>
      <w:r w:rsidR="00BB1E62">
        <w:rPr>
          <w:rFonts w:cs="Helvetica"/>
          <w:color w:val="595959"/>
          <w:szCs w:val="20"/>
          <w:lang w:eastAsia="en-GB"/>
        </w:rPr>
        <w:t>are</w:t>
      </w:r>
      <w:r w:rsidR="00BB1E62" w:rsidRPr="000D0304">
        <w:rPr>
          <w:rFonts w:cs="Helvetica"/>
          <w:color w:val="595959"/>
          <w:szCs w:val="20"/>
          <w:lang w:eastAsia="en-GB"/>
        </w:rPr>
        <w:t xml:space="preserve"> </w:t>
      </w:r>
      <w:r w:rsidRPr="000D0304">
        <w:rPr>
          <w:rFonts w:cs="Helvetica"/>
          <w:color w:val="595959"/>
          <w:szCs w:val="20"/>
          <w:lang w:eastAsia="en-GB"/>
        </w:rPr>
        <w:t xml:space="preserve">developed from </w:t>
      </w:r>
      <w:r w:rsidR="00F03903" w:rsidRPr="000D0304">
        <w:rPr>
          <w:rFonts w:cs="Helvetica"/>
          <w:color w:val="595959"/>
          <w:szCs w:val="20"/>
          <w:lang w:eastAsia="en-GB"/>
        </w:rPr>
        <w:t>existing LCI data i</w:t>
      </w:r>
      <w:r w:rsidRPr="000D0304">
        <w:rPr>
          <w:rFonts w:cs="Helvetica"/>
          <w:color w:val="595959"/>
          <w:szCs w:val="20"/>
          <w:lang w:eastAsia="en-GB"/>
        </w:rPr>
        <w:t xml:space="preserve">n GaBi against </w:t>
      </w:r>
      <w:r w:rsidR="00F03903" w:rsidRPr="000D0304">
        <w:rPr>
          <w:rFonts w:cs="Helvetica"/>
          <w:color w:val="595959"/>
          <w:szCs w:val="20"/>
          <w:lang w:eastAsia="en-GB"/>
        </w:rPr>
        <w:t>each energy carrier</w:t>
      </w:r>
      <w:r w:rsidR="009831A3">
        <w:rPr>
          <w:rFonts w:cs="Helvetica"/>
          <w:color w:val="595959"/>
          <w:szCs w:val="20"/>
          <w:lang w:eastAsia="en-GB"/>
        </w:rPr>
        <w:t xml:space="preserve">.  </w:t>
      </w:r>
      <w:r w:rsidR="00F03903" w:rsidRPr="000D0304">
        <w:rPr>
          <w:rFonts w:cs="Helvetica"/>
          <w:color w:val="595959"/>
          <w:szCs w:val="20"/>
          <w:lang w:eastAsia="en-GB"/>
        </w:rPr>
        <w:t>P</w:t>
      </w:r>
      <w:r w:rsidRPr="000D0304">
        <w:rPr>
          <w:rFonts w:cs="Helvetica"/>
          <w:color w:val="595959"/>
          <w:szCs w:val="20"/>
          <w:lang w:eastAsia="en-GB"/>
        </w:rPr>
        <w:t xml:space="preserve">roxy data </w:t>
      </w:r>
      <w:r w:rsidR="00BB1E62">
        <w:rPr>
          <w:rFonts w:cs="Helvetica"/>
          <w:color w:val="595959"/>
          <w:szCs w:val="20"/>
          <w:lang w:eastAsia="en-GB"/>
        </w:rPr>
        <w:t xml:space="preserve">is used </w:t>
      </w:r>
      <w:r w:rsidRPr="000D0304">
        <w:rPr>
          <w:rFonts w:cs="Helvetica"/>
          <w:color w:val="595959"/>
          <w:szCs w:val="20"/>
          <w:lang w:eastAsia="en-GB"/>
        </w:rPr>
        <w:t>for regions with limited data</w:t>
      </w:r>
      <w:r w:rsidR="00F03903" w:rsidRPr="000D0304">
        <w:rPr>
          <w:rFonts w:cs="Helvetica"/>
          <w:color w:val="595959"/>
          <w:szCs w:val="20"/>
          <w:lang w:eastAsia="en-GB"/>
        </w:rPr>
        <w:t xml:space="preserve"> – e.g</w:t>
      </w:r>
      <w:r w:rsidR="00BB1E62">
        <w:rPr>
          <w:rFonts w:cs="Helvetica"/>
          <w:color w:val="595959"/>
          <w:szCs w:val="20"/>
          <w:lang w:eastAsia="en-GB"/>
        </w:rPr>
        <w:t xml:space="preserve">. </w:t>
      </w:r>
      <w:r w:rsidR="00F03903" w:rsidRPr="000D0304">
        <w:rPr>
          <w:rFonts w:cs="Helvetica"/>
          <w:color w:val="595959"/>
          <w:szCs w:val="20"/>
          <w:lang w:eastAsia="en-GB"/>
        </w:rPr>
        <w:t xml:space="preserve">South Africa </w:t>
      </w:r>
      <w:r w:rsidR="00BB1E62">
        <w:rPr>
          <w:rFonts w:cs="Helvetica"/>
          <w:color w:val="595959"/>
          <w:szCs w:val="20"/>
          <w:lang w:eastAsia="en-GB"/>
        </w:rPr>
        <w:t xml:space="preserve">data used </w:t>
      </w:r>
      <w:r w:rsidR="00F03903" w:rsidRPr="000D0304">
        <w:rPr>
          <w:rFonts w:cs="Helvetica"/>
          <w:color w:val="595959"/>
          <w:szCs w:val="20"/>
          <w:lang w:eastAsia="en-GB"/>
        </w:rPr>
        <w:t xml:space="preserve">for </w:t>
      </w:r>
      <w:r w:rsidR="00BB1E62">
        <w:rPr>
          <w:rFonts w:cs="Helvetica"/>
          <w:color w:val="595959"/>
          <w:szCs w:val="20"/>
          <w:lang w:eastAsia="en-GB"/>
        </w:rPr>
        <w:t xml:space="preserve">other </w:t>
      </w:r>
      <w:r w:rsidR="00F03903" w:rsidRPr="000D0304">
        <w:rPr>
          <w:rFonts w:cs="Helvetica"/>
          <w:color w:val="595959"/>
          <w:szCs w:val="20"/>
          <w:lang w:eastAsia="en-GB"/>
        </w:rPr>
        <w:t>Africa</w:t>
      </w:r>
      <w:r w:rsidR="00BB1E62">
        <w:rPr>
          <w:rFonts w:cs="Helvetica"/>
          <w:color w:val="595959"/>
          <w:szCs w:val="20"/>
          <w:lang w:eastAsia="en-GB"/>
        </w:rPr>
        <w:t>n countries</w:t>
      </w:r>
      <w:r w:rsidR="009831A3">
        <w:rPr>
          <w:rFonts w:cs="Helvetica"/>
          <w:color w:val="595959"/>
          <w:szCs w:val="20"/>
          <w:lang w:eastAsia="en-GB"/>
        </w:rPr>
        <w:t xml:space="preserve">.  </w:t>
      </w:r>
    </w:p>
    <w:p w14:paraId="6BB71026" w14:textId="77777777" w:rsidR="00CF4B90" w:rsidRPr="000D0304" w:rsidRDefault="00CF4B90">
      <w:pPr>
        <w:spacing w:after="0" w:line="312" w:lineRule="auto"/>
        <w:contextualSpacing/>
        <w:jc w:val="both"/>
        <w:rPr>
          <w:rFonts w:cs="Helvetica"/>
          <w:color w:val="595959"/>
          <w:szCs w:val="20"/>
          <w:lang w:eastAsia="en-GB"/>
        </w:rPr>
      </w:pPr>
    </w:p>
    <w:p w14:paraId="6C720DF8" w14:textId="6712E61C" w:rsidR="00877F13" w:rsidRDefault="003778A3" w:rsidP="000D0304">
      <w:pPr>
        <w:spacing w:after="0" w:line="312" w:lineRule="auto"/>
        <w:contextualSpacing/>
        <w:jc w:val="right"/>
        <w:rPr>
          <w:rFonts w:cs="Helvetica"/>
          <w:b/>
          <w:color w:val="595959"/>
          <w:szCs w:val="20"/>
          <w:lang w:eastAsia="en-GB"/>
        </w:rPr>
      </w:pPr>
      <w:r w:rsidRPr="003778A3">
        <w:rPr>
          <w:rFonts w:cs="Helvetica"/>
          <w:b/>
          <w:noProof/>
          <w:color w:val="595959"/>
          <w:szCs w:val="20"/>
          <w:lang w:eastAsia="en-GB"/>
        </w:rPr>
        <w:lastRenderedPageBreak/>
        <w:drawing>
          <wp:inline distT="0" distB="0" distL="0" distR="0" wp14:anchorId="5B12BCA0" wp14:editId="78DB3B03">
            <wp:extent cx="5210902" cy="4972744"/>
            <wp:effectExtent l="0" t="0" r="889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4"/>
                    <a:stretch>
                      <a:fillRect/>
                    </a:stretch>
                  </pic:blipFill>
                  <pic:spPr>
                    <a:xfrm>
                      <a:off x="0" y="0"/>
                      <a:ext cx="5210902" cy="4972744"/>
                    </a:xfrm>
                    <a:prstGeom prst="rect">
                      <a:avLst/>
                    </a:prstGeom>
                  </pic:spPr>
                </pic:pic>
              </a:graphicData>
            </a:graphic>
          </wp:inline>
        </w:drawing>
      </w:r>
    </w:p>
    <w:p w14:paraId="68F3805B" w14:textId="1E8B98CF" w:rsidR="0032074B" w:rsidRDefault="0032074B" w:rsidP="000D0304">
      <w:pPr>
        <w:spacing w:after="0" w:line="312" w:lineRule="auto"/>
        <w:contextualSpacing/>
        <w:jc w:val="right"/>
        <w:rPr>
          <w:rFonts w:cs="Helvetica"/>
          <w:b/>
          <w:color w:val="595959"/>
          <w:szCs w:val="20"/>
          <w:lang w:eastAsia="en-GB"/>
        </w:rPr>
      </w:pPr>
      <w:r w:rsidRPr="000D0304">
        <w:rPr>
          <w:rFonts w:cs="Helvetica"/>
          <w:b/>
          <w:color w:val="595959"/>
          <w:szCs w:val="20"/>
          <w:lang w:eastAsia="en-GB"/>
        </w:rPr>
        <w:t xml:space="preserve">Figure </w:t>
      </w:r>
      <w:r w:rsidR="00EF549B">
        <w:rPr>
          <w:rFonts w:cs="Helvetica"/>
          <w:b/>
          <w:color w:val="595959"/>
          <w:szCs w:val="20"/>
          <w:lang w:eastAsia="en-GB"/>
        </w:rPr>
        <w:t>10</w:t>
      </w:r>
      <w:r w:rsidRPr="000D0304">
        <w:rPr>
          <w:rFonts w:cs="Helvetica"/>
          <w:b/>
          <w:color w:val="595959"/>
          <w:szCs w:val="20"/>
          <w:lang w:eastAsia="en-GB"/>
        </w:rPr>
        <w:t>:</w:t>
      </w:r>
      <w:r w:rsidR="00EF549B">
        <w:rPr>
          <w:rFonts w:cs="Helvetica"/>
          <w:b/>
          <w:color w:val="595959"/>
          <w:szCs w:val="20"/>
          <w:lang w:eastAsia="en-GB"/>
        </w:rPr>
        <w:tab/>
      </w:r>
      <w:r w:rsidRPr="000D0304">
        <w:rPr>
          <w:rFonts w:cs="Helvetica"/>
          <w:b/>
          <w:color w:val="595959"/>
          <w:szCs w:val="20"/>
          <w:lang w:eastAsia="en-GB"/>
        </w:rPr>
        <w:t>GaBi plan for electricity modelling in the global model</w:t>
      </w:r>
    </w:p>
    <w:p w14:paraId="60901B51" w14:textId="77777777" w:rsidR="00CF4B90" w:rsidRPr="000D0304" w:rsidRDefault="00CF4B90" w:rsidP="000D0304">
      <w:pPr>
        <w:spacing w:after="0" w:line="312" w:lineRule="auto"/>
        <w:contextualSpacing/>
        <w:jc w:val="both"/>
        <w:rPr>
          <w:rFonts w:cs="Helvetica"/>
          <w:b/>
          <w:color w:val="595959"/>
          <w:szCs w:val="20"/>
          <w:lang w:eastAsia="en-GB"/>
        </w:rPr>
      </w:pPr>
    </w:p>
    <w:p w14:paraId="1374E0B9" w14:textId="77777777" w:rsidR="00226B12" w:rsidRPr="000D0304" w:rsidRDefault="00226B12">
      <w:pPr>
        <w:spacing w:after="0" w:line="312" w:lineRule="auto"/>
        <w:contextualSpacing/>
        <w:rPr>
          <w:rFonts w:cs="Helvetica"/>
          <w:color w:val="595959"/>
          <w:szCs w:val="20"/>
          <w:lang w:eastAsia="en-GB"/>
        </w:rPr>
        <w:sectPr w:rsidR="00226B12" w:rsidRPr="000D0304" w:rsidSect="003461C4">
          <w:type w:val="continuous"/>
          <w:pgSz w:w="11907" w:h="16839" w:code="9"/>
          <w:pgMar w:top="2552" w:right="1134" w:bottom="1276" w:left="1134" w:header="1276" w:footer="850" w:gutter="0"/>
          <w:cols w:space="708"/>
          <w:docGrid w:linePitch="326"/>
        </w:sectPr>
      </w:pPr>
    </w:p>
    <w:tbl>
      <w:tblPr>
        <w:tblStyle w:val="PlainTable1"/>
        <w:tblW w:w="5003" w:type="pct"/>
        <w:tblLayout w:type="fixed"/>
        <w:tblCellMar>
          <w:top w:w="113" w:type="dxa"/>
          <w:bottom w:w="113" w:type="dxa"/>
        </w:tblCellMar>
        <w:tblLook w:val="04A0" w:firstRow="1" w:lastRow="0" w:firstColumn="1" w:lastColumn="0" w:noHBand="0" w:noVBand="1"/>
      </w:tblPr>
      <w:tblGrid>
        <w:gridCol w:w="1270"/>
        <w:gridCol w:w="1058"/>
        <w:gridCol w:w="1164"/>
        <w:gridCol w:w="1164"/>
        <w:gridCol w:w="1164"/>
        <w:gridCol w:w="1164"/>
        <w:gridCol w:w="1164"/>
        <w:gridCol w:w="1164"/>
        <w:gridCol w:w="1164"/>
        <w:gridCol w:w="1164"/>
        <w:gridCol w:w="1164"/>
        <w:gridCol w:w="1153"/>
      </w:tblGrid>
      <w:tr w:rsidR="00D154E7" w:rsidRPr="00D154E7" w14:paraId="48E10B71" w14:textId="77777777" w:rsidTr="003778A3">
        <w:trPr>
          <w:cnfStyle w:val="100000000000" w:firstRow="1" w:lastRow="0" w:firstColumn="0" w:lastColumn="0" w:oddVBand="0" w:evenVBand="0" w:oddHBand="0"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455" w:type="pct"/>
            <w:tcBorders>
              <w:bottom w:val="single" w:sz="12" w:space="0" w:color="auto"/>
              <w:right w:val="single" w:sz="12" w:space="0" w:color="auto"/>
            </w:tcBorders>
            <w:noWrap/>
            <w:vAlign w:val="center"/>
            <w:hideMark/>
          </w:tcPr>
          <w:p w14:paraId="05DDDB13" w14:textId="652C9D79" w:rsidR="00D154E7" w:rsidRPr="001A5B9F" w:rsidRDefault="00D154E7" w:rsidP="00D154E7">
            <w:pPr>
              <w:spacing w:after="0" w:line="312" w:lineRule="auto"/>
              <w:jc w:val="center"/>
              <w:rPr>
                <w:rFonts w:cs="Helvetica"/>
                <w:bCs w:val="0"/>
                <w:color w:val="595959"/>
                <w:szCs w:val="20"/>
              </w:rPr>
            </w:pPr>
          </w:p>
        </w:tc>
        <w:tc>
          <w:tcPr>
            <w:tcW w:w="379" w:type="pct"/>
            <w:tcBorders>
              <w:left w:val="single" w:sz="12" w:space="0" w:color="auto"/>
              <w:bottom w:val="single" w:sz="12" w:space="0" w:color="auto"/>
            </w:tcBorders>
            <w:noWrap/>
            <w:vAlign w:val="center"/>
            <w:hideMark/>
          </w:tcPr>
          <w:p w14:paraId="2B2A0E6B" w14:textId="77777777" w:rsidR="00D154E7" w:rsidRPr="001A5B9F" w:rsidRDefault="00D154E7" w:rsidP="00D154E7">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Cs w:val="0"/>
                <w:color w:val="595959"/>
                <w:szCs w:val="20"/>
              </w:rPr>
            </w:pPr>
            <w:r w:rsidRPr="001A5B9F">
              <w:rPr>
                <w:rFonts w:cs="Helvetica"/>
                <w:color w:val="595959"/>
                <w:szCs w:val="20"/>
              </w:rPr>
              <w:t>Africa</w:t>
            </w:r>
          </w:p>
        </w:tc>
        <w:tc>
          <w:tcPr>
            <w:tcW w:w="417" w:type="pct"/>
            <w:tcBorders>
              <w:bottom w:val="single" w:sz="12" w:space="0" w:color="auto"/>
            </w:tcBorders>
            <w:vAlign w:val="center"/>
          </w:tcPr>
          <w:p w14:paraId="47A29A97" w14:textId="77777777" w:rsidR="00D154E7" w:rsidRPr="001A5B9F" w:rsidRDefault="00D154E7" w:rsidP="00D154E7">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Cs w:val="0"/>
                <w:color w:val="595959"/>
                <w:szCs w:val="20"/>
              </w:rPr>
            </w:pPr>
            <w:r w:rsidRPr="001A5B9F">
              <w:rPr>
                <w:rFonts w:cs="Helvetica"/>
                <w:color w:val="595959"/>
                <w:szCs w:val="20"/>
              </w:rPr>
              <w:t>Asia</w:t>
            </w:r>
          </w:p>
          <w:p w14:paraId="0AFE3EF2" w14:textId="44115DDC" w:rsidR="00D154E7" w:rsidRPr="00FE6088" w:rsidRDefault="00D154E7" w:rsidP="00D154E7">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Cs w:val="20"/>
              </w:rPr>
            </w:pPr>
            <w:r w:rsidRPr="001A5B9F">
              <w:rPr>
                <w:rFonts w:cs="Helvetica"/>
                <w:color w:val="595959"/>
                <w:szCs w:val="20"/>
              </w:rPr>
              <w:t>(ex. China)</w:t>
            </w:r>
          </w:p>
        </w:tc>
        <w:tc>
          <w:tcPr>
            <w:tcW w:w="417" w:type="pct"/>
            <w:tcBorders>
              <w:bottom w:val="single" w:sz="12" w:space="0" w:color="auto"/>
            </w:tcBorders>
            <w:vAlign w:val="center"/>
          </w:tcPr>
          <w:p w14:paraId="7FDAE613" w14:textId="6A59DBA7" w:rsidR="00D154E7" w:rsidRPr="00FE6088" w:rsidRDefault="00D154E7" w:rsidP="00D154E7">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Cs w:val="20"/>
              </w:rPr>
            </w:pPr>
            <w:r w:rsidRPr="001A5B9F">
              <w:rPr>
                <w:rFonts w:cs="Helvetica"/>
                <w:color w:val="595959"/>
                <w:szCs w:val="20"/>
              </w:rPr>
              <w:t>China</w:t>
            </w:r>
          </w:p>
        </w:tc>
        <w:tc>
          <w:tcPr>
            <w:tcW w:w="417" w:type="pct"/>
            <w:tcBorders>
              <w:bottom w:val="single" w:sz="12" w:space="0" w:color="auto"/>
            </w:tcBorders>
            <w:vAlign w:val="center"/>
          </w:tcPr>
          <w:p w14:paraId="5C9A34FF" w14:textId="70DA1A20" w:rsidR="00D154E7" w:rsidRPr="00FE6088" w:rsidRDefault="00D154E7" w:rsidP="00D154E7">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Cs w:val="20"/>
              </w:rPr>
            </w:pPr>
            <w:r w:rsidRPr="001A5B9F">
              <w:rPr>
                <w:rFonts w:cs="Helvetica"/>
                <w:color w:val="595959"/>
                <w:szCs w:val="20"/>
              </w:rPr>
              <w:t>Europe</w:t>
            </w:r>
            <w:r w:rsidR="008A407E">
              <w:rPr>
                <w:rFonts w:cs="Helvetica"/>
                <w:color w:val="595959"/>
                <w:szCs w:val="20"/>
              </w:rPr>
              <w:t xml:space="preserve"> West &amp; Central</w:t>
            </w:r>
          </w:p>
        </w:tc>
        <w:tc>
          <w:tcPr>
            <w:tcW w:w="417" w:type="pct"/>
            <w:tcBorders>
              <w:bottom w:val="single" w:sz="12" w:space="0" w:color="auto"/>
            </w:tcBorders>
            <w:vAlign w:val="center"/>
          </w:tcPr>
          <w:p w14:paraId="62DEC99F" w14:textId="24624B71" w:rsidR="00D154E7" w:rsidRPr="00FE6088" w:rsidRDefault="00D154E7" w:rsidP="00D154E7">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Cs w:val="20"/>
              </w:rPr>
            </w:pPr>
            <w:r w:rsidRPr="001A5B9F">
              <w:rPr>
                <w:rFonts w:cs="Helvetica"/>
                <w:color w:val="595959"/>
                <w:szCs w:val="20"/>
              </w:rPr>
              <w:t>GCC</w:t>
            </w:r>
          </w:p>
        </w:tc>
        <w:tc>
          <w:tcPr>
            <w:tcW w:w="417" w:type="pct"/>
            <w:tcBorders>
              <w:bottom w:val="single" w:sz="12" w:space="0" w:color="auto"/>
              <w:right w:val="dashed" w:sz="4" w:space="0" w:color="BFBFBF" w:themeColor="background1" w:themeShade="BF"/>
            </w:tcBorders>
            <w:noWrap/>
            <w:vAlign w:val="center"/>
            <w:hideMark/>
          </w:tcPr>
          <w:p w14:paraId="0777E04A" w14:textId="737B7906" w:rsidR="00D154E7" w:rsidRPr="001A5B9F" w:rsidRDefault="00D154E7" w:rsidP="00D154E7">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Cs w:val="0"/>
                <w:color w:val="595959"/>
                <w:szCs w:val="20"/>
              </w:rPr>
            </w:pPr>
            <w:r w:rsidRPr="001A5B9F">
              <w:rPr>
                <w:rFonts w:cs="Helvetica"/>
                <w:color w:val="595959"/>
                <w:szCs w:val="20"/>
              </w:rPr>
              <w:t xml:space="preserve">North America </w:t>
            </w:r>
          </w:p>
        </w:tc>
        <w:tc>
          <w:tcPr>
            <w:tcW w:w="417" w:type="pct"/>
            <w:tcBorders>
              <w:left w:val="dashed" w:sz="4" w:space="0" w:color="BFBFBF" w:themeColor="background1" w:themeShade="BF"/>
              <w:bottom w:val="single" w:sz="12" w:space="0" w:color="auto"/>
            </w:tcBorders>
            <w:vAlign w:val="center"/>
          </w:tcPr>
          <w:p w14:paraId="1CE419F4" w14:textId="77777777" w:rsidR="00D154E7" w:rsidRPr="001A5B9F" w:rsidRDefault="00D154E7" w:rsidP="00D154E7">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Cs w:val="0"/>
                <w:i/>
                <w:color w:val="595959"/>
                <w:szCs w:val="20"/>
              </w:rPr>
            </w:pPr>
            <w:r w:rsidRPr="001A5B9F">
              <w:rPr>
                <w:rFonts w:cs="Helvetica"/>
                <w:i/>
                <w:color w:val="595959"/>
                <w:szCs w:val="20"/>
              </w:rPr>
              <w:t>Of which Canada</w:t>
            </w:r>
          </w:p>
        </w:tc>
        <w:tc>
          <w:tcPr>
            <w:tcW w:w="417" w:type="pct"/>
            <w:tcBorders>
              <w:bottom w:val="single" w:sz="12" w:space="0" w:color="auto"/>
            </w:tcBorders>
            <w:vAlign w:val="center"/>
          </w:tcPr>
          <w:p w14:paraId="1142F91A" w14:textId="474CF7E3" w:rsidR="00D154E7" w:rsidRPr="00FE6088" w:rsidRDefault="00D154E7" w:rsidP="00D154E7">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Cs w:val="20"/>
              </w:rPr>
            </w:pPr>
            <w:r w:rsidRPr="001A5B9F">
              <w:rPr>
                <w:rFonts w:cs="Helvetica"/>
                <w:color w:val="595959"/>
                <w:szCs w:val="20"/>
              </w:rPr>
              <w:t>Oceania</w:t>
            </w:r>
          </w:p>
        </w:tc>
        <w:tc>
          <w:tcPr>
            <w:tcW w:w="417" w:type="pct"/>
            <w:tcBorders>
              <w:bottom w:val="single" w:sz="12" w:space="0" w:color="auto"/>
            </w:tcBorders>
            <w:vAlign w:val="center"/>
          </w:tcPr>
          <w:p w14:paraId="2F29478A" w14:textId="569D4EF8" w:rsidR="00D154E7" w:rsidRPr="00FE6088" w:rsidRDefault="00D154E7" w:rsidP="00D154E7">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Cs w:val="20"/>
              </w:rPr>
            </w:pPr>
            <w:r w:rsidRPr="001A5B9F">
              <w:rPr>
                <w:rFonts w:cs="Helvetica"/>
                <w:color w:val="595959"/>
                <w:szCs w:val="20"/>
              </w:rPr>
              <w:t xml:space="preserve">Russia </w:t>
            </w:r>
            <w:r w:rsidRPr="001A5B9F">
              <w:rPr>
                <w:rFonts w:cs="Helvetica"/>
                <w:color w:val="595959"/>
                <w:szCs w:val="20"/>
              </w:rPr>
              <w:br/>
              <w:t xml:space="preserve">&amp; </w:t>
            </w:r>
            <w:r w:rsidR="008A407E">
              <w:rPr>
                <w:rFonts w:cs="Helvetica" w:hint="eastAsia"/>
                <w:color w:val="595959"/>
                <w:szCs w:val="20"/>
                <w:lang w:eastAsia="zh-CN"/>
              </w:rPr>
              <w:t>East</w:t>
            </w:r>
            <w:r w:rsidRPr="001A5B9F">
              <w:rPr>
                <w:rFonts w:cs="Helvetica"/>
                <w:color w:val="595959"/>
                <w:szCs w:val="20"/>
              </w:rPr>
              <w:t xml:space="preserve"> Europe</w:t>
            </w:r>
          </w:p>
        </w:tc>
        <w:tc>
          <w:tcPr>
            <w:tcW w:w="417" w:type="pct"/>
            <w:tcBorders>
              <w:bottom w:val="single" w:sz="12" w:space="0" w:color="auto"/>
            </w:tcBorders>
            <w:noWrap/>
            <w:vAlign w:val="center"/>
            <w:hideMark/>
          </w:tcPr>
          <w:p w14:paraId="75C4596A" w14:textId="57CEAF55" w:rsidR="00D154E7" w:rsidRPr="001A5B9F" w:rsidRDefault="00D154E7" w:rsidP="00D154E7">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Cs w:val="0"/>
                <w:color w:val="595959"/>
                <w:szCs w:val="20"/>
              </w:rPr>
            </w:pPr>
            <w:r w:rsidRPr="001A5B9F">
              <w:rPr>
                <w:rFonts w:cs="Helvetica"/>
                <w:color w:val="595959"/>
                <w:szCs w:val="20"/>
              </w:rPr>
              <w:t>South America</w:t>
            </w:r>
          </w:p>
        </w:tc>
        <w:tc>
          <w:tcPr>
            <w:tcW w:w="413" w:type="pct"/>
            <w:tcBorders>
              <w:left w:val="double" w:sz="4" w:space="0" w:color="auto"/>
              <w:bottom w:val="single" w:sz="12" w:space="0" w:color="auto"/>
            </w:tcBorders>
            <w:noWrap/>
            <w:vAlign w:val="center"/>
            <w:hideMark/>
          </w:tcPr>
          <w:p w14:paraId="220F87FF" w14:textId="77777777" w:rsidR="00D154E7" w:rsidRPr="001A5B9F" w:rsidRDefault="00D154E7" w:rsidP="00D154E7">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Cs w:val="0"/>
                <w:color w:val="595959"/>
                <w:szCs w:val="20"/>
              </w:rPr>
            </w:pPr>
            <w:r w:rsidRPr="001A5B9F">
              <w:rPr>
                <w:rFonts w:cs="Helvetica"/>
                <w:color w:val="595959"/>
                <w:szCs w:val="20"/>
              </w:rPr>
              <w:t>World</w:t>
            </w:r>
          </w:p>
        </w:tc>
      </w:tr>
      <w:tr w:rsidR="003778A3" w:rsidRPr="00D154E7" w14:paraId="20AD8FBB" w14:textId="77777777" w:rsidTr="003778A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55" w:type="pct"/>
            <w:tcBorders>
              <w:top w:val="single" w:sz="12" w:space="0" w:color="auto"/>
              <w:right w:val="single" w:sz="12" w:space="0" w:color="auto"/>
            </w:tcBorders>
            <w:noWrap/>
            <w:vAlign w:val="center"/>
            <w:hideMark/>
          </w:tcPr>
          <w:p w14:paraId="7C80C4AA" w14:textId="77777777" w:rsidR="003778A3" w:rsidRPr="001A5B9F" w:rsidRDefault="003778A3" w:rsidP="003778A3">
            <w:pPr>
              <w:widowControl w:val="0"/>
              <w:tabs>
                <w:tab w:val="left" w:pos="-1440"/>
                <w:tab w:val="left" w:pos="-720"/>
              </w:tabs>
              <w:spacing w:after="0" w:line="312" w:lineRule="auto"/>
              <w:jc w:val="center"/>
              <w:rPr>
                <w:rFonts w:cs="Helvetica"/>
                <w:color w:val="595959"/>
                <w:szCs w:val="20"/>
              </w:rPr>
            </w:pPr>
            <w:r w:rsidRPr="001A5B9F">
              <w:rPr>
                <w:rFonts w:cs="Helvetica"/>
                <w:color w:val="595959"/>
                <w:szCs w:val="20"/>
              </w:rPr>
              <w:t>Hydro</w:t>
            </w:r>
          </w:p>
        </w:tc>
        <w:tc>
          <w:tcPr>
            <w:tcW w:w="379" w:type="pct"/>
            <w:tcBorders>
              <w:top w:val="single" w:sz="12" w:space="0" w:color="auto"/>
              <w:left w:val="single" w:sz="12" w:space="0" w:color="auto"/>
            </w:tcBorders>
            <w:noWrap/>
            <w:vAlign w:val="center"/>
          </w:tcPr>
          <w:p w14:paraId="7305AD0F" w14:textId="1C5D852C"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 xml:space="preserve"> 11,651 </w:t>
            </w:r>
          </w:p>
        </w:tc>
        <w:tc>
          <w:tcPr>
            <w:tcW w:w="417" w:type="pct"/>
            <w:tcBorders>
              <w:top w:val="single" w:sz="12" w:space="0" w:color="auto"/>
            </w:tcBorders>
            <w:vAlign w:val="center"/>
          </w:tcPr>
          <w:p w14:paraId="6596A948" w14:textId="3F6D020C" w:rsidR="003778A3" w:rsidRPr="00FE6088"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 xml:space="preserve"> 1,264 </w:t>
            </w:r>
          </w:p>
        </w:tc>
        <w:tc>
          <w:tcPr>
            <w:tcW w:w="417" w:type="pct"/>
            <w:tcBorders>
              <w:top w:val="single" w:sz="12" w:space="0" w:color="auto"/>
            </w:tcBorders>
            <w:vAlign w:val="center"/>
          </w:tcPr>
          <w:p w14:paraId="352B6008" w14:textId="6DAB1F30" w:rsidR="003778A3" w:rsidRPr="00FE6088"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48,434</w:t>
            </w:r>
          </w:p>
        </w:tc>
        <w:tc>
          <w:tcPr>
            <w:tcW w:w="417" w:type="pct"/>
            <w:tcBorders>
              <w:top w:val="single" w:sz="12" w:space="0" w:color="auto"/>
            </w:tcBorders>
            <w:vAlign w:val="center"/>
          </w:tcPr>
          <w:p w14:paraId="5C9E4C53" w14:textId="4044131C" w:rsidR="003778A3" w:rsidRPr="00FE6088"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30,420</w:t>
            </w:r>
          </w:p>
        </w:tc>
        <w:tc>
          <w:tcPr>
            <w:tcW w:w="417" w:type="pct"/>
            <w:tcBorders>
              <w:top w:val="single" w:sz="12" w:space="0" w:color="auto"/>
            </w:tcBorders>
            <w:vAlign w:val="center"/>
          </w:tcPr>
          <w:p w14:paraId="337B15BC" w14:textId="734EFDE9" w:rsidR="003778A3" w:rsidRPr="00FE6088"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 xml:space="preserve">0   </w:t>
            </w:r>
          </w:p>
        </w:tc>
        <w:tc>
          <w:tcPr>
            <w:tcW w:w="417" w:type="pct"/>
            <w:tcBorders>
              <w:top w:val="single" w:sz="12" w:space="0" w:color="auto"/>
              <w:right w:val="dashed" w:sz="4" w:space="0" w:color="BFBFBF" w:themeColor="background1" w:themeShade="BF"/>
            </w:tcBorders>
            <w:noWrap/>
            <w:vAlign w:val="center"/>
          </w:tcPr>
          <w:p w14:paraId="3BCD09AB" w14:textId="5D38DF35"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 xml:space="preserve"> 45,169 </w:t>
            </w:r>
          </w:p>
        </w:tc>
        <w:tc>
          <w:tcPr>
            <w:tcW w:w="417" w:type="pct"/>
            <w:tcBorders>
              <w:top w:val="single" w:sz="12" w:space="0" w:color="auto"/>
              <w:left w:val="dashed" w:sz="4" w:space="0" w:color="BFBFBF" w:themeColor="background1" w:themeShade="BF"/>
            </w:tcBorders>
            <w:vAlign w:val="center"/>
          </w:tcPr>
          <w:p w14:paraId="43F8AA48" w14:textId="0115AE6F"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i/>
                <w:color w:val="595959"/>
                <w:szCs w:val="20"/>
              </w:rPr>
            </w:pPr>
            <w:r>
              <w:rPr>
                <w:rFonts w:cs="Helvetica"/>
                <w:i/>
                <w:color w:val="595959"/>
                <w:szCs w:val="20"/>
              </w:rPr>
              <w:t>(42,165)</w:t>
            </w:r>
          </w:p>
        </w:tc>
        <w:tc>
          <w:tcPr>
            <w:tcW w:w="417" w:type="pct"/>
            <w:tcBorders>
              <w:top w:val="single" w:sz="12" w:space="0" w:color="auto"/>
            </w:tcBorders>
            <w:vAlign w:val="center"/>
          </w:tcPr>
          <w:p w14:paraId="7626A621" w14:textId="784FDFF8" w:rsidR="003778A3" w:rsidRPr="00FE6088"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 xml:space="preserve"> 8,229 </w:t>
            </w:r>
          </w:p>
        </w:tc>
        <w:tc>
          <w:tcPr>
            <w:tcW w:w="417" w:type="pct"/>
            <w:tcBorders>
              <w:top w:val="single" w:sz="12" w:space="0" w:color="auto"/>
            </w:tcBorders>
            <w:vAlign w:val="center"/>
          </w:tcPr>
          <w:p w14:paraId="51C73AC7" w14:textId="0B363A41" w:rsidR="003778A3" w:rsidRPr="00FE6088"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 xml:space="preserve"> 62,635 </w:t>
            </w:r>
          </w:p>
        </w:tc>
        <w:tc>
          <w:tcPr>
            <w:tcW w:w="417" w:type="pct"/>
            <w:tcBorders>
              <w:top w:val="single" w:sz="12" w:space="0" w:color="auto"/>
            </w:tcBorders>
            <w:noWrap/>
            <w:vAlign w:val="center"/>
          </w:tcPr>
          <w:p w14:paraId="35A958BC" w14:textId="187760F7"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 xml:space="preserve"> 13,492 </w:t>
            </w:r>
          </w:p>
        </w:tc>
        <w:tc>
          <w:tcPr>
            <w:tcW w:w="413" w:type="pct"/>
            <w:tcBorders>
              <w:top w:val="single" w:sz="12" w:space="0" w:color="auto"/>
              <w:left w:val="double" w:sz="4" w:space="0" w:color="auto"/>
            </w:tcBorders>
            <w:noWrap/>
            <w:vAlign w:val="center"/>
          </w:tcPr>
          <w:p w14:paraId="548580DD" w14:textId="57973E40"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ascii="Arial" w:hAnsi="Arial" w:cs="Helvetica"/>
                <w:color w:val="595959"/>
                <w:szCs w:val="20"/>
              </w:rPr>
              <w:t>221,294</w:t>
            </w:r>
          </w:p>
        </w:tc>
      </w:tr>
      <w:tr w:rsidR="003778A3" w:rsidRPr="00D154E7" w14:paraId="2921A7D5" w14:textId="77777777" w:rsidTr="003778A3">
        <w:trPr>
          <w:trHeight w:val="284"/>
        </w:trPr>
        <w:tc>
          <w:tcPr>
            <w:cnfStyle w:val="001000000000" w:firstRow="0" w:lastRow="0" w:firstColumn="1" w:lastColumn="0" w:oddVBand="0" w:evenVBand="0" w:oddHBand="0" w:evenHBand="0" w:firstRowFirstColumn="0" w:firstRowLastColumn="0" w:lastRowFirstColumn="0" w:lastRowLastColumn="0"/>
            <w:tcW w:w="455" w:type="pct"/>
            <w:tcBorders>
              <w:right w:val="single" w:sz="12" w:space="0" w:color="auto"/>
            </w:tcBorders>
            <w:noWrap/>
            <w:vAlign w:val="center"/>
            <w:hideMark/>
          </w:tcPr>
          <w:p w14:paraId="3D6FAC8F" w14:textId="77777777" w:rsidR="003778A3" w:rsidRPr="001A5B9F" w:rsidRDefault="003778A3" w:rsidP="003778A3">
            <w:pPr>
              <w:widowControl w:val="0"/>
              <w:tabs>
                <w:tab w:val="left" w:pos="-1440"/>
                <w:tab w:val="left" w:pos="-720"/>
              </w:tabs>
              <w:spacing w:after="0" w:line="312" w:lineRule="auto"/>
              <w:jc w:val="center"/>
              <w:rPr>
                <w:rFonts w:cs="Helvetica"/>
                <w:color w:val="595959"/>
                <w:szCs w:val="20"/>
              </w:rPr>
            </w:pPr>
            <w:r w:rsidRPr="001A5B9F">
              <w:rPr>
                <w:rFonts w:cs="Helvetica"/>
                <w:color w:val="595959"/>
                <w:szCs w:val="20"/>
              </w:rPr>
              <w:t>Coal</w:t>
            </w:r>
          </w:p>
        </w:tc>
        <w:tc>
          <w:tcPr>
            <w:tcW w:w="379" w:type="pct"/>
            <w:tcBorders>
              <w:left w:val="single" w:sz="12" w:space="0" w:color="auto"/>
            </w:tcBorders>
            <w:noWrap/>
            <w:vAlign w:val="center"/>
          </w:tcPr>
          <w:p w14:paraId="003BC990" w14:textId="5CEC297E"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 xml:space="preserve"> 11,320 </w:t>
            </w:r>
          </w:p>
        </w:tc>
        <w:tc>
          <w:tcPr>
            <w:tcW w:w="417" w:type="pct"/>
            <w:vAlign w:val="center"/>
          </w:tcPr>
          <w:p w14:paraId="43E9C29C" w14:textId="5E835412" w:rsidR="003778A3" w:rsidRPr="00FE6088"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 xml:space="preserve"> 39,203 </w:t>
            </w:r>
          </w:p>
        </w:tc>
        <w:tc>
          <w:tcPr>
            <w:tcW w:w="417" w:type="pct"/>
            <w:vAlign w:val="center"/>
          </w:tcPr>
          <w:p w14:paraId="24525350" w14:textId="74466995" w:rsidR="003778A3" w:rsidRPr="00FE6088"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cs="Helvetica"/>
                <w:color w:val="595959"/>
                <w:szCs w:val="20"/>
              </w:rPr>
              <w:t>387,474</w:t>
            </w:r>
          </w:p>
        </w:tc>
        <w:tc>
          <w:tcPr>
            <w:tcW w:w="417" w:type="pct"/>
            <w:vAlign w:val="center"/>
          </w:tcPr>
          <w:p w14:paraId="7F30547D" w14:textId="04D254DC" w:rsidR="003778A3" w:rsidRPr="00FE6088"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 xml:space="preserve"> 4,940 </w:t>
            </w:r>
          </w:p>
        </w:tc>
        <w:tc>
          <w:tcPr>
            <w:tcW w:w="417" w:type="pct"/>
            <w:vAlign w:val="center"/>
          </w:tcPr>
          <w:p w14:paraId="571EE030" w14:textId="2043DE45" w:rsidR="003778A3" w:rsidRPr="00FE6088"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 xml:space="preserve">0   </w:t>
            </w:r>
          </w:p>
        </w:tc>
        <w:tc>
          <w:tcPr>
            <w:tcW w:w="417" w:type="pct"/>
            <w:tcBorders>
              <w:right w:val="dashed" w:sz="4" w:space="0" w:color="BFBFBF" w:themeColor="background1" w:themeShade="BF"/>
            </w:tcBorders>
            <w:noWrap/>
            <w:vAlign w:val="center"/>
          </w:tcPr>
          <w:p w14:paraId="10B0441A" w14:textId="1660A806"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 xml:space="preserve"> 6,193 </w:t>
            </w:r>
          </w:p>
        </w:tc>
        <w:tc>
          <w:tcPr>
            <w:tcW w:w="417" w:type="pct"/>
            <w:tcBorders>
              <w:left w:val="dashed" w:sz="4" w:space="0" w:color="BFBFBF" w:themeColor="background1" w:themeShade="BF"/>
            </w:tcBorders>
            <w:vAlign w:val="center"/>
          </w:tcPr>
          <w:p w14:paraId="5531420F" w14:textId="77777777"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i/>
                <w:color w:val="595959"/>
                <w:szCs w:val="20"/>
              </w:rPr>
            </w:pPr>
            <w:r w:rsidRPr="001A5B9F">
              <w:rPr>
                <w:rFonts w:cs="Helvetica"/>
                <w:i/>
                <w:color w:val="595959"/>
                <w:szCs w:val="20"/>
              </w:rPr>
              <w:t>0</w:t>
            </w:r>
          </w:p>
        </w:tc>
        <w:tc>
          <w:tcPr>
            <w:tcW w:w="417" w:type="pct"/>
            <w:vAlign w:val="center"/>
          </w:tcPr>
          <w:p w14:paraId="68AF72B1" w14:textId="3C9BFD27" w:rsidR="003778A3" w:rsidRPr="00FE6088"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 xml:space="preserve"> 18,547 </w:t>
            </w:r>
          </w:p>
        </w:tc>
        <w:tc>
          <w:tcPr>
            <w:tcW w:w="417" w:type="pct"/>
            <w:vAlign w:val="center"/>
          </w:tcPr>
          <w:p w14:paraId="7B8684AD" w14:textId="664879A9" w:rsidR="003778A3" w:rsidRPr="00FE6088"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 xml:space="preserve"> 1,212 </w:t>
            </w:r>
          </w:p>
        </w:tc>
        <w:tc>
          <w:tcPr>
            <w:tcW w:w="417" w:type="pct"/>
            <w:noWrap/>
            <w:vAlign w:val="center"/>
          </w:tcPr>
          <w:p w14:paraId="5DC00C86" w14:textId="1BC2C354"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cs="Helvetica"/>
                <w:color w:val="595959"/>
                <w:szCs w:val="20"/>
              </w:rPr>
              <w:t>0</w:t>
            </w:r>
            <w:r w:rsidRPr="003778A3">
              <w:rPr>
                <w:rFonts w:cs="Helvetica"/>
                <w:color w:val="595959"/>
                <w:szCs w:val="20"/>
              </w:rPr>
              <w:t xml:space="preserve">   </w:t>
            </w:r>
          </w:p>
        </w:tc>
        <w:tc>
          <w:tcPr>
            <w:tcW w:w="413" w:type="pct"/>
            <w:tcBorders>
              <w:left w:val="double" w:sz="4" w:space="0" w:color="auto"/>
            </w:tcBorders>
            <w:noWrap/>
            <w:vAlign w:val="center"/>
          </w:tcPr>
          <w:p w14:paraId="1826F214" w14:textId="01F0FADA"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ascii="Arial" w:hAnsi="Arial" w:cs="Helvetica"/>
                <w:color w:val="595959"/>
                <w:szCs w:val="20"/>
              </w:rPr>
              <w:t>468,891</w:t>
            </w:r>
          </w:p>
        </w:tc>
      </w:tr>
      <w:tr w:rsidR="003778A3" w:rsidRPr="00D154E7" w14:paraId="6269BEB2" w14:textId="77777777" w:rsidTr="003778A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55" w:type="pct"/>
            <w:tcBorders>
              <w:right w:val="single" w:sz="12" w:space="0" w:color="auto"/>
            </w:tcBorders>
            <w:noWrap/>
            <w:vAlign w:val="center"/>
            <w:hideMark/>
          </w:tcPr>
          <w:p w14:paraId="0B30638F" w14:textId="77777777" w:rsidR="003778A3" w:rsidRPr="001A5B9F" w:rsidRDefault="003778A3" w:rsidP="003778A3">
            <w:pPr>
              <w:widowControl w:val="0"/>
              <w:tabs>
                <w:tab w:val="left" w:pos="-1440"/>
                <w:tab w:val="left" w:pos="-720"/>
              </w:tabs>
              <w:spacing w:after="0" w:line="312" w:lineRule="auto"/>
              <w:jc w:val="center"/>
              <w:rPr>
                <w:rFonts w:cs="Helvetica"/>
                <w:color w:val="595959"/>
                <w:szCs w:val="20"/>
              </w:rPr>
            </w:pPr>
            <w:r w:rsidRPr="001A5B9F">
              <w:rPr>
                <w:rFonts w:cs="Helvetica"/>
                <w:color w:val="595959"/>
                <w:szCs w:val="20"/>
              </w:rPr>
              <w:t>Oil</w:t>
            </w:r>
          </w:p>
        </w:tc>
        <w:tc>
          <w:tcPr>
            <w:tcW w:w="379" w:type="pct"/>
            <w:tcBorders>
              <w:left w:val="single" w:sz="12" w:space="0" w:color="auto"/>
            </w:tcBorders>
            <w:noWrap/>
            <w:vAlign w:val="center"/>
          </w:tcPr>
          <w:p w14:paraId="5A681BDF" w14:textId="116960DC"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0</w:t>
            </w:r>
          </w:p>
        </w:tc>
        <w:tc>
          <w:tcPr>
            <w:tcW w:w="417" w:type="pct"/>
            <w:vAlign w:val="center"/>
          </w:tcPr>
          <w:p w14:paraId="66F15CA1" w14:textId="194795C3" w:rsidR="003778A3" w:rsidRPr="00FE6088"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 xml:space="preserve"> 5 </w:t>
            </w:r>
          </w:p>
        </w:tc>
        <w:tc>
          <w:tcPr>
            <w:tcW w:w="417" w:type="pct"/>
            <w:vAlign w:val="center"/>
          </w:tcPr>
          <w:p w14:paraId="1DF72D27" w14:textId="5BCDEB21" w:rsidR="003778A3" w:rsidRPr="00FE6088"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1A5B9F">
              <w:rPr>
                <w:rFonts w:cs="Helvetica"/>
                <w:color w:val="595959"/>
                <w:szCs w:val="20"/>
              </w:rPr>
              <w:t>0</w:t>
            </w:r>
          </w:p>
        </w:tc>
        <w:tc>
          <w:tcPr>
            <w:tcW w:w="417" w:type="pct"/>
            <w:vAlign w:val="center"/>
          </w:tcPr>
          <w:p w14:paraId="518E3DD1" w14:textId="00795F81" w:rsidR="003778A3" w:rsidRPr="00FE6088"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 xml:space="preserve"> 289 </w:t>
            </w:r>
          </w:p>
        </w:tc>
        <w:tc>
          <w:tcPr>
            <w:tcW w:w="417" w:type="pct"/>
            <w:vAlign w:val="center"/>
          </w:tcPr>
          <w:p w14:paraId="2DAE0BF8" w14:textId="1AEE0F11" w:rsidR="003778A3" w:rsidRPr="00FE6088"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 xml:space="preserve"> 6 </w:t>
            </w:r>
          </w:p>
        </w:tc>
        <w:tc>
          <w:tcPr>
            <w:tcW w:w="417" w:type="pct"/>
            <w:tcBorders>
              <w:right w:val="dashed" w:sz="4" w:space="0" w:color="BFBFBF" w:themeColor="background1" w:themeShade="BF"/>
            </w:tcBorders>
            <w:noWrap/>
            <w:vAlign w:val="center"/>
          </w:tcPr>
          <w:p w14:paraId="67021952" w14:textId="3B98861B"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 xml:space="preserve"> 5 </w:t>
            </w:r>
          </w:p>
        </w:tc>
        <w:tc>
          <w:tcPr>
            <w:tcW w:w="417" w:type="pct"/>
            <w:tcBorders>
              <w:left w:val="dashed" w:sz="4" w:space="0" w:color="BFBFBF" w:themeColor="background1" w:themeShade="BF"/>
            </w:tcBorders>
            <w:vAlign w:val="center"/>
          </w:tcPr>
          <w:p w14:paraId="56923A6D" w14:textId="77777777"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i/>
                <w:color w:val="595959"/>
                <w:szCs w:val="20"/>
              </w:rPr>
            </w:pPr>
            <w:r w:rsidRPr="001A5B9F">
              <w:rPr>
                <w:rFonts w:cs="Helvetica"/>
                <w:i/>
                <w:color w:val="595959"/>
                <w:szCs w:val="20"/>
              </w:rPr>
              <w:t>0</w:t>
            </w:r>
          </w:p>
        </w:tc>
        <w:tc>
          <w:tcPr>
            <w:tcW w:w="417" w:type="pct"/>
            <w:vAlign w:val="center"/>
          </w:tcPr>
          <w:p w14:paraId="36CAC245" w14:textId="23C2AFD6" w:rsidR="003778A3" w:rsidRPr="00FE6088"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0</w:t>
            </w:r>
            <w:r w:rsidRPr="003778A3">
              <w:rPr>
                <w:rFonts w:cs="Helvetica"/>
                <w:color w:val="595959"/>
                <w:szCs w:val="20"/>
              </w:rPr>
              <w:t xml:space="preserve">   </w:t>
            </w:r>
          </w:p>
        </w:tc>
        <w:tc>
          <w:tcPr>
            <w:tcW w:w="417" w:type="pct"/>
            <w:vAlign w:val="center"/>
          </w:tcPr>
          <w:p w14:paraId="40459C50" w14:textId="3B70975D" w:rsidR="003778A3" w:rsidRPr="00FE6088"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 xml:space="preserve"> 4 </w:t>
            </w:r>
          </w:p>
        </w:tc>
        <w:tc>
          <w:tcPr>
            <w:tcW w:w="417" w:type="pct"/>
            <w:noWrap/>
            <w:vAlign w:val="center"/>
          </w:tcPr>
          <w:p w14:paraId="42D8470E" w14:textId="28CAB84A"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0</w:t>
            </w:r>
            <w:r w:rsidRPr="003778A3">
              <w:rPr>
                <w:rFonts w:cs="Helvetica"/>
                <w:color w:val="595959"/>
                <w:szCs w:val="20"/>
              </w:rPr>
              <w:t xml:space="preserve">   </w:t>
            </w:r>
          </w:p>
        </w:tc>
        <w:tc>
          <w:tcPr>
            <w:tcW w:w="413" w:type="pct"/>
            <w:tcBorders>
              <w:left w:val="double" w:sz="4" w:space="0" w:color="auto"/>
            </w:tcBorders>
            <w:noWrap/>
            <w:vAlign w:val="center"/>
          </w:tcPr>
          <w:p w14:paraId="3776C4D4" w14:textId="57A3C0A2"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ascii="Arial" w:hAnsi="Arial" w:cs="Helvetica"/>
                <w:color w:val="595959"/>
                <w:szCs w:val="20"/>
              </w:rPr>
              <w:t>309</w:t>
            </w:r>
          </w:p>
        </w:tc>
      </w:tr>
      <w:tr w:rsidR="003778A3" w:rsidRPr="00D154E7" w14:paraId="271795E1" w14:textId="77777777" w:rsidTr="003778A3">
        <w:trPr>
          <w:trHeight w:val="284"/>
        </w:trPr>
        <w:tc>
          <w:tcPr>
            <w:cnfStyle w:val="001000000000" w:firstRow="0" w:lastRow="0" w:firstColumn="1" w:lastColumn="0" w:oddVBand="0" w:evenVBand="0" w:oddHBand="0" w:evenHBand="0" w:firstRowFirstColumn="0" w:firstRowLastColumn="0" w:lastRowFirstColumn="0" w:lastRowLastColumn="0"/>
            <w:tcW w:w="455" w:type="pct"/>
            <w:tcBorders>
              <w:right w:val="single" w:sz="12" w:space="0" w:color="auto"/>
            </w:tcBorders>
            <w:noWrap/>
            <w:vAlign w:val="center"/>
          </w:tcPr>
          <w:p w14:paraId="568C2A9B" w14:textId="63D4A292" w:rsidR="003778A3" w:rsidRPr="001A5B9F" w:rsidRDefault="003778A3" w:rsidP="003778A3">
            <w:pPr>
              <w:widowControl w:val="0"/>
              <w:tabs>
                <w:tab w:val="left" w:pos="-1440"/>
                <w:tab w:val="left" w:pos="-720"/>
              </w:tabs>
              <w:spacing w:after="0" w:line="312" w:lineRule="auto"/>
              <w:jc w:val="center"/>
              <w:rPr>
                <w:rFonts w:cs="Helvetica"/>
                <w:color w:val="595959"/>
                <w:szCs w:val="20"/>
              </w:rPr>
            </w:pPr>
            <w:r w:rsidRPr="001A5B9F">
              <w:rPr>
                <w:rFonts w:cs="Helvetica"/>
                <w:color w:val="595959"/>
                <w:szCs w:val="20"/>
              </w:rPr>
              <w:t>Natural Gas</w:t>
            </w:r>
          </w:p>
        </w:tc>
        <w:tc>
          <w:tcPr>
            <w:tcW w:w="379" w:type="pct"/>
            <w:tcBorders>
              <w:left w:val="single" w:sz="12" w:space="0" w:color="auto"/>
            </w:tcBorders>
            <w:noWrap/>
            <w:vAlign w:val="center"/>
          </w:tcPr>
          <w:p w14:paraId="5A4B5F10" w14:textId="12B5821C"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0</w:t>
            </w:r>
          </w:p>
        </w:tc>
        <w:tc>
          <w:tcPr>
            <w:tcW w:w="417" w:type="pct"/>
            <w:vAlign w:val="center"/>
          </w:tcPr>
          <w:p w14:paraId="188AD217" w14:textId="2E1651A1"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cs="Helvetica"/>
                <w:color w:val="595959"/>
                <w:szCs w:val="20"/>
              </w:rPr>
              <w:t>0</w:t>
            </w:r>
            <w:r w:rsidRPr="003778A3">
              <w:rPr>
                <w:rFonts w:cs="Helvetica"/>
                <w:color w:val="595959"/>
                <w:szCs w:val="20"/>
              </w:rPr>
              <w:t xml:space="preserve">   </w:t>
            </w:r>
          </w:p>
        </w:tc>
        <w:tc>
          <w:tcPr>
            <w:tcW w:w="417" w:type="pct"/>
            <w:vAlign w:val="center"/>
          </w:tcPr>
          <w:p w14:paraId="20AA77B3" w14:textId="220F26B4"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cs="Helvetica"/>
                <w:color w:val="595959"/>
                <w:szCs w:val="20"/>
              </w:rPr>
              <w:t>0</w:t>
            </w:r>
          </w:p>
        </w:tc>
        <w:tc>
          <w:tcPr>
            <w:tcW w:w="417" w:type="pct"/>
            <w:vAlign w:val="center"/>
          </w:tcPr>
          <w:p w14:paraId="46BEE279" w14:textId="4B5191EF"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1,934</w:t>
            </w:r>
          </w:p>
        </w:tc>
        <w:tc>
          <w:tcPr>
            <w:tcW w:w="417" w:type="pct"/>
            <w:vAlign w:val="center"/>
          </w:tcPr>
          <w:p w14:paraId="24030AA2" w14:textId="39C4B4D3"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84,347</w:t>
            </w:r>
          </w:p>
        </w:tc>
        <w:tc>
          <w:tcPr>
            <w:tcW w:w="417" w:type="pct"/>
            <w:tcBorders>
              <w:right w:val="dashed" w:sz="4" w:space="0" w:color="BFBFBF" w:themeColor="background1" w:themeShade="BF"/>
            </w:tcBorders>
            <w:noWrap/>
            <w:vAlign w:val="center"/>
          </w:tcPr>
          <w:p w14:paraId="23BBB80E" w14:textId="655D9585"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 xml:space="preserve"> 428 </w:t>
            </w:r>
          </w:p>
        </w:tc>
        <w:tc>
          <w:tcPr>
            <w:tcW w:w="417" w:type="pct"/>
            <w:tcBorders>
              <w:left w:val="dashed" w:sz="4" w:space="0" w:color="BFBFBF" w:themeColor="background1" w:themeShade="BF"/>
            </w:tcBorders>
            <w:vAlign w:val="center"/>
          </w:tcPr>
          <w:p w14:paraId="7390A456" w14:textId="3D22C459"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i/>
                <w:color w:val="595959"/>
                <w:szCs w:val="20"/>
              </w:rPr>
            </w:pPr>
            <w:r>
              <w:rPr>
                <w:rFonts w:cs="Helvetica"/>
                <w:i/>
                <w:color w:val="595959"/>
                <w:szCs w:val="20"/>
              </w:rPr>
              <w:t>0</w:t>
            </w:r>
          </w:p>
        </w:tc>
        <w:tc>
          <w:tcPr>
            <w:tcW w:w="417" w:type="pct"/>
            <w:vAlign w:val="center"/>
          </w:tcPr>
          <w:p w14:paraId="0EFD5A60" w14:textId="34421E50"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263</w:t>
            </w:r>
          </w:p>
        </w:tc>
        <w:tc>
          <w:tcPr>
            <w:tcW w:w="417" w:type="pct"/>
            <w:vAlign w:val="center"/>
          </w:tcPr>
          <w:p w14:paraId="2880D457" w14:textId="696BA2AD"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128</w:t>
            </w:r>
          </w:p>
        </w:tc>
        <w:tc>
          <w:tcPr>
            <w:tcW w:w="417" w:type="pct"/>
            <w:noWrap/>
            <w:vAlign w:val="center"/>
          </w:tcPr>
          <w:p w14:paraId="715EE1AC" w14:textId="6274508B"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 xml:space="preserve"> 3,384 </w:t>
            </w:r>
          </w:p>
        </w:tc>
        <w:tc>
          <w:tcPr>
            <w:tcW w:w="413" w:type="pct"/>
            <w:tcBorders>
              <w:left w:val="double" w:sz="4" w:space="0" w:color="auto"/>
            </w:tcBorders>
            <w:noWrap/>
            <w:vAlign w:val="center"/>
          </w:tcPr>
          <w:p w14:paraId="60047C0B" w14:textId="7DBD325D"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ascii="Arial" w:hAnsi="Arial" w:cs="Helvetica"/>
                <w:color w:val="595959"/>
                <w:szCs w:val="20"/>
              </w:rPr>
            </w:pPr>
            <w:r>
              <w:rPr>
                <w:rFonts w:ascii="Arial" w:hAnsi="Arial" w:cs="Helvetica"/>
                <w:color w:val="595959"/>
                <w:szCs w:val="20"/>
              </w:rPr>
              <w:t>90,485</w:t>
            </w:r>
          </w:p>
        </w:tc>
      </w:tr>
      <w:tr w:rsidR="003778A3" w:rsidRPr="00D154E7" w14:paraId="0091D504" w14:textId="77777777" w:rsidTr="003778A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55" w:type="pct"/>
            <w:tcBorders>
              <w:right w:val="single" w:sz="12" w:space="0" w:color="auto"/>
            </w:tcBorders>
            <w:noWrap/>
            <w:vAlign w:val="center"/>
          </w:tcPr>
          <w:p w14:paraId="767617F1" w14:textId="31FBFE15" w:rsidR="003778A3" w:rsidRPr="001A5B9F" w:rsidRDefault="003778A3" w:rsidP="003778A3">
            <w:pPr>
              <w:widowControl w:val="0"/>
              <w:tabs>
                <w:tab w:val="left" w:pos="-1440"/>
                <w:tab w:val="left" w:pos="-720"/>
              </w:tabs>
              <w:spacing w:after="0" w:line="312" w:lineRule="auto"/>
              <w:jc w:val="center"/>
              <w:rPr>
                <w:rFonts w:cs="Helvetica"/>
                <w:color w:val="595959"/>
                <w:szCs w:val="20"/>
              </w:rPr>
            </w:pPr>
            <w:r w:rsidRPr="001A5B9F">
              <w:rPr>
                <w:rFonts w:cs="Helvetica"/>
                <w:color w:val="595959"/>
                <w:szCs w:val="20"/>
              </w:rPr>
              <w:t>Nuclear</w:t>
            </w:r>
          </w:p>
        </w:tc>
        <w:tc>
          <w:tcPr>
            <w:tcW w:w="379" w:type="pct"/>
            <w:tcBorders>
              <w:left w:val="single" w:sz="12" w:space="0" w:color="auto"/>
            </w:tcBorders>
            <w:noWrap/>
            <w:vAlign w:val="center"/>
          </w:tcPr>
          <w:p w14:paraId="2B81643A" w14:textId="584D29C3"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0</w:t>
            </w:r>
          </w:p>
        </w:tc>
        <w:tc>
          <w:tcPr>
            <w:tcW w:w="417" w:type="pct"/>
            <w:vAlign w:val="center"/>
          </w:tcPr>
          <w:p w14:paraId="1DEED03A" w14:textId="1F9D2CF7"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0</w:t>
            </w:r>
            <w:r w:rsidRPr="003778A3">
              <w:rPr>
                <w:rFonts w:cs="Helvetica"/>
                <w:color w:val="595959"/>
                <w:szCs w:val="20"/>
              </w:rPr>
              <w:t xml:space="preserve">   </w:t>
            </w:r>
          </w:p>
        </w:tc>
        <w:tc>
          <w:tcPr>
            <w:tcW w:w="417" w:type="pct"/>
            <w:vAlign w:val="center"/>
          </w:tcPr>
          <w:p w14:paraId="6DB6FBA9" w14:textId="0375F14E"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0</w:t>
            </w:r>
          </w:p>
        </w:tc>
        <w:tc>
          <w:tcPr>
            <w:tcW w:w="417" w:type="pct"/>
            <w:vAlign w:val="center"/>
          </w:tcPr>
          <w:p w14:paraId="1FE1843F" w14:textId="13584EE7"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4,499</w:t>
            </w:r>
          </w:p>
        </w:tc>
        <w:tc>
          <w:tcPr>
            <w:tcW w:w="417" w:type="pct"/>
            <w:vAlign w:val="center"/>
          </w:tcPr>
          <w:p w14:paraId="299B367C" w14:textId="4A59DE97"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0</w:t>
            </w:r>
          </w:p>
        </w:tc>
        <w:tc>
          <w:tcPr>
            <w:tcW w:w="417" w:type="pct"/>
            <w:tcBorders>
              <w:right w:val="dashed" w:sz="4" w:space="0" w:color="BFBFBF" w:themeColor="background1" w:themeShade="BF"/>
            </w:tcBorders>
            <w:noWrap/>
            <w:vAlign w:val="center"/>
          </w:tcPr>
          <w:p w14:paraId="42860578" w14:textId="523DF5BE"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 xml:space="preserve"> 137 </w:t>
            </w:r>
          </w:p>
        </w:tc>
        <w:tc>
          <w:tcPr>
            <w:tcW w:w="417" w:type="pct"/>
            <w:tcBorders>
              <w:left w:val="dashed" w:sz="4" w:space="0" w:color="BFBFBF" w:themeColor="background1" w:themeShade="BF"/>
            </w:tcBorders>
            <w:vAlign w:val="center"/>
          </w:tcPr>
          <w:p w14:paraId="2A8C9EF1" w14:textId="26FB166B"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i/>
                <w:color w:val="595959"/>
                <w:szCs w:val="20"/>
              </w:rPr>
            </w:pPr>
            <w:r>
              <w:rPr>
                <w:rFonts w:cs="Helvetica"/>
                <w:i/>
                <w:color w:val="595959"/>
                <w:szCs w:val="20"/>
              </w:rPr>
              <w:t>0</w:t>
            </w:r>
          </w:p>
        </w:tc>
        <w:tc>
          <w:tcPr>
            <w:tcW w:w="417" w:type="pct"/>
            <w:vAlign w:val="center"/>
          </w:tcPr>
          <w:p w14:paraId="6FBA4EED" w14:textId="6791A61F"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0</w:t>
            </w:r>
          </w:p>
        </w:tc>
        <w:tc>
          <w:tcPr>
            <w:tcW w:w="417" w:type="pct"/>
            <w:vAlign w:val="center"/>
          </w:tcPr>
          <w:p w14:paraId="5972CFF5" w14:textId="614CA328"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2,760</w:t>
            </w:r>
          </w:p>
        </w:tc>
        <w:tc>
          <w:tcPr>
            <w:tcW w:w="417" w:type="pct"/>
            <w:noWrap/>
            <w:vAlign w:val="center"/>
          </w:tcPr>
          <w:p w14:paraId="24A0DF92" w14:textId="30F74F06"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cs="Helvetica"/>
                <w:color w:val="595959"/>
                <w:szCs w:val="20"/>
              </w:rPr>
              <w:t>0</w:t>
            </w:r>
            <w:r w:rsidRPr="003778A3">
              <w:rPr>
                <w:rFonts w:cs="Helvetica"/>
                <w:color w:val="595959"/>
                <w:szCs w:val="20"/>
              </w:rPr>
              <w:t xml:space="preserve">   </w:t>
            </w:r>
          </w:p>
        </w:tc>
        <w:tc>
          <w:tcPr>
            <w:tcW w:w="413" w:type="pct"/>
            <w:tcBorders>
              <w:left w:val="double" w:sz="4" w:space="0" w:color="auto"/>
            </w:tcBorders>
            <w:noWrap/>
            <w:vAlign w:val="center"/>
          </w:tcPr>
          <w:p w14:paraId="4AAD974A" w14:textId="64419FEC"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ascii="Arial" w:hAnsi="Arial" w:cs="Helvetica"/>
                <w:color w:val="595959"/>
                <w:szCs w:val="20"/>
              </w:rPr>
            </w:pPr>
            <w:r>
              <w:rPr>
                <w:rFonts w:ascii="Arial" w:hAnsi="Arial" w:cs="Helvetica"/>
                <w:color w:val="595959"/>
                <w:szCs w:val="20"/>
              </w:rPr>
              <w:t>7,395</w:t>
            </w:r>
          </w:p>
        </w:tc>
      </w:tr>
      <w:tr w:rsidR="003778A3" w:rsidRPr="00D154E7" w14:paraId="227CFF64" w14:textId="77777777" w:rsidTr="003778A3">
        <w:trPr>
          <w:trHeight w:val="284"/>
        </w:trPr>
        <w:tc>
          <w:tcPr>
            <w:cnfStyle w:val="001000000000" w:firstRow="0" w:lastRow="0" w:firstColumn="1" w:lastColumn="0" w:oddVBand="0" w:evenVBand="0" w:oddHBand="0" w:evenHBand="0" w:firstRowFirstColumn="0" w:firstRowLastColumn="0" w:lastRowFirstColumn="0" w:lastRowLastColumn="0"/>
            <w:tcW w:w="455" w:type="pct"/>
            <w:tcBorders>
              <w:right w:val="single" w:sz="12" w:space="0" w:color="auto"/>
            </w:tcBorders>
            <w:noWrap/>
            <w:vAlign w:val="center"/>
            <w:hideMark/>
          </w:tcPr>
          <w:p w14:paraId="0DC5B006" w14:textId="4E83DCAF" w:rsidR="003778A3" w:rsidRPr="001A5B9F" w:rsidRDefault="003778A3" w:rsidP="003778A3">
            <w:pPr>
              <w:widowControl w:val="0"/>
              <w:tabs>
                <w:tab w:val="left" w:pos="-1440"/>
                <w:tab w:val="left" w:pos="-720"/>
              </w:tabs>
              <w:spacing w:after="0" w:line="312" w:lineRule="auto"/>
              <w:jc w:val="center"/>
              <w:rPr>
                <w:rFonts w:cs="Helvetica"/>
                <w:color w:val="595959"/>
                <w:szCs w:val="20"/>
              </w:rPr>
            </w:pPr>
            <w:r w:rsidRPr="003778A3">
              <w:rPr>
                <w:rFonts w:cs="Helvetica"/>
                <w:color w:val="595959"/>
                <w:szCs w:val="20"/>
              </w:rPr>
              <w:t>Other Renewable</w:t>
            </w:r>
          </w:p>
        </w:tc>
        <w:tc>
          <w:tcPr>
            <w:tcW w:w="379" w:type="pct"/>
            <w:tcBorders>
              <w:left w:val="single" w:sz="12" w:space="0" w:color="auto"/>
            </w:tcBorders>
            <w:noWrap/>
            <w:vAlign w:val="center"/>
          </w:tcPr>
          <w:p w14:paraId="73FE853B" w14:textId="1CBBCB74"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0</w:t>
            </w:r>
          </w:p>
        </w:tc>
        <w:tc>
          <w:tcPr>
            <w:tcW w:w="417" w:type="pct"/>
            <w:vAlign w:val="center"/>
          </w:tcPr>
          <w:p w14:paraId="19DAA1C0" w14:textId="3353158E" w:rsidR="003778A3" w:rsidRPr="00FE6088"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 xml:space="preserve"> 37 </w:t>
            </w:r>
          </w:p>
        </w:tc>
        <w:tc>
          <w:tcPr>
            <w:tcW w:w="417" w:type="pct"/>
            <w:vAlign w:val="center"/>
          </w:tcPr>
          <w:p w14:paraId="0BFC6FE5" w14:textId="642231CF" w:rsidR="003778A3" w:rsidRPr="00FE6088"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cs="Helvetica"/>
                <w:color w:val="595959"/>
                <w:szCs w:val="20"/>
              </w:rPr>
              <w:t>48,434</w:t>
            </w:r>
          </w:p>
        </w:tc>
        <w:tc>
          <w:tcPr>
            <w:tcW w:w="417" w:type="pct"/>
            <w:vAlign w:val="center"/>
          </w:tcPr>
          <w:p w14:paraId="2F809D59" w14:textId="14494A5C" w:rsidR="003778A3" w:rsidRPr="00FE6088"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6,598</w:t>
            </w:r>
          </w:p>
        </w:tc>
        <w:tc>
          <w:tcPr>
            <w:tcW w:w="417" w:type="pct"/>
            <w:vAlign w:val="center"/>
          </w:tcPr>
          <w:p w14:paraId="52248674" w14:textId="15E146BF" w:rsidR="003778A3" w:rsidRPr="00FE6088"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0</w:t>
            </w:r>
          </w:p>
        </w:tc>
        <w:tc>
          <w:tcPr>
            <w:tcW w:w="417" w:type="pct"/>
            <w:tcBorders>
              <w:right w:val="dashed" w:sz="4" w:space="0" w:color="BFBFBF" w:themeColor="background1" w:themeShade="BF"/>
            </w:tcBorders>
            <w:noWrap/>
            <w:vAlign w:val="center"/>
          </w:tcPr>
          <w:p w14:paraId="064A2B56" w14:textId="38A0A2EA"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 xml:space="preserve"> 885 </w:t>
            </w:r>
          </w:p>
        </w:tc>
        <w:tc>
          <w:tcPr>
            <w:tcW w:w="417" w:type="pct"/>
            <w:tcBorders>
              <w:left w:val="dashed" w:sz="4" w:space="0" w:color="BFBFBF" w:themeColor="background1" w:themeShade="BF"/>
            </w:tcBorders>
            <w:vAlign w:val="center"/>
          </w:tcPr>
          <w:p w14:paraId="666D424E" w14:textId="77777777"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i/>
                <w:color w:val="595959"/>
                <w:szCs w:val="20"/>
              </w:rPr>
            </w:pPr>
            <w:r w:rsidRPr="001A5B9F">
              <w:rPr>
                <w:rFonts w:cs="Helvetica"/>
                <w:i/>
                <w:color w:val="595959"/>
                <w:szCs w:val="20"/>
              </w:rPr>
              <w:t>0</w:t>
            </w:r>
          </w:p>
        </w:tc>
        <w:tc>
          <w:tcPr>
            <w:tcW w:w="417" w:type="pct"/>
            <w:vAlign w:val="center"/>
          </w:tcPr>
          <w:p w14:paraId="1E8CE174" w14:textId="3F73AA7C" w:rsidR="003778A3" w:rsidRPr="00FE6088"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809</w:t>
            </w:r>
          </w:p>
        </w:tc>
        <w:tc>
          <w:tcPr>
            <w:tcW w:w="417" w:type="pct"/>
            <w:vAlign w:val="center"/>
          </w:tcPr>
          <w:p w14:paraId="48805BFE" w14:textId="58044D74" w:rsidR="003778A3" w:rsidRPr="00FE6088"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155</w:t>
            </w:r>
          </w:p>
        </w:tc>
        <w:tc>
          <w:tcPr>
            <w:tcW w:w="417" w:type="pct"/>
            <w:noWrap/>
            <w:vAlign w:val="center"/>
          </w:tcPr>
          <w:p w14:paraId="08958FCB" w14:textId="48868107"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 xml:space="preserve"> 84 </w:t>
            </w:r>
          </w:p>
        </w:tc>
        <w:tc>
          <w:tcPr>
            <w:tcW w:w="413" w:type="pct"/>
            <w:tcBorders>
              <w:left w:val="double" w:sz="4" w:space="0" w:color="auto"/>
            </w:tcBorders>
            <w:noWrap/>
            <w:vAlign w:val="center"/>
          </w:tcPr>
          <w:p w14:paraId="6FFB9B2D" w14:textId="4A21EB2F"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Pr>
                <w:rFonts w:ascii="Arial" w:hAnsi="Arial" w:cs="Helvetica"/>
                <w:color w:val="595959"/>
                <w:szCs w:val="20"/>
              </w:rPr>
              <w:t>57,003</w:t>
            </w:r>
          </w:p>
        </w:tc>
      </w:tr>
      <w:tr w:rsidR="003778A3" w:rsidRPr="00D154E7" w14:paraId="031B7D5F" w14:textId="77777777" w:rsidTr="003778A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55" w:type="pct"/>
            <w:tcBorders>
              <w:bottom w:val="double" w:sz="4" w:space="0" w:color="auto"/>
              <w:right w:val="single" w:sz="12" w:space="0" w:color="auto"/>
            </w:tcBorders>
            <w:noWrap/>
            <w:vAlign w:val="center"/>
            <w:hideMark/>
          </w:tcPr>
          <w:p w14:paraId="305E647D" w14:textId="36099829" w:rsidR="003778A3" w:rsidRPr="001A5B9F" w:rsidRDefault="003778A3" w:rsidP="003778A3">
            <w:pPr>
              <w:widowControl w:val="0"/>
              <w:tabs>
                <w:tab w:val="left" w:pos="-1440"/>
                <w:tab w:val="left" w:pos="-720"/>
              </w:tabs>
              <w:spacing w:after="0" w:line="312" w:lineRule="auto"/>
              <w:jc w:val="center"/>
              <w:rPr>
                <w:rFonts w:cs="Helvetica"/>
                <w:color w:val="595959"/>
                <w:szCs w:val="20"/>
              </w:rPr>
            </w:pPr>
            <w:r w:rsidRPr="003778A3">
              <w:rPr>
                <w:rFonts w:cs="Helvetica"/>
                <w:color w:val="595959"/>
                <w:szCs w:val="20"/>
              </w:rPr>
              <w:t>Other non-renewable</w:t>
            </w:r>
          </w:p>
        </w:tc>
        <w:tc>
          <w:tcPr>
            <w:tcW w:w="379" w:type="pct"/>
            <w:tcBorders>
              <w:left w:val="single" w:sz="12" w:space="0" w:color="auto"/>
              <w:bottom w:val="double" w:sz="4" w:space="0" w:color="auto"/>
            </w:tcBorders>
            <w:noWrap/>
            <w:vAlign w:val="center"/>
          </w:tcPr>
          <w:p w14:paraId="3041DBFD" w14:textId="1598820A"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19</w:t>
            </w:r>
          </w:p>
        </w:tc>
        <w:tc>
          <w:tcPr>
            <w:tcW w:w="417" w:type="pct"/>
            <w:tcBorders>
              <w:bottom w:val="double" w:sz="4" w:space="0" w:color="auto"/>
            </w:tcBorders>
            <w:vAlign w:val="center"/>
          </w:tcPr>
          <w:p w14:paraId="067258B6" w14:textId="393F371A" w:rsidR="003778A3" w:rsidRPr="00FE6088"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 xml:space="preserve"> </w:t>
            </w:r>
            <w:r>
              <w:rPr>
                <w:rFonts w:cs="Helvetica"/>
                <w:color w:val="595959"/>
                <w:szCs w:val="20"/>
              </w:rPr>
              <w:t>0</w:t>
            </w:r>
            <w:r w:rsidRPr="003778A3">
              <w:rPr>
                <w:rFonts w:cs="Helvetica"/>
                <w:color w:val="595959"/>
                <w:szCs w:val="20"/>
              </w:rPr>
              <w:t xml:space="preserve"> </w:t>
            </w:r>
          </w:p>
        </w:tc>
        <w:tc>
          <w:tcPr>
            <w:tcW w:w="417" w:type="pct"/>
            <w:tcBorders>
              <w:bottom w:val="double" w:sz="4" w:space="0" w:color="auto"/>
            </w:tcBorders>
            <w:vAlign w:val="center"/>
          </w:tcPr>
          <w:p w14:paraId="6B039CE3" w14:textId="05E34DD4" w:rsidR="003778A3" w:rsidRPr="00FE6088"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1A5B9F">
              <w:rPr>
                <w:rFonts w:cs="Helvetica"/>
                <w:color w:val="595959"/>
                <w:szCs w:val="20"/>
              </w:rPr>
              <w:t>0</w:t>
            </w:r>
          </w:p>
        </w:tc>
        <w:tc>
          <w:tcPr>
            <w:tcW w:w="417" w:type="pct"/>
            <w:tcBorders>
              <w:bottom w:val="double" w:sz="4" w:space="0" w:color="auto"/>
            </w:tcBorders>
            <w:vAlign w:val="center"/>
          </w:tcPr>
          <w:p w14:paraId="332759CB" w14:textId="2212C757" w:rsidR="003778A3" w:rsidRPr="00FE6088"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837</w:t>
            </w:r>
          </w:p>
        </w:tc>
        <w:tc>
          <w:tcPr>
            <w:tcW w:w="417" w:type="pct"/>
            <w:tcBorders>
              <w:bottom w:val="double" w:sz="4" w:space="0" w:color="auto"/>
            </w:tcBorders>
            <w:vAlign w:val="center"/>
          </w:tcPr>
          <w:p w14:paraId="6A230049" w14:textId="53C271C4" w:rsidR="003778A3" w:rsidRPr="00FE6088"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0</w:t>
            </w:r>
          </w:p>
        </w:tc>
        <w:tc>
          <w:tcPr>
            <w:tcW w:w="417" w:type="pct"/>
            <w:tcBorders>
              <w:bottom w:val="double" w:sz="4" w:space="0" w:color="auto"/>
              <w:right w:val="dashed" w:sz="4" w:space="0" w:color="BFBFBF" w:themeColor="background1" w:themeShade="BF"/>
            </w:tcBorders>
            <w:noWrap/>
            <w:vAlign w:val="center"/>
          </w:tcPr>
          <w:p w14:paraId="69A144CF" w14:textId="003C1659"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 xml:space="preserve"> 23 </w:t>
            </w:r>
          </w:p>
        </w:tc>
        <w:tc>
          <w:tcPr>
            <w:tcW w:w="417" w:type="pct"/>
            <w:tcBorders>
              <w:left w:val="dashed" w:sz="4" w:space="0" w:color="BFBFBF" w:themeColor="background1" w:themeShade="BF"/>
              <w:bottom w:val="double" w:sz="4" w:space="0" w:color="auto"/>
            </w:tcBorders>
            <w:vAlign w:val="center"/>
          </w:tcPr>
          <w:p w14:paraId="6AD9B979" w14:textId="77777777"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i/>
                <w:color w:val="595959"/>
                <w:szCs w:val="20"/>
              </w:rPr>
            </w:pPr>
            <w:r w:rsidRPr="001A5B9F">
              <w:rPr>
                <w:rFonts w:cs="Helvetica"/>
                <w:i/>
                <w:color w:val="595959"/>
                <w:szCs w:val="20"/>
              </w:rPr>
              <w:t>0</w:t>
            </w:r>
          </w:p>
        </w:tc>
        <w:tc>
          <w:tcPr>
            <w:tcW w:w="417" w:type="pct"/>
            <w:tcBorders>
              <w:bottom w:val="double" w:sz="4" w:space="0" w:color="auto"/>
            </w:tcBorders>
            <w:vAlign w:val="center"/>
          </w:tcPr>
          <w:p w14:paraId="499A4FF8" w14:textId="2AB0B81D" w:rsidR="003778A3" w:rsidRPr="00FE6088"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26</w:t>
            </w:r>
          </w:p>
        </w:tc>
        <w:tc>
          <w:tcPr>
            <w:tcW w:w="417" w:type="pct"/>
            <w:tcBorders>
              <w:bottom w:val="double" w:sz="4" w:space="0" w:color="auto"/>
            </w:tcBorders>
            <w:vAlign w:val="center"/>
          </w:tcPr>
          <w:p w14:paraId="73B4F58D" w14:textId="2D461190" w:rsidR="003778A3" w:rsidRPr="00FE6088"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46</w:t>
            </w:r>
          </w:p>
        </w:tc>
        <w:tc>
          <w:tcPr>
            <w:tcW w:w="417" w:type="pct"/>
            <w:tcBorders>
              <w:bottom w:val="double" w:sz="4" w:space="0" w:color="auto"/>
            </w:tcBorders>
            <w:noWrap/>
            <w:vAlign w:val="center"/>
          </w:tcPr>
          <w:p w14:paraId="3DAD55F6" w14:textId="7B7DCB48"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sidRPr="003778A3">
              <w:rPr>
                <w:rFonts w:cs="Helvetica"/>
                <w:color w:val="595959"/>
                <w:szCs w:val="20"/>
              </w:rPr>
              <w:t xml:space="preserve"> 17 </w:t>
            </w:r>
          </w:p>
        </w:tc>
        <w:tc>
          <w:tcPr>
            <w:tcW w:w="413" w:type="pct"/>
            <w:tcBorders>
              <w:left w:val="double" w:sz="4" w:space="0" w:color="auto"/>
              <w:bottom w:val="double" w:sz="4" w:space="0" w:color="auto"/>
            </w:tcBorders>
            <w:noWrap/>
            <w:vAlign w:val="center"/>
          </w:tcPr>
          <w:p w14:paraId="56A7EC27" w14:textId="744FFEAB" w:rsidR="003778A3" w:rsidRPr="001A5B9F" w:rsidRDefault="003778A3" w:rsidP="003778A3">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rPr>
            </w:pPr>
            <w:r>
              <w:rPr>
                <w:rFonts w:ascii="Arial" w:hAnsi="Arial" w:cs="Helvetica"/>
                <w:color w:val="595959"/>
                <w:szCs w:val="20"/>
              </w:rPr>
              <w:t>968</w:t>
            </w:r>
          </w:p>
        </w:tc>
      </w:tr>
      <w:tr w:rsidR="003778A3" w:rsidRPr="00D154E7" w14:paraId="23BB3B8C" w14:textId="77777777" w:rsidTr="003778A3">
        <w:trPr>
          <w:trHeight w:val="146"/>
        </w:trPr>
        <w:tc>
          <w:tcPr>
            <w:cnfStyle w:val="001000000000" w:firstRow="0" w:lastRow="0" w:firstColumn="1" w:lastColumn="0" w:oddVBand="0" w:evenVBand="0" w:oddHBand="0" w:evenHBand="0" w:firstRowFirstColumn="0" w:firstRowLastColumn="0" w:lastRowFirstColumn="0" w:lastRowLastColumn="0"/>
            <w:tcW w:w="455" w:type="pct"/>
            <w:tcBorders>
              <w:top w:val="double" w:sz="4" w:space="0" w:color="auto"/>
              <w:right w:val="single" w:sz="12" w:space="0" w:color="auto"/>
            </w:tcBorders>
            <w:noWrap/>
            <w:vAlign w:val="center"/>
            <w:hideMark/>
          </w:tcPr>
          <w:p w14:paraId="50A559E3" w14:textId="77777777" w:rsidR="003778A3" w:rsidRPr="001A5B9F" w:rsidRDefault="003778A3" w:rsidP="003778A3">
            <w:pPr>
              <w:widowControl w:val="0"/>
              <w:tabs>
                <w:tab w:val="left" w:pos="-1440"/>
                <w:tab w:val="left" w:pos="-720"/>
              </w:tabs>
              <w:spacing w:after="0" w:line="312" w:lineRule="auto"/>
              <w:jc w:val="center"/>
              <w:rPr>
                <w:rFonts w:cs="Helvetica"/>
                <w:color w:val="595959"/>
                <w:szCs w:val="20"/>
              </w:rPr>
            </w:pPr>
            <w:r w:rsidRPr="001A5B9F">
              <w:rPr>
                <w:rFonts w:cs="Helvetica"/>
                <w:color w:val="595959"/>
                <w:szCs w:val="20"/>
              </w:rPr>
              <w:t>Total</w:t>
            </w:r>
          </w:p>
        </w:tc>
        <w:tc>
          <w:tcPr>
            <w:tcW w:w="379" w:type="pct"/>
            <w:tcBorders>
              <w:top w:val="double" w:sz="4" w:space="0" w:color="auto"/>
              <w:left w:val="single" w:sz="12" w:space="0" w:color="auto"/>
            </w:tcBorders>
            <w:noWrap/>
            <w:vAlign w:val="center"/>
          </w:tcPr>
          <w:p w14:paraId="72763208" w14:textId="3DD1012F"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Cs w:val="20"/>
              </w:rPr>
            </w:pPr>
            <w:r w:rsidRPr="003778A3">
              <w:rPr>
                <w:rFonts w:ascii="Arial" w:hAnsi="Arial" w:cs="Arial"/>
                <w:b/>
                <w:bCs/>
                <w:color w:val="595959"/>
                <w:szCs w:val="20"/>
              </w:rPr>
              <w:t>22,990</w:t>
            </w:r>
          </w:p>
        </w:tc>
        <w:tc>
          <w:tcPr>
            <w:tcW w:w="417" w:type="pct"/>
            <w:tcBorders>
              <w:top w:val="double" w:sz="4" w:space="0" w:color="auto"/>
            </w:tcBorders>
            <w:vAlign w:val="center"/>
          </w:tcPr>
          <w:p w14:paraId="590795DA" w14:textId="3384E05B" w:rsidR="003778A3" w:rsidRPr="003778A3"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40,510</w:t>
            </w:r>
          </w:p>
        </w:tc>
        <w:tc>
          <w:tcPr>
            <w:tcW w:w="417" w:type="pct"/>
            <w:tcBorders>
              <w:top w:val="double" w:sz="4" w:space="0" w:color="auto"/>
            </w:tcBorders>
            <w:vAlign w:val="center"/>
          </w:tcPr>
          <w:p w14:paraId="5E6AABED" w14:textId="6C7C896C" w:rsidR="003778A3" w:rsidRPr="003778A3"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484,342</w:t>
            </w:r>
          </w:p>
        </w:tc>
        <w:tc>
          <w:tcPr>
            <w:tcW w:w="417" w:type="pct"/>
            <w:tcBorders>
              <w:top w:val="double" w:sz="4" w:space="0" w:color="auto"/>
            </w:tcBorders>
            <w:vAlign w:val="center"/>
          </w:tcPr>
          <w:p w14:paraId="3214582A" w14:textId="740C94A5" w:rsidR="003778A3" w:rsidRPr="003778A3"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49,517</w:t>
            </w:r>
          </w:p>
        </w:tc>
        <w:tc>
          <w:tcPr>
            <w:tcW w:w="417" w:type="pct"/>
            <w:tcBorders>
              <w:top w:val="double" w:sz="4" w:space="0" w:color="auto"/>
            </w:tcBorders>
            <w:vAlign w:val="center"/>
          </w:tcPr>
          <w:p w14:paraId="06615AC6" w14:textId="60C74513" w:rsidR="003778A3" w:rsidRPr="003778A3"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84,353</w:t>
            </w:r>
          </w:p>
        </w:tc>
        <w:tc>
          <w:tcPr>
            <w:tcW w:w="417" w:type="pct"/>
            <w:tcBorders>
              <w:top w:val="double" w:sz="4" w:space="0" w:color="auto"/>
              <w:right w:val="dashed" w:sz="4" w:space="0" w:color="BFBFBF" w:themeColor="background1" w:themeShade="BF"/>
            </w:tcBorders>
            <w:noWrap/>
            <w:vAlign w:val="center"/>
          </w:tcPr>
          <w:p w14:paraId="3B6A4236" w14:textId="48B5671A" w:rsidR="003778A3" w:rsidRPr="003778A3"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52,841</w:t>
            </w:r>
          </w:p>
        </w:tc>
        <w:tc>
          <w:tcPr>
            <w:tcW w:w="417" w:type="pct"/>
            <w:tcBorders>
              <w:top w:val="double" w:sz="4" w:space="0" w:color="auto"/>
              <w:left w:val="dashed" w:sz="4" w:space="0" w:color="BFBFBF" w:themeColor="background1" w:themeShade="BF"/>
            </w:tcBorders>
            <w:vAlign w:val="center"/>
          </w:tcPr>
          <w:p w14:paraId="767ADB45" w14:textId="78E97701"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i/>
                <w:color w:val="595959"/>
                <w:szCs w:val="20"/>
              </w:rPr>
            </w:pPr>
            <w:r>
              <w:rPr>
                <w:rFonts w:ascii="Arial" w:hAnsi="Arial" w:cs="Helvetica"/>
                <w:b/>
                <w:bCs/>
                <w:i/>
                <w:color w:val="595959"/>
                <w:szCs w:val="20"/>
              </w:rPr>
              <w:t>(</w:t>
            </w:r>
            <w:r w:rsidRPr="001A5B9F">
              <w:rPr>
                <w:rFonts w:ascii="Arial" w:hAnsi="Arial" w:cs="Helvetica"/>
                <w:b/>
                <w:bCs/>
                <w:i/>
                <w:color w:val="595959"/>
                <w:szCs w:val="20"/>
              </w:rPr>
              <w:t>40,456</w:t>
            </w:r>
            <w:r>
              <w:rPr>
                <w:rFonts w:ascii="Arial" w:hAnsi="Arial" w:cs="Helvetica"/>
                <w:b/>
                <w:bCs/>
                <w:i/>
                <w:color w:val="595959"/>
                <w:szCs w:val="20"/>
              </w:rPr>
              <w:t>)</w:t>
            </w:r>
          </w:p>
        </w:tc>
        <w:tc>
          <w:tcPr>
            <w:tcW w:w="417" w:type="pct"/>
            <w:tcBorders>
              <w:top w:val="double" w:sz="4" w:space="0" w:color="auto"/>
            </w:tcBorders>
            <w:vAlign w:val="center"/>
          </w:tcPr>
          <w:p w14:paraId="2AE32AAD" w14:textId="41E8FBD9" w:rsidR="003778A3" w:rsidRPr="003778A3"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27,873</w:t>
            </w:r>
          </w:p>
        </w:tc>
        <w:tc>
          <w:tcPr>
            <w:tcW w:w="417" w:type="pct"/>
            <w:tcBorders>
              <w:top w:val="double" w:sz="4" w:space="0" w:color="auto"/>
            </w:tcBorders>
            <w:vAlign w:val="center"/>
          </w:tcPr>
          <w:p w14:paraId="1B02BA2F" w14:textId="07FA7E89" w:rsidR="003778A3" w:rsidRPr="003778A3"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66,941</w:t>
            </w:r>
          </w:p>
        </w:tc>
        <w:tc>
          <w:tcPr>
            <w:tcW w:w="417" w:type="pct"/>
            <w:tcBorders>
              <w:top w:val="double" w:sz="4" w:space="0" w:color="auto"/>
            </w:tcBorders>
            <w:noWrap/>
            <w:vAlign w:val="center"/>
          </w:tcPr>
          <w:p w14:paraId="623AD51C" w14:textId="431C6EA7" w:rsidR="003778A3" w:rsidRPr="003778A3"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rPr>
            </w:pPr>
            <w:r w:rsidRPr="003778A3">
              <w:rPr>
                <w:rFonts w:cs="Helvetica"/>
                <w:color w:val="595959"/>
                <w:szCs w:val="20"/>
              </w:rPr>
              <w:t>16,977</w:t>
            </w:r>
          </w:p>
        </w:tc>
        <w:tc>
          <w:tcPr>
            <w:tcW w:w="413" w:type="pct"/>
            <w:tcBorders>
              <w:top w:val="double" w:sz="4" w:space="0" w:color="auto"/>
              <w:left w:val="double" w:sz="4" w:space="0" w:color="auto"/>
            </w:tcBorders>
            <w:noWrap/>
            <w:vAlign w:val="center"/>
          </w:tcPr>
          <w:p w14:paraId="19C488A7" w14:textId="51874F53" w:rsidR="003778A3" w:rsidRPr="001A5B9F" w:rsidRDefault="003778A3" w:rsidP="003778A3">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Cs w:val="20"/>
              </w:rPr>
            </w:pPr>
            <w:r>
              <w:rPr>
                <w:rFonts w:ascii="Arial" w:hAnsi="Arial" w:cs="Helvetica"/>
                <w:b/>
                <w:bCs/>
                <w:color w:val="595959"/>
                <w:szCs w:val="20"/>
              </w:rPr>
              <w:t>846,345</w:t>
            </w:r>
          </w:p>
        </w:tc>
      </w:tr>
    </w:tbl>
    <w:p w14:paraId="60E82B45" w14:textId="77777777" w:rsidR="00226B12" w:rsidRDefault="00226B12" w:rsidP="000D0304">
      <w:pPr>
        <w:spacing w:after="0" w:line="312" w:lineRule="auto"/>
        <w:rPr>
          <w:rFonts w:cs="Helvetica"/>
          <w:color w:val="595959"/>
          <w:szCs w:val="20"/>
          <w:lang w:eastAsia="en-GB"/>
        </w:rPr>
      </w:pPr>
    </w:p>
    <w:p w14:paraId="45D0E5DC" w14:textId="4DEFDB17" w:rsidR="00EF549B" w:rsidRPr="005F0AA8" w:rsidRDefault="00EF549B" w:rsidP="001A5B9F">
      <w:pPr>
        <w:spacing w:before="120" w:after="0" w:line="312" w:lineRule="auto"/>
        <w:jc w:val="right"/>
        <w:rPr>
          <w:rFonts w:cs="Helvetica"/>
          <w:b/>
          <w:color w:val="595959"/>
          <w:szCs w:val="20"/>
          <w:lang w:eastAsia="en-GB"/>
        </w:rPr>
      </w:pPr>
      <w:r w:rsidRPr="005F0AA8">
        <w:rPr>
          <w:rFonts w:cs="Helvetica"/>
          <w:b/>
          <w:color w:val="595959"/>
          <w:szCs w:val="20"/>
          <w:lang w:eastAsia="en-GB"/>
        </w:rPr>
        <w:t xml:space="preserve">Table </w:t>
      </w:r>
      <w:r w:rsidR="00360851">
        <w:rPr>
          <w:rFonts w:cs="Helvetica"/>
          <w:b/>
          <w:color w:val="595959"/>
          <w:szCs w:val="20"/>
          <w:lang w:eastAsia="en-GB"/>
        </w:rPr>
        <w:t>8</w:t>
      </w:r>
      <w:r>
        <w:rPr>
          <w:rFonts w:cs="Helvetica"/>
          <w:b/>
          <w:color w:val="595959"/>
          <w:szCs w:val="20"/>
          <w:lang w:eastAsia="en-GB"/>
        </w:rPr>
        <w:t>:</w:t>
      </w:r>
      <w:r>
        <w:rPr>
          <w:rFonts w:cs="Helvetica"/>
          <w:b/>
          <w:color w:val="595959"/>
          <w:szCs w:val="20"/>
          <w:lang w:eastAsia="en-GB"/>
        </w:rPr>
        <w:tab/>
      </w:r>
      <w:r w:rsidRPr="005F0AA8">
        <w:rPr>
          <w:rFonts w:cs="Helvetica"/>
          <w:b/>
          <w:color w:val="595959"/>
          <w:szCs w:val="20"/>
          <w:lang w:eastAsia="en-GB"/>
        </w:rPr>
        <w:t>201</w:t>
      </w:r>
      <w:r w:rsidR="003778A3">
        <w:rPr>
          <w:rFonts w:cs="Helvetica"/>
          <w:b/>
          <w:color w:val="595959"/>
          <w:szCs w:val="20"/>
          <w:lang w:eastAsia="en-GB"/>
        </w:rPr>
        <w:t>9</w:t>
      </w:r>
      <w:r w:rsidRPr="005F0AA8">
        <w:rPr>
          <w:rFonts w:cs="Helvetica"/>
          <w:b/>
          <w:color w:val="595959"/>
          <w:szCs w:val="20"/>
          <w:lang w:eastAsia="en-GB"/>
        </w:rPr>
        <w:t xml:space="preserve"> Power Mix by Region </w:t>
      </w:r>
      <w:r w:rsidR="00CF4B90">
        <w:rPr>
          <w:rFonts w:cs="Helvetica"/>
          <w:b/>
          <w:color w:val="595959"/>
          <w:szCs w:val="20"/>
          <w:lang w:eastAsia="en-GB"/>
        </w:rPr>
        <w:t>(GWh)</w:t>
      </w:r>
    </w:p>
    <w:p w14:paraId="2CF543FF" w14:textId="30E36418" w:rsidR="00226B12" w:rsidRPr="003778A3" w:rsidRDefault="00226B12" w:rsidP="000D0304">
      <w:pPr>
        <w:spacing w:line="312" w:lineRule="auto"/>
        <w:jc w:val="both"/>
      </w:pPr>
      <w:r w:rsidRPr="000D0304">
        <w:rPr>
          <w:rFonts w:cs="Helvetica"/>
          <w:color w:val="595959"/>
          <w:szCs w:val="20"/>
          <w:lang w:eastAsia="en-GB"/>
        </w:rPr>
        <w:t xml:space="preserve">The data in Table </w:t>
      </w:r>
      <w:r w:rsidR="00360851">
        <w:rPr>
          <w:rFonts w:cs="Helvetica"/>
          <w:color w:val="595959"/>
          <w:szCs w:val="20"/>
          <w:lang w:eastAsia="en-GB"/>
        </w:rPr>
        <w:t>8</w:t>
      </w:r>
      <w:r w:rsidRPr="000D0304">
        <w:rPr>
          <w:rFonts w:cs="Helvetica"/>
          <w:color w:val="595959"/>
          <w:szCs w:val="20"/>
          <w:lang w:eastAsia="en-GB"/>
        </w:rPr>
        <w:t xml:space="preserve"> differs from the power mix reported </w:t>
      </w:r>
      <w:r w:rsidR="00BB1E62">
        <w:rPr>
          <w:rFonts w:cs="Helvetica"/>
          <w:color w:val="595959"/>
          <w:szCs w:val="20"/>
          <w:lang w:eastAsia="en-GB"/>
        </w:rPr>
        <w:t xml:space="preserve">in </w:t>
      </w:r>
      <w:hyperlink r:id="rId25" w:history="1">
        <w:r w:rsidR="003778A3" w:rsidRPr="00E603EA">
          <w:rPr>
            <w:rStyle w:val="Hyperlink"/>
          </w:rPr>
          <w:t>https://international-aluminium.org/statistics/primary-aluminium-smelting-power-consumption</w:t>
        </w:r>
      </w:hyperlink>
      <w:r w:rsidR="003778A3">
        <w:t xml:space="preserve"> </w:t>
      </w:r>
      <w:r w:rsidRPr="000D0304">
        <w:rPr>
          <w:rFonts w:cs="Helvetica"/>
          <w:color w:val="595959"/>
          <w:szCs w:val="20"/>
          <w:lang w:eastAsia="en-GB"/>
        </w:rPr>
        <w:t xml:space="preserve">due to differing regional definitions and </w:t>
      </w:r>
      <w:r w:rsidR="0032074B" w:rsidRPr="000D0304">
        <w:rPr>
          <w:rFonts w:cs="Helvetica"/>
          <w:color w:val="595959"/>
          <w:szCs w:val="20"/>
          <w:lang w:eastAsia="en-GB"/>
        </w:rPr>
        <w:t xml:space="preserve">the </w:t>
      </w:r>
      <w:r w:rsidRPr="000D0304">
        <w:rPr>
          <w:rFonts w:cs="Helvetica"/>
          <w:color w:val="595959"/>
          <w:szCs w:val="20"/>
          <w:lang w:eastAsia="en-GB"/>
        </w:rPr>
        <w:t xml:space="preserve">omission </w:t>
      </w:r>
      <w:r w:rsidR="0032074B" w:rsidRPr="000D0304">
        <w:rPr>
          <w:rFonts w:cs="Helvetica"/>
          <w:color w:val="595959"/>
          <w:szCs w:val="20"/>
          <w:lang w:eastAsia="en-GB"/>
        </w:rPr>
        <w:t>of some modelled s</w:t>
      </w:r>
      <w:r w:rsidRPr="000D0304">
        <w:rPr>
          <w:rFonts w:cs="Helvetica"/>
          <w:color w:val="595959"/>
          <w:szCs w:val="20"/>
          <w:lang w:eastAsia="en-GB"/>
        </w:rPr>
        <w:t xml:space="preserve">ite level data that is included on the website but not in the life cycle </w:t>
      </w:r>
      <w:r w:rsidR="00BB1E62">
        <w:rPr>
          <w:rFonts w:cs="Helvetica"/>
          <w:color w:val="595959"/>
          <w:szCs w:val="20"/>
          <w:lang w:eastAsia="en-GB"/>
        </w:rPr>
        <w:t>inventory</w:t>
      </w:r>
      <w:r w:rsidR="009831A3">
        <w:rPr>
          <w:rFonts w:cs="Helvetica"/>
          <w:color w:val="595959"/>
          <w:szCs w:val="20"/>
          <w:lang w:eastAsia="en-GB"/>
        </w:rPr>
        <w:t xml:space="preserve">.  </w:t>
      </w:r>
    </w:p>
    <w:p w14:paraId="583E56B1" w14:textId="77777777" w:rsidR="00213845" w:rsidRPr="000D0304" w:rsidRDefault="00213845" w:rsidP="000D0304">
      <w:pPr>
        <w:spacing w:line="312" w:lineRule="auto"/>
        <w:rPr>
          <w:rFonts w:cs="Helvetica"/>
          <w:szCs w:val="20"/>
          <w:lang w:eastAsia="en-GB"/>
        </w:rPr>
        <w:sectPr w:rsidR="00213845" w:rsidRPr="000D0304" w:rsidSect="000D0304">
          <w:pgSz w:w="16839" w:h="11907" w:orient="landscape" w:code="9"/>
          <w:pgMar w:top="1440" w:right="1440" w:bottom="1440" w:left="1440" w:header="1276" w:footer="850" w:gutter="0"/>
          <w:cols w:space="708"/>
          <w:docGrid w:linePitch="326"/>
        </w:sectPr>
      </w:pPr>
    </w:p>
    <w:p w14:paraId="6A90A1F5" w14:textId="77777777" w:rsidR="006D76FD" w:rsidRPr="000D0304" w:rsidRDefault="006D76FD" w:rsidP="00DA5301">
      <w:pPr>
        <w:pStyle w:val="Heading3"/>
      </w:pPr>
      <w:bookmarkStart w:id="166" w:name="_Toc120111947"/>
      <w:r w:rsidRPr="000D0304">
        <w:lastRenderedPageBreak/>
        <w:t>Thermal Energy</w:t>
      </w:r>
      <w:bookmarkEnd w:id="166"/>
    </w:p>
    <w:p w14:paraId="49A23627" w14:textId="77777777" w:rsidR="00833611" w:rsidRPr="000D0304" w:rsidRDefault="002B0C74" w:rsidP="000D0304">
      <w:pPr>
        <w:spacing w:after="0" w:line="312" w:lineRule="auto"/>
        <w:contextualSpacing/>
        <w:jc w:val="both"/>
        <w:rPr>
          <w:rFonts w:cs="Helvetica"/>
          <w:color w:val="595959"/>
          <w:szCs w:val="20"/>
          <w:lang w:eastAsia="en-GB"/>
        </w:rPr>
      </w:pPr>
      <w:r w:rsidRPr="000D0304">
        <w:rPr>
          <w:rFonts w:cs="Helvetica"/>
          <w:color w:val="595959"/>
          <w:szCs w:val="20"/>
          <w:lang w:eastAsia="en-GB"/>
        </w:rPr>
        <w:t xml:space="preserve">A similar methodology </w:t>
      </w:r>
      <w:r w:rsidR="0027776B">
        <w:rPr>
          <w:rFonts w:cs="Helvetica"/>
          <w:color w:val="595959"/>
          <w:szCs w:val="20"/>
          <w:lang w:eastAsia="en-GB"/>
        </w:rPr>
        <w:t>is</w:t>
      </w:r>
      <w:r w:rsidR="0027776B" w:rsidRPr="000D0304">
        <w:rPr>
          <w:rFonts w:cs="Helvetica"/>
          <w:color w:val="595959"/>
          <w:szCs w:val="20"/>
          <w:lang w:eastAsia="en-GB"/>
        </w:rPr>
        <w:t xml:space="preserve"> </w:t>
      </w:r>
      <w:r w:rsidRPr="000D0304">
        <w:rPr>
          <w:rFonts w:cs="Helvetica"/>
          <w:color w:val="595959"/>
          <w:szCs w:val="20"/>
          <w:lang w:eastAsia="en-GB"/>
        </w:rPr>
        <w:t xml:space="preserve">used to model the impacts of thermal energy input to </w:t>
      </w:r>
      <w:r w:rsidR="00426F86" w:rsidRPr="000D0304">
        <w:rPr>
          <w:rFonts w:cs="Helvetica"/>
          <w:color w:val="595959"/>
          <w:szCs w:val="20"/>
          <w:lang w:eastAsia="en-GB"/>
        </w:rPr>
        <w:t>bauxite mining, a</w:t>
      </w:r>
      <w:r w:rsidRPr="000D0304">
        <w:rPr>
          <w:rFonts w:cs="Helvetica"/>
          <w:color w:val="595959"/>
          <w:szCs w:val="20"/>
          <w:lang w:eastAsia="en-GB"/>
        </w:rPr>
        <w:t>lum</w:t>
      </w:r>
      <w:r w:rsidR="00CD325E" w:rsidRPr="000D0304">
        <w:rPr>
          <w:rFonts w:cs="Helvetica"/>
          <w:color w:val="595959"/>
          <w:szCs w:val="20"/>
          <w:lang w:eastAsia="en-GB"/>
        </w:rPr>
        <w:t>ina production</w:t>
      </w:r>
      <w:r w:rsidR="00426F86" w:rsidRPr="000D0304">
        <w:rPr>
          <w:rFonts w:cs="Helvetica"/>
          <w:color w:val="595959"/>
          <w:szCs w:val="20"/>
          <w:lang w:eastAsia="en-GB"/>
        </w:rPr>
        <w:t>, anode production, p</w:t>
      </w:r>
      <w:r w:rsidRPr="000D0304">
        <w:rPr>
          <w:rFonts w:cs="Helvetica"/>
          <w:color w:val="595959"/>
          <w:szCs w:val="20"/>
          <w:lang w:eastAsia="en-GB"/>
        </w:rPr>
        <w:t xml:space="preserve">aste </w:t>
      </w:r>
      <w:r w:rsidR="00426F86" w:rsidRPr="000D0304">
        <w:rPr>
          <w:rFonts w:cs="Helvetica"/>
          <w:color w:val="595959"/>
          <w:szCs w:val="20"/>
          <w:lang w:eastAsia="en-GB"/>
        </w:rPr>
        <w:t>production and i</w:t>
      </w:r>
      <w:r w:rsidRPr="000D0304">
        <w:rPr>
          <w:rFonts w:cs="Helvetica"/>
          <w:color w:val="595959"/>
          <w:szCs w:val="20"/>
          <w:lang w:eastAsia="en-GB"/>
        </w:rPr>
        <w:t xml:space="preserve">ngot </w:t>
      </w:r>
      <w:r w:rsidR="00426F86" w:rsidRPr="000D0304">
        <w:rPr>
          <w:rFonts w:cs="Helvetica"/>
          <w:color w:val="595959"/>
          <w:szCs w:val="20"/>
          <w:lang w:eastAsia="en-GB"/>
        </w:rPr>
        <w:t>c</w:t>
      </w:r>
      <w:r w:rsidRPr="000D0304">
        <w:rPr>
          <w:rFonts w:cs="Helvetica"/>
          <w:color w:val="595959"/>
          <w:szCs w:val="20"/>
          <w:lang w:eastAsia="en-GB"/>
        </w:rPr>
        <w:t>asting.</w:t>
      </w:r>
    </w:p>
    <w:p w14:paraId="6F046390" w14:textId="056695AD" w:rsidR="00273C3F" w:rsidRDefault="003778A3" w:rsidP="009E11C8">
      <w:pPr>
        <w:spacing w:after="0" w:line="312" w:lineRule="auto"/>
        <w:contextualSpacing/>
        <w:jc w:val="center"/>
        <w:rPr>
          <w:rFonts w:cs="Helvetica"/>
          <w:color w:val="595959"/>
          <w:szCs w:val="20"/>
          <w:lang w:eastAsia="en-GB"/>
        </w:rPr>
      </w:pPr>
      <w:r w:rsidRPr="003778A3">
        <w:rPr>
          <w:rFonts w:cs="Helvetica"/>
          <w:noProof/>
          <w:color w:val="595959"/>
          <w:szCs w:val="20"/>
          <w:lang w:eastAsia="en-GB"/>
        </w:rPr>
        <w:drawing>
          <wp:inline distT="0" distB="0" distL="0" distR="0" wp14:anchorId="4B88CBF6" wp14:editId="5A058C75">
            <wp:extent cx="5191850" cy="3419952"/>
            <wp:effectExtent l="0" t="0" r="8890" b="9525"/>
            <wp:docPr id="21" name="Picture 2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Word&#10;&#10;Description automatically generated"/>
                    <pic:cNvPicPr/>
                  </pic:nvPicPr>
                  <pic:blipFill>
                    <a:blip r:embed="rId26"/>
                    <a:stretch>
                      <a:fillRect/>
                    </a:stretch>
                  </pic:blipFill>
                  <pic:spPr>
                    <a:xfrm>
                      <a:off x="0" y="0"/>
                      <a:ext cx="5191850" cy="3419952"/>
                    </a:xfrm>
                    <a:prstGeom prst="rect">
                      <a:avLst/>
                    </a:prstGeom>
                  </pic:spPr>
                </pic:pic>
              </a:graphicData>
            </a:graphic>
          </wp:inline>
        </w:drawing>
      </w:r>
    </w:p>
    <w:p w14:paraId="6E0A5CA4" w14:textId="571AFC41" w:rsidR="000C3643" w:rsidRPr="000D0304" w:rsidRDefault="000C3643" w:rsidP="009E11C8">
      <w:pPr>
        <w:spacing w:after="0" w:line="312" w:lineRule="auto"/>
        <w:contextualSpacing/>
        <w:jc w:val="center"/>
        <w:rPr>
          <w:rFonts w:cs="Helvetica"/>
          <w:color w:val="595959"/>
          <w:szCs w:val="20"/>
          <w:lang w:eastAsia="en-GB"/>
        </w:rPr>
      </w:pPr>
    </w:p>
    <w:p w14:paraId="166C6CA6" w14:textId="77777777" w:rsidR="0032074B" w:rsidRPr="000D0304" w:rsidRDefault="0032074B" w:rsidP="000D0304">
      <w:pPr>
        <w:spacing w:after="0" w:line="312" w:lineRule="auto"/>
        <w:contextualSpacing/>
        <w:jc w:val="right"/>
        <w:rPr>
          <w:rFonts w:cs="Helvetica"/>
          <w:b/>
          <w:color w:val="595959"/>
          <w:szCs w:val="20"/>
          <w:lang w:eastAsia="en-GB"/>
        </w:rPr>
      </w:pPr>
      <w:r w:rsidRPr="000D0304">
        <w:rPr>
          <w:rFonts w:cs="Helvetica"/>
          <w:b/>
          <w:color w:val="595959"/>
          <w:szCs w:val="20"/>
          <w:lang w:eastAsia="en-GB"/>
        </w:rPr>
        <w:t>Figure</w:t>
      </w:r>
      <w:r w:rsidR="00EF549B">
        <w:rPr>
          <w:rFonts w:cs="Helvetica"/>
          <w:b/>
          <w:color w:val="595959"/>
          <w:szCs w:val="20"/>
          <w:lang w:eastAsia="en-GB"/>
        </w:rPr>
        <w:t xml:space="preserve"> 11</w:t>
      </w:r>
      <w:r w:rsidRPr="000D0304">
        <w:rPr>
          <w:rFonts w:cs="Helvetica"/>
          <w:b/>
          <w:color w:val="595959"/>
          <w:szCs w:val="20"/>
          <w:lang w:eastAsia="en-GB"/>
        </w:rPr>
        <w:t>:</w:t>
      </w:r>
      <w:r w:rsidR="00EF549B">
        <w:rPr>
          <w:rFonts w:cs="Helvetica"/>
          <w:b/>
          <w:color w:val="595959"/>
          <w:szCs w:val="20"/>
          <w:lang w:eastAsia="en-GB"/>
        </w:rPr>
        <w:tab/>
      </w:r>
      <w:r w:rsidRPr="000D0304">
        <w:rPr>
          <w:rFonts w:cs="Helvetica"/>
          <w:b/>
          <w:color w:val="595959"/>
          <w:szCs w:val="20"/>
          <w:lang w:eastAsia="en-GB"/>
        </w:rPr>
        <w:t xml:space="preserve">GaBi plan for </w:t>
      </w:r>
      <w:r w:rsidR="0027776B">
        <w:rPr>
          <w:rFonts w:cs="Helvetica"/>
          <w:b/>
          <w:color w:val="595959"/>
          <w:szCs w:val="20"/>
          <w:lang w:eastAsia="en-GB"/>
        </w:rPr>
        <w:t>thermal energy</w:t>
      </w:r>
      <w:r w:rsidR="0027776B" w:rsidRPr="000D0304">
        <w:rPr>
          <w:rFonts w:cs="Helvetica"/>
          <w:b/>
          <w:color w:val="595959"/>
          <w:szCs w:val="20"/>
          <w:lang w:eastAsia="en-GB"/>
        </w:rPr>
        <w:t xml:space="preserve"> </w:t>
      </w:r>
      <w:r w:rsidRPr="000D0304">
        <w:rPr>
          <w:rFonts w:cs="Helvetica"/>
          <w:b/>
          <w:color w:val="595959"/>
          <w:szCs w:val="20"/>
          <w:lang w:eastAsia="en-GB"/>
        </w:rPr>
        <w:t>modelling</w:t>
      </w:r>
      <w:r w:rsidR="00EA0B85">
        <w:rPr>
          <w:rFonts w:cs="Helvetica"/>
          <w:b/>
          <w:color w:val="595959"/>
          <w:szCs w:val="20"/>
          <w:lang w:eastAsia="en-GB"/>
        </w:rPr>
        <w:t xml:space="preserve"> from hard coal</w:t>
      </w:r>
      <w:r w:rsidRPr="000D0304">
        <w:rPr>
          <w:rFonts w:cs="Helvetica"/>
          <w:b/>
          <w:color w:val="595959"/>
          <w:szCs w:val="20"/>
          <w:lang w:eastAsia="en-GB"/>
        </w:rPr>
        <w:t xml:space="preserve"> in the global model</w:t>
      </w:r>
    </w:p>
    <w:p w14:paraId="5890CDFB" w14:textId="77777777" w:rsidR="0032074B" w:rsidRPr="000D0304" w:rsidRDefault="0032074B" w:rsidP="00B86E2D">
      <w:pPr>
        <w:spacing w:after="0" w:line="312" w:lineRule="auto"/>
        <w:contextualSpacing/>
        <w:jc w:val="both"/>
        <w:rPr>
          <w:rFonts w:cs="Helvetica"/>
          <w:b/>
          <w:color w:val="595959"/>
          <w:szCs w:val="20"/>
          <w:lang w:eastAsia="en-GB"/>
        </w:rPr>
      </w:pPr>
    </w:p>
    <w:p w14:paraId="463B006F" w14:textId="3026DD55" w:rsidR="002B0C74" w:rsidRDefault="00073AC3" w:rsidP="00B86E2D">
      <w:pPr>
        <w:spacing w:after="0" w:line="312" w:lineRule="auto"/>
        <w:contextualSpacing/>
        <w:jc w:val="both"/>
        <w:rPr>
          <w:rFonts w:cs="Helvetica"/>
          <w:color w:val="595959"/>
          <w:szCs w:val="20"/>
          <w:lang w:eastAsia="en-GB"/>
        </w:rPr>
      </w:pPr>
      <w:r w:rsidRPr="000D0304">
        <w:rPr>
          <w:rFonts w:cs="Helvetica"/>
          <w:color w:val="595959"/>
          <w:szCs w:val="20"/>
          <w:lang w:eastAsia="en-GB"/>
        </w:rPr>
        <w:t>At the global level, a</w:t>
      </w:r>
      <w:r w:rsidR="002B0C74" w:rsidRPr="000D0304">
        <w:rPr>
          <w:rFonts w:cs="Helvetica"/>
          <w:color w:val="595959"/>
          <w:szCs w:val="20"/>
          <w:lang w:eastAsia="en-GB"/>
        </w:rPr>
        <w:t xml:space="preserve"> regional mix was constructed for each energy source (e.g</w:t>
      </w:r>
      <w:r w:rsidR="009831A3">
        <w:rPr>
          <w:rFonts w:cs="Helvetica"/>
          <w:color w:val="595959"/>
          <w:szCs w:val="20"/>
          <w:lang w:eastAsia="en-GB"/>
        </w:rPr>
        <w:t xml:space="preserve">. </w:t>
      </w:r>
      <w:r w:rsidR="002B0C74" w:rsidRPr="000D0304">
        <w:rPr>
          <w:rFonts w:cs="Helvetica"/>
          <w:color w:val="595959"/>
          <w:szCs w:val="20"/>
          <w:lang w:eastAsia="en-GB"/>
        </w:rPr>
        <w:t>hard coal), with the percentage share of each region modelled on a relevant proxy LCI dataset (e.g</w:t>
      </w:r>
      <w:r w:rsidR="0027776B">
        <w:rPr>
          <w:rFonts w:cs="Helvetica"/>
          <w:color w:val="595959"/>
          <w:szCs w:val="20"/>
          <w:lang w:eastAsia="en-GB"/>
        </w:rPr>
        <w:t xml:space="preserve">. </w:t>
      </w:r>
      <w:r w:rsidR="002B0C74" w:rsidRPr="000D0304">
        <w:rPr>
          <w:rFonts w:cs="Helvetica"/>
          <w:color w:val="595959"/>
          <w:szCs w:val="20"/>
          <w:lang w:eastAsia="en-GB"/>
        </w:rPr>
        <w:t xml:space="preserve">Brazil for South America) present within the GaBi database (see </w:t>
      </w:r>
      <w:r w:rsidR="0027776B">
        <w:rPr>
          <w:rFonts w:cs="Helvetica"/>
          <w:color w:val="595959"/>
          <w:szCs w:val="20"/>
          <w:lang w:eastAsia="en-GB"/>
        </w:rPr>
        <w:t>F</w:t>
      </w:r>
      <w:r w:rsidR="002B0C74" w:rsidRPr="000D0304">
        <w:rPr>
          <w:rFonts w:cs="Helvetica"/>
          <w:color w:val="595959"/>
          <w:szCs w:val="20"/>
          <w:lang w:eastAsia="en-GB"/>
        </w:rPr>
        <w:t xml:space="preserve">igure </w:t>
      </w:r>
      <w:r w:rsidR="0027776B">
        <w:rPr>
          <w:rFonts w:cs="Helvetica"/>
          <w:color w:val="595959"/>
          <w:szCs w:val="20"/>
          <w:lang w:eastAsia="en-GB"/>
        </w:rPr>
        <w:t>11</w:t>
      </w:r>
      <w:r w:rsidR="002B0C74" w:rsidRPr="000D0304">
        <w:rPr>
          <w:rFonts w:cs="Helvetica"/>
          <w:color w:val="595959"/>
          <w:szCs w:val="20"/>
          <w:lang w:eastAsia="en-GB"/>
        </w:rPr>
        <w:t xml:space="preserve"> for an example)</w:t>
      </w:r>
      <w:r w:rsidR="009831A3">
        <w:rPr>
          <w:rFonts w:cs="Helvetica"/>
          <w:color w:val="595959"/>
          <w:szCs w:val="20"/>
          <w:lang w:eastAsia="en-GB"/>
        </w:rPr>
        <w:t xml:space="preserve">.  </w:t>
      </w:r>
      <w:r w:rsidR="002B0C74" w:rsidRPr="000D0304">
        <w:rPr>
          <w:rFonts w:cs="Helvetica"/>
          <w:color w:val="595959"/>
          <w:szCs w:val="20"/>
          <w:lang w:eastAsia="en-GB"/>
        </w:rPr>
        <w:t>The global mix is a production weighted average of the regional models, as for electricity</w:t>
      </w:r>
      <w:r w:rsidR="009831A3">
        <w:rPr>
          <w:rFonts w:cs="Helvetica"/>
          <w:color w:val="595959"/>
          <w:szCs w:val="20"/>
          <w:lang w:eastAsia="en-GB"/>
        </w:rPr>
        <w:t xml:space="preserve">.  </w:t>
      </w:r>
      <w:r w:rsidRPr="000D0304">
        <w:rPr>
          <w:rFonts w:cs="Helvetica"/>
          <w:color w:val="595959"/>
          <w:szCs w:val="20"/>
          <w:lang w:eastAsia="en-GB"/>
        </w:rPr>
        <w:t xml:space="preserve">For each of the </w:t>
      </w:r>
      <w:r w:rsidR="00CB4014">
        <w:rPr>
          <w:rFonts w:cs="Helvetica"/>
          <w:color w:val="595959"/>
          <w:szCs w:val="20"/>
          <w:lang w:eastAsia="en-GB"/>
        </w:rPr>
        <w:t>scenarios, the</w:t>
      </w:r>
      <w:r w:rsidRPr="000D0304">
        <w:rPr>
          <w:rFonts w:cs="Helvetica"/>
          <w:color w:val="595959"/>
          <w:szCs w:val="20"/>
          <w:lang w:eastAsia="en-GB"/>
        </w:rPr>
        <w:t xml:space="preserve"> </w:t>
      </w:r>
      <w:r w:rsidR="00CB4014">
        <w:rPr>
          <w:rFonts w:cs="Helvetica"/>
          <w:color w:val="595959"/>
          <w:szCs w:val="20"/>
          <w:lang w:eastAsia="en-GB"/>
        </w:rPr>
        <w:t xml:space="preserve">region-specific </w:t>
      </w:r>
      <w:r w:rsidRPr="000D0304">
        <w:rPr>
          <w:rFonts w:cs="Helvetica"/>
          <w:color w:val="595959"/>
          <w:szCs w:val="20"/>
          <w:lang w:eastAsia="en-GB"/>
        </w:rPr>
        <w:t>energy carrier mix was modelled for each unit process</w:t>
      </w:r>
      <w:r w:rsidR="00CB4014">
        <w:rPr>
          <w:rFonts w:cs="Helvetica"/>
          <w:color w:val="595959"/>
          <w:szCs w:val="20"/>
          <w:lang w:eastAsia="en-GB"/>
        </w:rPr>
        <w:t xml:space="preserve">. </w:t>
      </w:r>
      <w:r w:rsidR="009831A3">
        <w:rPr>
          <w:rFonts w:cs="Helvetica"/>
          <w:color w:val="595959"/>
          <w:szCs w:val="20"/>
          <w:lang w:eastAsia="en-GB"/>
        </w:rPr>
        <w:t xml:space="preserve">  </w:t>
      </w:r>
    </w:p>
    <w:p w14:paraId="5E05BFF2" w14:textId="77777777" w:rsidR="00AD1CD6" w:rsidRPr="000D0304" w:rsidRDefault="00AD1CD6" w:rsidP="00B86E2D">
      <w:pPr>
        <w:spacing w:after="0" w:line="312" w:lineRule="auto"/>
        <w:contextualSpacing/>
        <w:jc w:val="both"/>
        <w:rPr>
          <w:rFonts w:cs="Helvetica"/>
          <w:color w:val="595959"/>
          <w:szCs w:val="20"/>
          <w:lang w:eastAsia="en-GB"/>
        </w:rPr>
      </w:pPr>
    </w:p>
    <w:p w14:paraId="608C6B87" w14:textId="77777777" w:rsidR="00737BF0" w:rsidRPr="000D0304" w:rsidRDefault="006D76FD" w:rsidP="00DA5301">
      <w:pPr>
        <w:pStyle w:val="Heading3"/>
      </w:pPr>
      <w:bookmarkStart w:id="167" w:name="_Toc480555235"/>
      <w:bookmarkStart w:id="168" w:name="_Toc480555321"/>
      <w:bookmarkStart w:id="169" w:name="_Toc480555407"/>
      <w:bookmarkStart w:id="170" w:name="_Toc480555489"/>
      <w:bookmarkStart w:id="171" w:name="_Toc480971438"/>
      <w:bookmarkStart w:id="172" w:name="_Toc120111948"/>
      <w:bookmarkEnd w:id="167"/>
      <w:bookmarkEnd w:id="168"/>
      <w:bookmarkEnd w:id="169"/>
      <w:bookmarkEnd w:id="170"/>
      <w:bookmarkEnd w:id="171"/>
      <w:r w:rsidRPr="000D0304">
        <w:t>C</w:t>
      </w:r>
      <w:r w:rsidR="002B0C74" w:rsidRPr="000D0304">
        <w:t>lassification</w:t>
      </w:r>
      <w:r w:rsidRPr="000D0304">
        <w:t xml:space="preserve"> of Processes and Material Flows</w:t>
      </w:r>
      <w:bookmarkEnd w:id="172"/>
    </w:p>
    <w:p w14:paraId="060605A5" w14:textId="77777777" w:rsidR="002B0C74" w:rsidRPr="000D0304" w:rsidRDefault="00B0725A" w:rsidP="00343530">
      <w:pPr>
        <w:spacing w:after="0" w:line="312" w:lineRule="auto"/>
        <w:contextualSpacing/>
        <w:jc w:val="both"/>
        <w:rPr>
          <w:rFonts w:cs="Helvetica"/>
          <w:color w:val="595959"/>
          <w:szCs w:val="20"/>
          <w:lang w:eastAsia="en-GB"/>
        </w:rPr>
      </w:pPr>
      <w:r w:rsidRPr="000D0304">
        <w:rPr>
          <w:rFonts w:cs="Helvetica"/>
          <w:color w:val="595959"/>
          <w:szCs w:val="20"/>
          <w:lang w:eastAsia="en-GB"/>
        </w:rPr>
        <w:t xml:space="preserve">The processes, material inputs and </w:t>
      </w:r>
      <w:r w:rsidR="0027776B" w:rsidRPr="00C70DEA">
        <w:rPr>
          <w:rFonts w:cs="Helvetica"/>
          <w:color w:val="595959"/>
          <w:szCs w:val="20"/>
          <w:lang w:eastAsia="en-GB"/>
        </w:rPr>
        <w:t xml:space="preserve">material </w:t>
      </w:r>
      <w:r w:rsidRPr="000D0304">
        <w:rPr>
          <w:rFonts w:cs="Helvetica"/>
          <w:color w:val="595959"/>
          <w:szCs w:val="20"/>
          <w:lang w:eastAsia="en-GB"/>
        </w:rPr>
        <w:t>outputs</w:t>
      </w:r>
      <w:r w:rsidR="002B0C74" w:rsidRPr="000D0304">
        <w:rPr>
          <w:rFonts w:cs="Helvetica"/>
          <w:color w:val="595959"/>
          <w:szCs w:val="20"/>
          <w:lang w:eastAsia="en-GB"/>
        </w:rPr>
        <w:t xml:space="preserve"> within the system boundary of the stud</w:t>
      </w:r>
      <w:r w:rsidRPr="000D0304">
        <w:rPr>
          <w:rFonts w:cs="Helvetica"/>
          <w:color w:val="595959"/>
          <w:szCs w:val="20"/>
          <w:lang w:eastAsia="en-GB"/>
        </w:rPr>
        <w:t xml:space="preserve">y </w:t>
      </w:r>
      <w:r w:rsidR="0027776B" w:rsidRPr="00C70DEA">
        <w:rPr>
          <w:rFonts w:cs="Helvetica"/>
          <w:color w:val="595959"/>
          <w:szCs w:val="20"/>
          <w:lang w:eastAsia="en-GB"/>
        </w:rPr>
        <w:t>have been</w:t>
      </w:r>
      <w:r w:rsidR="0027776B" w:rsidRPr="000D0304">
        <w:rPr>
          <w:rFonts w:cs="Helvetica"/>
          <w:color w:val="595959"/>
          <w:szCs w:val="20"/>
          <w:lang w:eastAsia="en-GB"/>
        </w:rPr>
        <w:t xml:space="preserve"> </w:t>
      </w:r>
      <w:r w:rsidR="0027776B" w:rsidRPr="00C70DEA">
        <w:rPr>
          <w:rFonts w:cs="Helvetica"/>
          <w:color w:val="595959"/>
          <w:szCs w:val="20"/>
          <w:lang w:eastAsia="en-GB"/>
        </w:rPr>
        <w:t>assigned to</w:t>
      </w:r>
      <w:r w:rsidR="0027776B" w:rsidRPr="000D0304">
        <w:rPr>
          <w:rFonts w:cs="Helvetica"/>
          <w:color w:val="595959"/>
          <w:szCs w:val="20"/>
          <w:lang w:eastAsia="en-GB"/>
        </w:rPr>
        <w:t xml:space="preserve"> </w:t>
      </w:r>
      <w:r w:rsidRPr="000D0304">
        <w:rPr>
          <w:rFonts w:cs="Helvetica"/>
          <w:color w:val="595959"/>
          <w:szCs w:val="20"/>
          <w:lang w:eastAsia="en-GB"/>
        </w:rPr>
        <w:t xml:space="preserve">one of five </w:t>
      </w:r>
      <w:r w:rsidR="0027776B" w:rsidRPr="00C70DEA">
        <w:rPr>
          <w:rFonts w:cs="Helvetica"/>
          <w:color w:val="595959"/>
          <w:szCs w:val="20"/>
          <w:lang w:eastAsia="en-GB"/>
        </w:rPr>
        <w:t>categories,</w:t>
      </w:r>
      <w:r w:rsidR="0027776B" w:rsidRPr="000D0304">
        <w:rPr>
          <w:rFonts w:cs="Helvetica"/>
          <w:color w:val="595959"/>
          <w:szCs w:val="20"/>
          <w:lang w:eastAsia="en-GB"/>
        </w:rPr>
        <w:t xml:space="preserve"> </w:t>
      </w:r>
      <w:r w:rsidRPr="000D0304">
        <w:rPr>
          <w:rFonts w:cs="Helvetica"/>
          <w:color w:val="595959"/>
          <w:szCs w:val="20"/>
          <w:lang w:eastAsia="en-GB"/>
        </w:rPr>
        <w:t xml:space="preserve">to understand </w:t>
      </w:r>
      <w:r w:rsidR="0027776B" w:rsidRPr="00C70DEA">
        <w:rPr>
          <w:rFonts w:cs="Helvetica"/>
          <w:color w:val="595959"/>
          <w:szCs w:val="20"/>
          <w:lang w:eastAsia="en-GB"/>
        </w:rPr>
        <w:t xml:space="preserve">better </w:t>
      </w:r>
      <w:r w:rsidRPr="000D0304">
        <w:rPr>
          <w:rFonts w:cs="Helvetica"/>
          <w:color w:val="595959"/>
          <w:szCs w:val="20"/>
          <w:lang w:eastAsia="en-GB"/>
        </w:rPr>
        <w:t xml:space="preserve">the contribution </w:t>
      </w:r>
      <w:r w:rsidR="0027776B" w:rsidRPr="00C70DEA">
        <w:rPr>
          <w:rFonts w:cs="Helvetica"/>
          <w:color w:val="595959"/>
          <w:szCs w:val="20"/>
          <w:lang w:eastAsia="en-GB"/>
        </w:rPr>
        <w:t>of each to</w:t>
      </w:r>
      <w:r w:rsidRPr="000D0304">
        <w:rPr>
          <w:rFonts w:cs="Helvetica"/>
          <w:color w:val="595959"/>
          <w:szCs w:val="20"/>
          <w:lang w:eastAsia="en-GB"/>
        </w:rPr>
        <w:t xml:space="preserve"> </w:t>
      </w:r>
      <w:r w:rsidR="0027776B" w:rsidRPr="00C70DEA">
        <w:rPr>
          <w:rFonts w:cs="Helvetica"/>
          <w:color w:val="595959"/>
          <w:szCs w:val="20"/>
          <w:lang w:eastAsia="en-GB"/>
        </w:rPr>
        <w:t xml:space="preserve">total </w:t>
      </w:r>
      <w:r w:rsidRPr="000D0304">
        <w:rPr>
          <w:rFonts w:cs="Helvetica"/>
          <w:color w:val="595959"/>
          <w:szCs w:val="20"/>
          <w:lang w:eastAsia="en-GB"/>
        </w:rPr>
        <w:t>impact</w:t>
      </w:r>
      <w:r w:rsidR="0027776B" w:rsidRPr="00C70DEA">
        <w:rPr>
          <w:rFonts w:cs="Helvetica"/>
          <w:color w:val="595959"/>
          <w:szCs w:val="20"/>
          <w:lang w:eastAsia="en-GB"/>
        </w:rPr>
        <w:t xml:space="preserve">s </w:t>
      </w:r>
      <w:r w:rsidRPr="000D0304">
        <w:rPr>
          <w:rFonts w:cs="Helvetica"/>
          <w:color w:val="595959"/>
          <w:szCs w:val="20"/>
          <w:lang w:eastAsia="en-GB"/>
        </w:rPr>
        <w:t>and</w:t>
      </w:r>
      <w:r w:rsidR="0027776B" w:rsidRPr="00C70DEA">
        <w:rPr>
          <w:rFonts w:cs="Helvetica"/>
          <w:color w:val="595959"/>
          <w:szCs w:val="20"/>
          <w:lang w:eastAsia="en-GB"/>
        </w:rPr>
        <w:t xml:space="preserve"> to</w:t>
      </w:r>
      <w:r w:rsidRPr="000D0304">
        <w:rPr>
          <w:rFonts w:cs="Helvetica"/>
          <w:color w:val="595959"/>
          <w:szCs w:val="20"/>
          <w:lang w:eastAsia="en-GB"/>
        </w:rPr>
        <w:t xml:space="preserve"> identify the most material influences on impact indicator results for each scenario</w:t>
      </w:r>
      <w:r w:rsidR="009831A3" w:rsidRPr="00C70DEA">
        <w:rPr>
          <w:rFonts w:cs="Helvetica"/>
          <w:color w:val="595959"/>
          <w:szCs w:val="20"/>
          <w:lang w:eastAsia="en-GB"/>
        </w:rPr>
        <w:t xml:space="preserve">.  </w:t>
      </w:r>
      <w:r w:rsidRPr="000D0304">
        <w:rPr>
          <w:rFonts w:cs="Helvetica"/>
          <w:color w:val="595959"/>
          <w:szCs w:val="20"/>
          <w:lang w:eastAsia="en-GB"/>
        </w:rPr>
        <w:t>The five</w:t>
      </w:r>
      <w:r w:rsidR="002B0C74" w:rsidRPr="000D0304">
        <w:rPr>
          <w:rFonts w:cs="Helvetica"/>
          <w:color w:val="595959"/>
          <w:szCs w:val="20"/>
          <w:lang w:eastAsia="en-GB"/>
        </w:rPr>
        <w:t xml:space="preserve"> categories are: </w:t>
      </w:r>
    </w:p>
    <w:p w14:paraId="30133820" w14:textId="77777777" w:rsidR="006B2006" w:rsidRPr="000D0304" w:rsidRDefault="002B0C74" w:rsidP="000D0304">
      <w:pPr>
        <w:pStyle w:val="ListParagraph"/>
        <w:numPr>
          <w:ilvl w:val="0"/>
          <w:numId w:val="26"/>
        </w:numPr>
        <w:spacing w:after="0" w:line="312" w:lineRule="auto"/>
        <w:ind w:left="714" w:hanging="357"/>
        <w:contextualSpacing/>
        <w:jc w:val="both"/>
        <w:rPr>
          <w:rFonts w:cs="Helvetica"/>
          <w:color w:val="595959"/>
          <w:szCs w:val="20"/>
          <w:lang w:eastAsia="en-GB"/>
        </w:rPr>
      </w:pPr>
      <w:r w:rsidRPr="000D0304">
        <w:rPr>
          <w:rFonts w:cs="Helvetica"/>
          <w:b/>
          <w:color w:val="595959"/>
          <w:szCs w:val="20"/>
          <w:lang w:eastAsia="en-GB"/>
        </w:rPr>
        <w:t>Direct process:</w:t>
      </w:r>
      <w:r w:rsidRPr="000D0304">
        <w:rPr>
          <w:rFonts w:cs="Helvetica"/>
          <w:color w:val="595959"/>
          <w:szCs w:val="20"/>
          <w:lang w:eastAsia="en-GB"/>
        </w:rPr>
        <w:t xml:space="preserve"> Direct</w:t>
      </w:r>
      <w:r w:rsidR="00B67CE2" w:rsidRPr="000D0304">
        <w:rPr>
          <w:rFonts w:cs="Helvetica"/>
          <w:color w:val="595959"/>
          <w:szCs w:val="20"/>
          <w:lang w:eastAsia="en-GB"/>
        </w:rPr>
        <w:t xml:space="preserve">, non-fuel combustion </w:t>
      </w:r>
      <w:r w:rsidR="0096379A" w:rsidRPr="000D0304">
        <w:rPr>
          <w:rFonts w:cs="Helvetica"/>
          <w:color w:val="595959"/>
          <w:szCs w:val="20"/>
          <w:lang w:eastAsia="en-GB"/>
        </w:rPr>
        <w:t xml:space="preserve">inputs </w:t>
      </w:r>
      <w:r w:rsidR="00B67CE2" w:rsidRPr="000D0304">
        <w:rPr>
          <w:rFonts w:cs="Helvetica"/>
          <w:color w:val="595959"/>
          <w:szCs w:val="20"/>
          <w:lang w:eastAsia="en-GB"/>
        </w:rPr>
        <w:t xml:space="preserve">and </w:t>
      </w:r>
      <w:r w:rsidR="0096379A" w:rsidRPr="000D0304">
        <w:rPr>
          <w:rFonts w:cs="Helvetica"/>
          <w:color w:val="595959"/>
          <w:szCs w:val="20"/>
          <w:lang w:eastAsia="en-GB"/>
        </w:rPr>
        <w:t>outputs (</w:t>
      </w:r>
      <w:r w:rsidRPr="000D0304">
        <w:rPr>
          <w:rFonts w:cs="Helvetica"/>
          <w:color w:val="595959"/>
          <w:szCs w:val="20"/>
          <w:lang w:eastAsia="en-GB"/>
        </w:rPr>
        <w:t>emissions</w:t>
      </w:r>
      <w:r w:rsidR="0096379A" w:rsidRPr="000D0304">
        <w:rPr>
          <w:rFonts w:cs="Helvetica"/>
          <w:color w:val="595959"/>
          <w:szCs w:val="20"/>
          <w:lang w:eastAsia="en-GB"/>
        </w:rPr>
        <w:t>)</w:t>
      </w:r>
      <w:r w:rsidRPr="000D0304">
        <w:rPr>
          <w:rFonts w:cs="Helvetica"/>
          <w:color w:val="595959"/>
          <w:szCs w:val="20"/>
          <w:lang w:eastAsia="en-GB"/>
        </w:rPr>
        <w:t xml:space="preserve"> associated with </w:t>
      </w:r>
      <w:r w:rsidR="0096379A" w:rsidRPr="00C70DEA">
        <w:rPr>
          <w:rFonts w:cs="Helvetica"/>
          <w:color w:val="595959"/>
          <w:szCs w:val="20"/>
          <w:lang w:eastAsia="en-GB"/>
        </w:rPr>
        <w:t xml:space="preserve">primary aluminium </w:t>
      </w:r>
      <w:r w:rsidRPr="000D0304">
        <w:rPr>
          <w:rFonts w:cs="Helvetica"/>
          <w:color w:val="595959"/>
          <w:szCs w:val="20"/>
          <w:lang w:eastAsia="en-GB"/>
        </w:rPr>
        <w:t xml:space="preserve">production </w:t>
      </w:r>
      <w:r w:rsidR="0096379A" w:rsidRPr="00C70DEA">
        <w:rPr>
          <w:rFonts w:cs="Helvetica"/>
          <w:color w:val="595959"/>
          <w:szCs w:val="20"/>
          <w:lang w:eastAsia="en-GB"/>
        </w:rPr>
        <w:t>processes</w:t>
      </w:r>
      <w:r w:rsidRPr="000D0304">
        <w:rPr>
          <w:rFonts w:cs="Helvetica"/>
          <w:color w:val="595959"/>
          <w:szCs w:val="20"/>
          <w:lang w:eastAsia="en-GB"/>
        </w:rPr>
        <w:t xml:space="preserve"> (bauxite mining, alumina prod</w:t>
      </w:r>
      <w:r w:rsidR="00055BFF" w:rsidRPr="000D0304">
        <w:rPr>
          <w:rFonts w:cs="Helvetica"/>
          <w:color w:val="595959"/>
          <w:szCs w:val="20"/>
          <w:lang w:eastAsia="en-GB"/>
        </w:rPr>
        <w:t>uction, anode/paste production, e</w:t>
      </w:r>
      <w:r w:rsidRPr="000D0304">
        <w:rPr>
          <w:rFonts w:cs="Helvetica"/>
          <w:color w:val="595959"/>
          <w:szCs w:val="20"/>
          <w:lang w:eastAsia="en-GB"/>
        </w:rPr>
        <w:t>lectrolysis, and casting)</w:t>
      </w:r>
    </w:p>
    <w:p w14:paraId="6C5CEB67" w14:textId="77777777" w:rsidR="00B67CE2" w:rsidRPr="000D0304" w:rsidRDefault="00B67CE2" w:rsidP="00B67CE2">
      <w:pPr>
        <w:pStyle w:val="ListParagraph"/>
        <w:numPr>
          <w:ilvl w:val="0"/>
          <w:numId w:val="26"/>
        </w:numPr>
        <w:spacing w:after="0" w:line="312" w:lineRule="auto"/>
        <w:ind w:left="714" w:hanging="357"/>
        <w:contextualSpacing/>
        <w:jc w:val="both"/>
        <w:rPr>
          <w:rFonts w:cs="Helvetica"/>
          <w:color w:val="595959"/>
          <w:szCs w:val="20"/>
          <w:lang w:eastAsia="en-GB"/>
        </w:rPr>
      </w:pPr>
      <w:r w:rsidRPr="000D0304">
        <w:rPr>
          <w:rFonts w:cs="Helvetica"/>
          <w:b/>
          <w:color w:val="595959"/>
          <w:szCs w:val="20"/>
          <w:lang w:eastAsia="en-GB"/>
        </w:rPr>
        <w:t>Thermal energy:</w:t>
      </w:r>
      <w:r w:rsidRPr="000D0304">
        <w:rPr>
          <w:rFonts w:cs="Helvetica"/>
          <w:color w:val="595959"/>
          <w:szCs w:val="20"/>
          <w:lang w:eastAsia="en-GB"/>
        </w:rPr>
        <w:t xml:space="preserve"> Material inputs and emissions associated with primary aluminium production thermal energy generation processes, including fuel extraction and preparation (e.g. coal from mine to boiler).</w:t>
      </w:r>
    </w:p>
    <w:p w14:paraId="43BFCF12" w14:textId="475EE5CE" w:rsidR="006B2006" w:rsidRPr="000D0304" w:rsidRDefault="0096379A" w:rsidP="000D0304">
      <w:pPr>
        <w:pStyle w:val="ListParagraph"/>
        <w:numPr>
          <w:ilvl w:val="0"/>
          <w:numId w:val="26"/>
        </w:numPr>
        <w:spacing w:after="0" w:line="312" w:lineRule="auto"/>
        <w:ind w:left="714" w:hanging="357"/>
        <w:contextualSpacing/>
        <w:jc w:val="both"/>
        <w:rPr>
          <w:rFonts w:cs="Helvetica"/>
          <w:color w:val="595959"/>
          <w:szCs w:val="20"/>
          <w:lang w:eastAsia="en-GB"/>
        </w:rPr>
      </w:pPr>
      <w:r w:rsidRPr="000D0304">
        <w:rPr>
          <w:rFonts w:cs="Helvetica"/>
          <w:b/>
          <w:color w:val="595959"/>
          <w:szCs w:val="20"/>
          <w:lang w:eastAsia="en-GB"/>
        </w:rPr>
        <w:t>Ancillary</w:t>
      </w:r>
      <w:r w:rsidR="00055BFF" w:rsidRPr="000D0304">
        <w:rPr>
          <w:rFonts w:cs="Helvetica"/>
          <w:b/>
          <w:color w:val="595959"/>
          <w:szCs w:val="20"/>
          <w:lang w:eastAsia="en-GB"/>
        </w:rPr>
        <w:t>:</w:t>
      </w:r>
      <w:r w:rsidR="00055BFF" w:rsidRPr="000D0304">
        <w:rPr>
          <w:rFonts w:cs="Helvetica"/>
          <w:color w:val="595959"/>
          <w:szCs w:val="20"/>
          <w:lang w:eastAsia="en-GB"/>
        </w:rPr>
        <w:t xml:space="preserve"> </w:t>
      </w:r>
      <w:r w:rsidRPr="000D0304">
        <w:rPr>
          <w:rFonts w:cs="Helvetica"/>
          <w:color w:val="595959"/>
          <w:szCs w:val="20"/>
          <w:lang w:eastAsia="en-GB"/>
        </w:rPr>
        <w:t>All material and energy inputs and emission outputs</w:t>
      </w:r>
      <w:r w:rsidR="00055BFF" w:rsidRPr="000D0304">
        <w:rPr>
          <w:rFonts w:cs="Helvetica"/>
          <w:color w:val="595959"/>
          <w:szCs w:val="20"/>
          <w:lang w:eastAsia="en-GB"/>
        </w:rPr>
        <w:t xml:space="preserve"> associated with </w:t>
      </w:r>
      <w:r w:rsidR="00B67CE2" w:rsidRPr="000D0304">
        <w:rPr>
          <w:rFonts w:cs="Helvetica"/>
          <w:color w:val="595959"/>
          <w:szCs w:val="20"/>
          <w:lang w:eastAsia="en-GB"/>
        </w:rPr>
        <w:t xml:space="preserve">non-fuel </w:t>
      </w:r>
      <w:r w:rsidRPr="000D0304">
        <w:rPr>
          <w:rFonts w:cs="Helvetica"/>
          <w:color w:val="595959"/>
          <w:szCs w:val="20"/>
          <w:lang w:eastAsia="en-GB"/>
        </w:rPr>
        <w:t xml:space="preserve">input </w:t>
      </w:r>
      <w:r w:rsidR="002B0C74" w:rsidRPr="000D0304">
        <w:rPr>
          <w:rFonts w:cs="Helvetica"/>
          <w:color w:val="595959"/>
          <w:szCs w:val="20"/>
          <w:lang w:eastAsia="en-GB"/>
        </w:rPr>
        <w:t>materials used in the production of primary aluminium</w:t>
      </w:r>
      <w:r w:rsidRPr="000D0304">
        <w:rPr>
          <w:rFonts w:cs="Helvetica"/>
          <w:color w:val="595959"/>
          <w:szCs w:val="20"/>
          <w:lang w:eastAsia="en-GB"/>
        </w:rPr>
        <w:t xml:space="preserve"> (e.g. </w:t>
      </w:r>
      <w:r w:rsidR="003778A3">
        <w:rPr>
          <w:rFonts w:cs="Helvetica"/>
          <w:color w:val="595959"/>
          <w:szCs w:val="20"/>
          <w:lang w:eastAsia="en-GB"/>
        </w:rPr>
        <w:t xml:space="preserve">production of </w:t>
      </w:r>
      <w:r w:rsidR="002B0C74" w:rsidRPr="000D0304">
        <w:rPr>
          <w:rFonts w:cs="Helvetica"/>
          <w:color w:val="595959"/>
          <w:szCs w:val="20"/>
          <w:lang w:eastAsia="en-GB"/>
        </w:rPr>
        <w:t>caustic sod</w:t>
      </w:r>
      <w:r w:rsidR="00767E59" w:rsidRPr="000D0304">
        <w:rPr>
          <w:rFonts w:cs="Helvetica"/>
          <w:color w:val="595959"/>
          <w:szCs w:val="20"/>
          <w:lang w:eastAsia="en-GB"/>
        </w:rPr>
        <w:t>a</w:t>
      </w:r>
      <w:r w:rsidR="003778A3">
        <w:rPr>
          <w:rFonts w:cs="Helvetica"/>
          <w:color w:val="595959"/>
          <w:szCs w:val="20"/>
          <w:lang w:eastAsia="en-GB"/>
        </w:rPr>
        <w:t xml:space="preserve"> and</w:t>
      </w:r>
      <w:r w:rsidRPr="000D0304">
        <w:rPr>
          <w:rFonts w:cs="Helvetica"/>
          <w:color w:val="595959"/>
          <w:szCs w:val="20"/>
          <w:lang w:eastAsia="en-GB"/>
        </w:rPr>
        <w:t xml:space="preserve"> </w:t>
      </w:r>
      <w:r w:rsidR="00767E59" w:rsidRPr="000D0304">
        <w:rPr>
          <w:rFonts w:cs="Helvetica"/>
          <w:color w:val="595959"/>
          <w:szCs w:val="20"/>
          <w:lang w:eastAsia="en-GB"/>
        </w:rPr>
        <w:t>aluminium fluoride</w:t>
      </w:r>
      <w:r w:rsidR="00B67CE2" w:rsidRPr="000D0304">
        <w:rPr>
          <w:rFonts w:cs="Helvetica"/>
          <w:color w:val="595959"/>
          <w:szCs w:val="20"/>
          <w:lang w:eastAsia="en-GB"/>
        </w:rPr>
        <w:t xml:space="preserve">, </w:t>
      </w:r>
      <w:r w:rsidR="003778A3">
        <w:rPr>
          <w:rFonts w:cs="Helvetica"/>
          <w:color w:val="595959"/>
          <w:szCs w:val="20"/>
          <w:lang w:eastAsia="en-GB"/>
        </w:rPr>
        <w:t>on-site treatment of solid wastes</w:t>
      </w:r>
      <w:r w:rsidRPr="000D0304">
        <w:rPr>
          <w:rFonts w:cs="Helvetica"/>
          <w:color w:val="595959"/>
          <w:szCs w:val="20"/>
          <w:lang w:eastAsia="en-GB"/>
        </w:rPr>
        <w:t>)</w:t>
      </w:r>
    </w:p>
    <w:p w14:paraId="3077BABC" w14:textId="59672627" w:rsidR="006B2006" w:rsidRPr="000D0304" w:rsidRDefault="002B0C74" w:rsidP="000D0304">
      <w:pPr>
        <w:pStyle w:val="ListParagraph"/>
        <w:numPr>
          <w:ilvl w:val="0"/>
          <w:numId w:val="26"/>
        </w:numPr>
        <w:spacing w:after="0" w:line="312" w:lineRule="auto"/>
        <w:ind w:left="714" w:hanging="357"/>
        <w:contextualSpacing/>
        <w:jc w:val="both"/>
        <w:rPr>
          <w:rFonts w:cs="Helvetica"/>
          <w:color w:val="595959"/>
          <w:szCs w:val="20"/>
          <w:lang w:eastAsia="en-GB"/>
        </w:rPr>
      </w:pPr>
      <w:r w:rsidRPr="000D0304">
        <w:rPr>
          <w:rFonts w:cs="Helvetica"/>
          <w:b/>
          <w:color w:val="595959"/>
          <w:szCs w:val="20"/>
          <w:lang w:eastAsia="en-GB"/>
        </w:rPr>
        <w:lastRenderedPageBreak/>
        <w:t>Electricity:</w:t>
      </w:r>
      <w:r w:rsidRPr="000D0304">
        <w:rPr>
          <w:rFonts w:cs="Helvetica"/>
          <w:color w:val="595959"/>
          <w:szCs w:val="20"/>
          <w:lang w:eastAsia="en-GB"/>
        </w:rPr>
        <w:t xml:space="preserve"> </w:t>
      </w:r>
      <w:r w:rsidR="00B67CE2" w:rsidRPr="000D0304">
        <w:rPr>
          <w:rFonts w:cs="Helvetica"/>
          <w:color w:val="595959"/>
          <w:szCs w:val="20"/>
          <w:lang w:eastAsia="en-GB"/>
        </w:rPr>
        <w:t>All inputs and outputs associated with processes</w:t>
      </w:r>
      <w:r w:rsidRPr="000D0304">
        <w:rPr>
          <w:rFonts w:cs="Helvetica"/>
          <w:color w:val="595959"/>
          <w:szCs w:val="20"/>
          <w:lang w:eastAsia="en-GB"/>
        </w:rPr>
        <w:t xml:space="preserve"> </w:t>
      </w:r>
      <w:r w:rsidR="00B67CE2" w:rsidRPr="000D0304">
        <w:rPr>
          <w:rFonts w:cs="Helvetica"/>
          <w:color w:val="595959"/>
          <w:szCs w:val="20"/>
          <w:lang w:eastAsia="en-GB"/>
        </w:rPr>
        <w:t xml:space="preserve">to generate </w:t>
      </w:r>
      <w:r w:rsidR="00B67CE2" w:rsidRPr="00157599">
        <w:rPr>
          <w:rFonts w:cs="Helvetica"/>
          <w:color w:val="595959"/>
          <w:szCs w:val="20"/>
          <w:lang w:eastAsia="en-GB"/>
        </w:rPr>
        <w:t xml:space="preserve">and distribute </w:t>
      </w:r>
      <w:r w:rsidR="00B67CE2" w:rsidRPr="000D0304">
        <w:rPr>
          <w:rFonts w:cs="Helvetica"/>
          <w:color w:val="595959"/>
          <w:szCs w:val="20"/>
          <w:lang w:eastAsia="en-GB"/>
        </w:rPr>
        <w:t>the</w:t>
      </w:r>
      <w:r w:rsidRPr="000D0304">
        <w:rPr>
          <w:rFonts w:cs="Helvetica"/>
          <w:color w:val="595959"/>
          <w:szCs w:val="20"/>
          <w:lang w:eastAsia="en-GB"/>
        </w:rPr>
        <w:t xml:space="preserve"> electricity directly used in primary aluminium</w:t>
      </w:r>
      <w:r w:rsidR="00B67CE2" w:rsidRPr="000D0304">
        <w:rPr>
          <w:rFonts w:cs="Helvetica"/>
          <w:color w:val="595959"/>
          <w:szCs w:val="20"/>
          <w:lang w:eastAsia="en-GB"/>
        </w:rPr>
        <w:t xml:space="preserve"> production processes</w:t>
      </w:r>
      <w:r w:rsidRPr="000D0304">
        <w:rPr>
          <w:rFonts w:cs="Helvetica"/>
          <w:color w:val="595959"/>
          <w:szCs w:val="20"/>
          <w:lang w:eastAsia="en-GB"/>
        </w:rPr>
        <w:t>,</w:t>
      </w:r>
      <w:r w:rsidR="00B67CE2" w:rsidRPr="000D0304">
        <w:rPr>
          <w:rFonts w:cs="Helvetica"/>
          <w:color w:val="595959"/>
          <w:szCs w:val="20"/>
          <w:lang w:eastAsia="en-GB"/>
        </w:rPr>
        <w:t xml:space="preserve"> including fuel extraction and preparation</w:t>
      </w:r>
      <w:r w:rsidR="003778A3">
        <w:rPr>
          <w:rFonts w:cs="Helvetica"/>
          <w:color w:val="595959"/>
          <w:szCs w:val="20"/>
          <w:lang w:eastAsia="en-GB"/>
        </w:rPr>
        <w:t>, also transmission losses</w:t>
      </w:r>
      <w:r w:rsidR="00B67CE2" w:rsidRPr="000D0304">
        <w:rPr>
          <w:rFonts w:cs="Helvetica"/>
          <w:color w:val="595959"/>
          <w:szCs w:val="20"/>
          <w:lang w:eastAsia="en-GB"/>
        </w:rPr>
        <w:t>.</w:t>
      </w:r>
    </w:p>
    <w:p w14:paraId="3519E8E2" w14:textId="77777777" w:rsidR="00396F8B" w:rsidRDefault="002B0C74" w:rsidP="000D0304">
      <w:pPr>
        <w:pStyle w:val="ListParagraph"/>
        <w:numPr>
          <w:ilvl w:val="0"/>
          <w:numId w:val="26"/>
        </w:numPr>
        <w:spacing w:after="0" w:line="312" w:lineRule="auto"/>
        <w:ind w:left="714" w:hanging="357"/>
        <w:contextualSpacing/>
        <w:jc w:val="both"/>
        <w:rPr>
          <w:rFonts w:cs="Helvetica"/>
          <w:color w:val="595959"/>
          <w:szCs w:val="20"/>
          <w:lang w:eastAsia="en-GB"/>
        </w:rPr>
      </w:pPr>
      <w:r w:rsidRPr="000D0304">
        <w:rPr>
          <w:rFonts w:cs="Helvetica"/>
          <w:b/>
          <w:color w:val="595959"/>
          <w:szCs w:val="20"/>
          <w:lang w:eastAsia="en-GB"/>
        </w:rPr>
        <w:t xml:space="preserve">Transport: </w:t>
      </w:r>
      <w:r w:rsidR="00C70DEA" w:rsidRPr="00F1299F">
        <w:rPr>
          <w:rFonts w:cs="Helvetica"/>
          <w:color w:val="595959"/>
          <w:szCs w:val="20"/>
          <w:lang w:eastAsia="en-GB"/>
        </w:rPr>
        <w:t>I</w:t>
      </w:r>
      <w:r w:rsidR="00B67CE2" w:rsidRPr="00F1299F">
        <w:rPr>
          <w:rFonts w:cs="Helvetica"/>
          <w:color w:val="595959"/>
          <w:szCs w:val="20"/>
          <w:lang w:eastAsia="en-GB"/>
        </w:rPr>
        <w:t>nputs</w:t>
      </w:r>
      <w:r w:rsidR="00B67CE2" w:rsidRPr="000D0304">
        <w:rPr>
          <w:rFonts w:cs="Helvetica"/>
          <w:color w:val="595959"/>
          <w:szCs w:val="20"/>
          <w:lang w:eastAsia="en-GB"/>
        </w:rPr>
        <w:t xml:space="preserve"> and outputs associated with the seaborne</w:t>
      </w:r>
      <w:r w:rsidRPr="000D0304">
        <w:rPr>
          <w:rFonts w:cs="Helvetica"/>
          <w:color w:val="595959"/>
          <w:szCs w:val="20"/>
          <w:lang w:eastAsia="en-GB"/>
        </w:rPr>
        <w:t>, road and ra</w:t>
      </w:r>
      <w:r w:rsidR="00767E59" w:rsidRPr="000D0304">
        <w:rPr>
          <w:rFonts w:cs="Helvetica"/>
          <w:color w:val="595959"/>
          <w:szCs w:val="20"/>
          <w:lang w:eastAsia="en-GB"/>
        </w:rPr>
        <w:t>il transport of input materials</w:t>
      </w:r>
      <w:r w:rsidR="00B67CE2">
        <w:rPr>
          <w:rFonts w:cs="Helvetica"/>
          <w:color w:val="595959"/>
          <w:szCs w:val="20"/>
          <w:lang w:eastAsia="en-GB"/>
        </w:rPr>
        <w:t>.</w:t>
      </w:r>
    </w:p>
    <w:p w14:paraId="346017F8" w14:textId="77777777" w:rsidR="007D4801" w:rsidRDefault="007D4801" w:rsidP="00396F8B">
      <w:pPr>
        <w:spacing w:after="0" w:line="312" w:lineRule="auto"/>
        <w:contextualSpacing/>
        <w:jc w:val="both"/>
        <w:rPr>
          <w:rFonts w:cs="Helvetica"/>
          <w:b/>
          <w:color w:val="595959"/>
          <w:szCs w:val="20"/>
          <w:lang w:eastAsia="en-GB"/>
        </w:rPr>
      </w:pPr>
    </w:p>
    <w:p w14:paraId="3F8E8D98" w14:textId="15AD4C98" w:rsidR="00396F8B" w:rsidRPr="00936F10" w:rsidRDefault="00396F8B" w:rsidP="00936F10">
      <w:pPr>
        <w:spacing w:after="0" w:line="312" w:lineRule="auto"/>
        <w:contextualSpacing/>
        <w:jc w:val="both"/>
        <w:rPr>
          <w:rFonts w:cs="Helvetica"/>
          <w:color w:val="595959"/>
          <w:szCs w:val="20"/>
          <w:lang w:eastAsia="en-GB"/>
        </w:rPr>
      </w:pPr>
      <w:r w:rsidRPr="00936F10">
        <w:rPr>
          <w:rFonts w:cs="Helvetica"/>
          <w:b/>
          <w:color w:val="595959"/>
          <w:szCs w:val="20"/>
          <w:lang w:eastAsia="en-GB"/>
        </w:rPr>
        <w:t>All inputs and outputs are modelled as elementary flows, i.e. inputs from nature and outputs to nature without human intervention</w:t>
      </w:r>
      <w:r w:rsidRPr="00936F10">
        <w:rPr>
          <w:rFonts w:cs="Helvetica"/>
          <w:color w:val="595959"/>
          <w:szCs w:val="20"/>
          <w:lang w:eastAsia="en-GB"/>
        </w:rPr>
        <w:t xml:space="preserve"> </w:t>
      </w:r>
    </w:p>
    <w:p w14:paraId="7C4385ED" w14:textId="429FC25F" w:rsidR="006B2006" w:rsidRPr="00936F10" w:rsidRDefault="006B2006" w:rsidP="007F0C98">
      <w:pPr>
        <w:spacing w:after="0" w:line="312" w:lineRule="auto"/>
        <w:contextualSpacing/>
        <w:jc w:val="both"/>
        <w:rPr>
          <w:rFonts w:cs="Helvetica"/>
          <w:color w:val="595959"/>
          <w:szCs w:val="20"/>
          <w:lang w:eastAsia="en-GB"/>
        </w:rPr>
      </w:pPr>
    </w:p>
    <w:p w14:paraId="4575C7D0" w14:textId="77777777" w:rsidR="006D76FD" w:rsidRPr="007F0C98" w:rsidRDefault="006D76FD" w:rsidP="00DA5301">
      <w:pPr>
        <w:pStyle w:val="Heading3"/>
      </w:pPr>
      <w:bookmarkStart w:id="173" w:name="_Toc480971440"/>
      <w:bookmarkStart w:id="174" w:name="_Toc480971441"/>
      <w:bookmarkStart w:id="175" w:name="_Toc120111949"/>
      <w:bookmarkEnd w:id="173"/>
      <w:bookmarkEnd w:id="174"/>
      <w:r w:rsidRPr="007F0C98">
        <w:t>Water Scarcity Footprint</w:t>
      </w:r>
      <w:bookmarkEnd w:id="175"/>
    </w:p>
    <w:p w14:paraId="527F53FF" w14:textId="5BB10840" w:rsidR="002B0C74" w:rsidRPr="000D0304" w:rsidRDefault="002B0C74">
      <w:pPr>
        <w:spacing w:after="0" w:line="312" w:lineRule="auto"/>
        <w:contextualSpacing/>
        <w:jc w:val="both"/>
        <w:rPr>
          <w:rFonts w:cs="Helvetica"/>
          <w:szCs w:val="20"/>
        </w:rPr>
      </w:pPr>
      <w:r w:rsidRPr="000D0304">
        <w:rPr>
          <w:rFonts w:cs="Helvetica"/>
          <w:color w:val="595959"/>
          <w:szCs w:val="20"/>
          <w:lang w:eastAsia="en-GB"/>
        </w:rPr>
        <w:t xml:space="preserve">The </w:t>
      </w:r>
      <w:r w:rsidR="00F65CDF">
        <w:rPr>
          <w:rFonts w:cs="Helvetica"/>
          <w:color w:val="595959"/>
          <w:szCs w:val="20"/>
          <w:lang w:eastAsia="en-GB"/>
        </w:rPr>
        <w:t>w</w:t>
      </w:r>
      <w:r w:rsidRPr="000D0304">
        <w:rPr>
          <w:rFonts w:cs="Helvetica"/>
          <w:color w:val="595959"/>
          <w:szCs w:val="20"/>
          <w:lang w:eastAsia="en-GB"/>
        </w:rPr>
        <w:t xml:space="preserve">ater </w:t>
      </w:r>
      <w:r w:rsidR="00F65CDF">
        <w:rPr>
          <w:rFonts w:cs="Helvetica"/>
          <w:color w:val="595959"/>
          <w:szCs w:val="20"/>
          <w:lang w:eastAsia="en-GB"/>
        </w:rPr>
        <w:t>s</w:t>
      </w:r>
      <w:r w:rsidRPr="000D0304">
        <w:rPr>
          <w:rFonts w:cs="Helvetica"/>
          <w:color w:val="595959"/>
          <w:szCs w:val="20"/>
          <w:lang w:eastAsia="en-GB"/>
        </w:rPr>
        <w:t xml:space="preserve">carcity </w:t>
      </w:r>
      <w:r w:rsidR="00F65CDF">
        <w:rPr>
          <w:rFonts w:cs="Helvetica"/>
          <w:color w:val="595959"/>
          <w:szCs w:val="20"/>
          <w:lang w:eastAsia="en-GB"/>
        </w:rPr>
        <w:t>f</w:t>
      </w:r>
      <w:r w:rsidRPr="000D0304">
        <w:rPr>
          <w:rFonts w:cs="Helvetica"/>
          <w:color w:val="595959"/>
          <w:szCs w:val="20"/>
          <w:lang w:eastAsia="en-GB"/>
        </w:rPr>
        <w:t xml:space="preserve">ootprint (WSFP) of primary aluminium </w:t>
      </w:r>
      <w:r w:rsidR="0096379A" w:rsidRPr="00311466">
        <w:rPr>
          <w:rFonts w:cs="Helvetica"/>
          <w:color w:val="595959"/>
          <w:szCs w:val="20"/>
          <w:lang w:eastAsia="en-GB"/>
        </w:rPr>
        <w:t xml:space="preserve">production </w:t>
      </w:r>
      <w:r w:rsidR="0096379A">
        <w:rPr>
          <w:rFonts w:cs="Helvetica"/>
          <w:color w:val="595959"/>
          <w:szCs w:val="20"/>
          <w:lang w:eastAsia="en-GB"/>
        </w:rPr>
        <w:t>is</w:t>
      </w:r>
      <w:r w:rsidR="0096379A" w:rsidRPr="000D0304">
        <w:rPr>
          <w:rFonts w:cs="Helvetica"/>
          <w:color w:val="595959"/>
          <w:szCs w:val="20"/>
          <w:lang w:eastAsia="en-GB"/>
        </w:rPr>
        <w:t xml:space="preserve"> </w:t>
      </w:r>
      <w:r w:rsidRPr="000D0304">
        <w:rPr>
          <w:rFonts w:cs="Helvetica"/>
          <w:color w:val="595959"/>
          <w:szCs w:val="20"/>
          <w:lang w:eastAsia="en-GB"/>
        </w:rPr>
        <w:t>calculated in accordance with ISO 14046</w:t>
      </w:r>
      <w:r w:rsidR="009831A3">
        <w:rPr>
          <w:rFonts w:cs="Helvetica"/>
          <w:color w:val="595959"/>
          <w:szCs w:val="20"/>
          <w:lang w:eastAsia="en-GB"/>
        </w:rPr>
        <w:t xml:space="preserve">.  </w:t>
      </w:r>
      <w:r w:rsidR="005703B3" w:rsidRPr="000D0304">
        <w:rPr>
          <w:rFonts w:cs="Helvetica"/>
          <w:color w:val="595959"/>
          <w:szCs w:val="20"/>
          <w:lang w:eastAsia="en-GB"/>
        </w:rPr>
        <w:t xml:space="preserve">The WSFP of a </w:t>
      </w:r>
      <w:r w:rsidR="00F65CDF">
        <w:rPr>
          <w:rFonts w:cs="Helvetica"/>
          <w:color w:val="595959"/>
          <w:szCs w:val="20"/>
          <w:lang w:eastAsia="en-GB"/>
        </w:rPr>
        <w:t>plant or process</w:t>
      </w:r>
      <w:r w:rsidR="00F65CDF" w:rsidRPr="000D0304">
        <w:rPr>
          <w:rFonts w:cs="Helvetica"/>
          <w:color w:val="595959"/>
          <w:szCs w:val="20"/>
          <w:lang w:eastAsia="en-GB"/>
        </w:rPr>
        <w:t xml:space="preserve"> </w:t>
      </w:r>
      <w:r w:rsidR="005703B3" w:rsidRPr="000D0304">
        <w:rPr>
          <w:rFonts w:cs="Helvetica"/>
          <w:color w:val="595959"/>
          <w:szCs w:val="20"/>
          <w:lang w:eastAsia="en-GB"/>
        </w:rPr>
        <w:t xml:space="preserve">quantifies </w:t>
      </w:r>
      <w:r w:rsidR="00C71F9C" w:rsidRPr="000D0304">
        <w:rPr>
          <w:rFonts w:cs="Helvetica"/>
          <w:color w:val="595959"/>
          <w:szCs w:val="20"/>
          <w:lang w:eastAsia="en-GB"/>
        </w:rPr>
        <w:t xml:space="preserve">the </w:t>
      </w:r>
      <w:r w:rsidR="005703B3" w:rsidRPr="000D0304">
        <w:rPr>
          <w:rFonts w:cs="Helvetica"/>
          <w:color w:val="595959"/>
          <w:szCs w:val="20"/>
          <w:lang w:eastAsia="en-GB"/>
        </w:rPr>
        <w:t>extent</w:t>
      </w:r>
      <w:r w:rsidR="00C71F9C" w:rsidRPr="000D0304">
        <w:rPr>
          <w:rFonts w:cs="Helvetica"/>
          <w:color w:val="595959"/>
          <w:szCs w:val="20"/>
          <w:lang w:eastAsia="en-GB"/>
        </w:rPr>
        <w:t xml:space="preserve"> to which the water consumption of the</w:t>
      </w:r>
      <w:r w:rsidR="005703B3" w:rsidRPr="000D0304">
        <w:rPr>
          <w:rFonts w:cs="Helvetica"/>
          <w:color w:val="595959"/>
          <w:szCs w:val="20"/>
          <w:lang w:eastAsia="en-GB"/>
        </w:rPr>
        <w:t xml:space="preserve"> </w:t>
      </w:r>
      <w:r w:rsidR="00F65CDF">
        <w:rPr>
          <w:rFonts w:cs="Helvetica"/>
          <w:color w:val="595959"/>
          <w:szCs w:val="20"/>
          <w:lang w:eastAsia="en-GB"/>
        </w:rPr>
        <w:t>plant or process</w:t>
      </w:r>
      <w:r w:rsidR="00F65CDF" w:rsidRPr="000D0304">
        <w:rPr>
          <w:rFonts w:cs="Helvetica"/>
          <w:color w:val="595959"/>
          <w:szCs w:val="20"/>
          <w:lang w:eastAsia="en-GB"/>
        </w:rPr>
        <w:t xml:space="preserve"> </w:t>
      </w:r>
      <w:r w:rsidR="005703B3" w:rsidRPr="000D0304">
        <w:rPr>
          <w:rFonts w:cs="Helvetica"/>
          <w:color w:val="595959"/>
          <w:szCs w:val="20"/>
          <w:lang w:eastAsia="en-GB"/>
        </w:rPr>
        <w:t xml:space="preserve">contributes to water scarcity in the region </w:t>
      </w:r>
      <w:r w:rsidR="0096379A">
        <w:rPr>
          <w:rFonts w:cs="Helvetica"/>
          <w:color w:val="595959"/>
          <w:szCs w:val="20"/>
          <w:lang w:eastAsia="en-GB"/>
        </w:rPr>
        <w:t>in which</w:t>
      </w:r>
      <w:r w:rsidR="0096379A" w:rsidRPr="000D0304">
        <w:rPr>
          <w:rFonts w:cs="Helvetica"/>
          <w:color w:val="595959"/>
          <w:szCs w:val="20"/>
          <w:lang w:eastAsia="en-GB"/>
        </w:rPr>
        <w:t xml:space="preserve"> </w:t>
      </w:r>
      <w:r w:rsidR="005703B3" w:rsidRPr="000D0304">
        <w:rPr>
          <w:rFonts w:cs="Helvetica"/>
          <w:color w:val="595959"/>
          <w:szCs w:val="20"/>
          <w:lang w:eastAsia="en-GB"/>
        </w:rPr>
        <w:t>it operates</w:t>
      </w:r>
      <w:r w:rsidR="009831A3">
        <w:rPr>
          <w:rFonts w:cs="Helvetica"/>
          <w:color w:val="595959"/>
          <w:szCs w:val="20"/>
          <w:lang w:eastAsia="en-GB"/>
        </w:rPr>
        <w:t xml:space="preserve">.  </w:t>
      </w:r>
      <w:r w:rsidRPr="000D0304">
        <w:rPr>
          <w:rFonts w:cs="Helvetica"/>
          <w:color w:val="595959"/>
          <w:szCs w:val="20"/>
          <w:lang w:eastAsia="en-GB"/>
        </w:rPr>
        <w:t>The cradle-to-gate</w:t>
      </w:r>
      <w:r w:rsidR="0096379A">
        <w:rPr>
          <w:rFonts w:cs="Helvetica"/>
          <w:color w:val="595959"/>
          <w:szCs w:val="20"/>
          <w:lang w:eastAsia="en-GB"/>
        </w:rPr>
        <w:t xml:space="preserve"> WSFP</w:t>
      </w:r>
      <w:r w:rsidRPr="000D0304">
        <w:rPr>
          <w:rFonts w:cs="Helvetica"/>
          <w:color w:val="595959"/>
          <w:szCs w:val="20"/>
          <w:lang w:eastAsia="en-GB"/>
        </w:rPr>
        <w:t xml:space="preserve">, of primary aluminium </w:t>
      </w:r>
      <w:r w:rsidR="0096379A">
        <w:rPr>
          <w:rFonts w:cs="Helvetica"/>
          <w:color w:val="595959"/>
          <w:szCs w:val="20"/>
          <w:lang w:eastAsia="en-GB"/>
        </w:rPr>
        <w:t>is</w:t>
      </w:r>
      <w:r w:rsidR="0096379A" w:rsidRPr="000D0304">
        <w:rPr>
          <w:rFonts w:cs="Helvetica"/>
          <w:color w:val="595959"/>
          <w:szCs w:val="20"/>
          <w:lang w:eastAsia="en-GB"/>
        </w:rPr>
        <w:t xml:space="preserve"> </w:t>
      </w:r>
      <w:r w:rsidRPr="000D0304">
        <w:rPr>
          <w:rFonts w:cs="Helvetica"/>
          <w:color w:val="595959"/>
          <w:szCs w:val="20"/>
          <w:lang w:eastAsia="en-GB"/>
        </w:rPr>
        <w:t xml:space="preserve">determined for </w:t>
      </w:r>
      <w:r w:rsidR="00CE721E" w:rsidRPr="000D0304">
        <w:rPr>
          <w:rFonts w:cs="Helvetica"/>
          <w:color w:val="595959"/>
          <w:szCs w:val="20"/>
          <w:lang w:eastAsia="en-GB"/>
        </w:rPr>
        <w:t xml:space="preserve">the global aluminium industry and </w:t>
      </w:r>
      <w:r w:rsidR="00DA0207">
        <w:rPr>
          <w:rFonts w:cs="Helvetica"/>
          <w:color w:val="595959"/>
          <w:szCs w:val="20"/>
          <w:lang w:eastAsia="en-GB"/>
        </w:rPr>
        <w:t>four</w:t>
      </w:r>
      <w:r w:rsidR="00DA0207" w:rsidRPr="000D0304">
        <w:rPr>
          <w:rFonts w:cs="Helvetica"/>
          <w:color w:val="595959"/>
          <w:szCs w:val="20"/>
          <w:lang w:eastAsia="en-GB"/>
        </w:rPr>
        <w:t xml:space="preserve"> </w:t>
      </w:r>
      <w:r w:rsidR="005703B3" w:rsidRPr="000D0304">
        <w:rPr>
          <w:rFonts w:cs="Helvetica"/>
          <w:color w:val="595959"/>
          <w:szCs w:val="20"/>
          <w:lang w:eastAsia="en-GB"/>
        </w:rPr>
        <w:t>archetype scenarios</w:t>
      </w:r>
      <w:r w:rsidR="00CA286B">
        <w:rPr>
          <w:rFonts w:cs="Helvetica"/>
          <w:szCs w:val="20"/>
        </w:rPr>
        <w:t>.</w:t>
      </w:r>
    </w:p>
    <w:p w14:paraId="79C64AE1" w14:textId="6A7588D2" w:rsidR="002B0C74" w:rsidRPr="000D0304" w:rsidRDefault="0096379A" w:rsidP="000D0304">
      <w:pPr>
        <w:pStyle w:val="ListParagraph"/>
        <w:numPr>
          <w:ilvl w:val="0"/>
          <w:numId w:val="45"/>
        </w:numPr>
        <w:spacing w:after="0" w:line="312" w:lineRule="auto"/>
        <w:ind w:left="714" w:hanging="357"/>
        <w:contextualSpacing/>
        <w:jc w:val="both"/>
        <w:rPr>
          <w:rFonts w:cs="Helvetica"/>
          <w:color w:val="595959"/>
          <w:szCs w:val="20"/>
          <w:lang w:eastAsia="en-GB"/>
        </w:rPr>
      </w:pPr>
      <w:r>
        <w:rPr>
          <w:rFonts w:cs="Helvetica"/>
          <w:b/>
          <w:color w:val="595959"/>
          <w:szCs w:val="20"/>
          <w:lang w:eastAsia="en-GB"/>
        </w:rPr>
        <w:t>D</w:t>
      </w:r>
      <w:r w:rsidR="002B0C74" w:rsidRPr="000D0304">
        <w:rPr>
          <w:rFonts w:cs="Helvetica"/>
          <w:b/>
          <w:color w:val="595959"/>
          <w:szCs w:val="20"/>
          <w:lang w:eastAsia="en-GB"/>
        </w:rPr>
        <w:t>irect WSFP</w:t>
      </w:r>
      <w:r>
        <w:rPr>
          <w:rFonts w:cs="Helvetica"/>
          <w:color w:val="595959"/>
          <w:szCs w:val="20"/>
          <w:lang w:eastAsia="en-GB"/>
        </w:rPr>
        <w:t xml:space="preserve">, </w:t>
      </w:r>
      <w:r w:rsidR="002B0C74" w:rsidRPr="000D0304">
        <w:rPr>
          <w:rFonts w:cs="Helvetica"/>
          <w:color w:val="595959"/>
          <w:szCs w:val="20"/>
          <w:lang w:eastAsia="en-GB"/>
        </w:rPr>
        <w:t xml:space="preserve">calculated </w:t>
      </w:r>
      <w:r>
        <w:rPr>
          <w:rFonts w:cs="Helvetica"/>
          <w:color w:val="595959"/>
          <w:szCs w:val="20"/>
          <w:lang w:eastAsia="en-GB"/>
        </w:rPr>
        <w:t xml:space="preserve">using </w:t>
      </w:r>
      <w:r w:rsidR="002B0C74" w:rsidRPr="000D0304">
        <w:rPr>
          <w:rFonts w:cs="Helvetica"/>
          <w:color w:val="595959"/>
          <w:szCs w:val="20"/>
          <w:lang w:eastAsia="en-GB"/>
        </w:rPr>
        <w:t xml:space="preserve">water consumption </w:t>
      </w:r>
      <w:r>
        <w:rPr>
          <w:rFonts w:cs="Helvetica"/>
          <w:color w:val="595959"/>
          <w:szCs w:val="20"/>
          <w:lang w:eastAsia="en-GB"/>
        </w:rPr>
        <w:t xml:space="preserve">data, </w:t>
      </w:r>
      <w:r w:rsidR="002B0C74" w:rsidRPr="000D0304">
        <w:rPr>
          <w:rFonts w:cs="Helvetica"/>
          <w:color w:val="595959"/>
          <w:szCs w:val="20"/>
          <w:lang w:eastAsia="en-GB"/>
        </w:rPr>
        <w:t xml:space="preserve">collected </w:t>
      </w:r>
      <w:r w:rsidR="005703B3" w:rsidRPr="000D0304">
        <w:rPr>
          <w:rFonts w:cs="Helvetica"/>
          <w:color w:val="595959"/>
          <w:szCs w:val="20"/>
          <w:lang w:eastAsia="en-GB"/>
        </w:rPr>
        <w:t xml:space="preserve">as part of the </w:t>
      </w:r>
      <w:r w:rsidR="00C81471" w:rsidRPr="000D0304">
        <w:rPr>
          <w:rFonts w:cs="Helvetica"/>
          <w:color w:val="595959"/>
          <w:szCs w:val="20"/>
          <w:lang w:eastAsia="en-GB"/>
        </w:rPr>
        <w:t>201</w:t>
      </w:r>
      <w:r w:rsidR="00C81471">
        <w:rPr>
          <w:rFonts w:cs="Helvetica"/>
          <w:color w:val="595959"/>
          <w:szCs w:val="20"/>
          <w:lang w:eastAsia="en-GB"/>
        </w:rPr>
        <w:t>9</w:t>
      </w:r>
      <w:r w:rsidR="00C81471" w:rsidRPr="000D0304">
        <w:rPr>
          <w:rFonts w:cs="Helvetica"/>
          <w:color w:val="595959"/>
          <w:szCs w:val="20"/>
          <w:lang w:eastAsia="en-GB"/>
        </w:rPr>
        <w:t xml:space="preserve"> </w:t>
      </w:r>
      <w:r w:rsidR="002B0C74" w:rsidRPr="000D0304">
        <w:rPr>
          <w:rFonts w:cs="Helvetica"/>
          <w:color w:val="595959"/>
          <w:szCs w:val="20"/>
          <w:lang w:eastAsia="en-GB"/>
        </w:rPr>
        <w:t>LCI survey</w:t>
      </w:r>
      <w:r>
        <w:rPr>
          <w:rFonts w:cs="Helvetica"/>
          <w:color w:val="595959"/>
          <w:szCs w:val="20"/>
          <w:lang w:eastAsia="en-GB"/>
        </w:rPr>
        <w:t>;</w:t>
      </w:r>
    </w:p>
    <w:p w14:paraId="4733937F" w14:textId="0314BA5F" w:rsidR="002B0C74" w:rsidRPr="007C51CA" w:rsidRDefault="0096379A" w:rsidP="00487F27">
      <w:pPr>
        <w:pStyle w:val="ListParagraph"/>
        <w:numPr>
          <w:ilvl w:val="0"/>
          <w:numId w:val="45"/>
        </w:numPr>
        <w:spacing w:after="0" w:line="312" w:lineRule="auto"/>
        <w:ind w:left="714" w:hanging="357"/>
        <w:contextualSpacing/>
        <w:jc w:val="both"/>
        <w:rPr>
          <w:rFonts w:cs="Helvetica"/>
          <w:color w:val="595959"/>
          <w:szCs w:val="20"/>
          <w:lang w:eastAsia="en-GB"/>
        </w:rPr>
      </w:pPr>
      <w:r>
        <w:rPr>
          <w:rFonts w:cs="Helvetica"/>
          <w:b/>
          <w:color w:val="595959"/>
          <w:szCs w:val="20"/>
          <w:lang w:eastAsia="en-GB"/>
        </w:rPr>
        <w:t>I</w:t>
      </w:r>
      <w:r w:rsidR="002B0C74" w:rsidRPr="000D0304">
        <w:rPr>
          <w:rFonts w:cs="Helvetica"/>
          <w:b/>
          <w:color w:val="595959"/>
          <w:szCs w:val="20"/>
          <w:lang w:eastAsia="en-GB"/>
        </w:rPr>
        <w:t>ndirect WSFP</w:t>
      </w:r>
      <w:r>
        <w:rPr>
          <w:rFonts w:cs="Helvetica"/>
          <w:color w:val="595959"/>
          <w:szCs w:val="20"/>
          <w:lang w:eastAsia="en-GB"/>
        </w:rPr>
        <w:t>, c</w:t>
      </w:r>
      <w:r w:rsidR="002B0C74" w:rsidRPr="000D0304">
        <w:rPr>
          <w:rFonts w:cs="Helvetica"/>
          <w:color w:val="595959"/>
          <w:szCs w:val="20"/>
          <w:lang w:eastAsia="en-GB"/>
        </w:rPr>
        <w:t xml:space="preserve">alculated from data </w:t>
      </w:r>
      <w:r w:rsidR="00E61919" w:rsidRPr="000D0304">
        <w:rPr>
          <w:rFonts w:cs="Helvetica"/>
          <w:color w:val="595959"/>
          <w:szCs w:val="20"/>
          <w:lang w:eastAsia="en-GB"/>
        </w:rPr>
        <w:t>available in GaBi</w:t>
      </w:r>
      <w:r>
        <w:rPr>
          <w:rFonts w:cs="Helvetica"/>
          <w:color w:val="595959"/>
          <w:szCs w:val="20"/>
          <w:lang w:eastAsia="en-GB"/>
        </w:rPr>
        <w:t>,</w:t>
      </w:r>
      <w:r w:rsidR="00E61919" w:rsidRPr="000D0304">
        <w:rPr>
          <w:rFonts w:cs="Helvetica"/>
          <w:color w:val="595959"/>
          <w:szCs w:val="20"/>
          <w:lang w:eastAsia="en-GB"/>
        </w:rPr>
        <w:t xml:space="preserve"> </w:t>
      </w:r>
      <w:r w:rsidR="002B0C74" w:rsidRPr="000D0304">
        <w:rPr>
          <w:rFonts w:cs="Helvetica"/>
          <w:color w:val="595959"/>
          <w:szCs w:val="20"/>
          <w:lang w:eastAsia="en-GB"/>
        </w:rPr>
        <w:t xml:space="preserve">based on water consumption of </w:t>
      </w:r>
      <w:r w:rsidR="00F65CDF">
        <w:rPr>
          <w:rFonts w:cs="Helvetica"/>
          <w:color w:val="595959"/>
          <w:szCs w:val="20"/>
          <w:lang w:eastAsia="en-GB"/>
        </w:rPr>
        <w:t xml:space="preserve">the </w:t>
      </w:r>
      <w:r w:rsidR="002B0C74" w:rsidRPr="000D0304">
        <w:rPr>
          <w:rFonts w:cs="Helvetica"/>
          <w:color w:val="595959"/>
          <w:szCs w:val="20"/>
          <w:lang w:eastAsia="en-GB"/>
        </w:rPr>
        <w:t xml:space="preserve">ancillary materials, fuel and electricity needed </w:t>
      </w:r>
      <w:r w:rsidR="009373AC" w:rsidRPr="000D0304">
        <w:rPr>
          <w:rFonts w:cs="Helvetica"/>
          <w:color w:val="595959"/>
          <w:szCs w:val="20"/>
          <w:lang w:eastAsia="en-GB"/>
        </w:rPr>
        <w:t>to produce alumina, anodes, paste and aluminium</w:t>
      </w:r>
      <w:r w:rsidR="00F65CDF">
        <w:rPr>
          <w:rFonts w:cs="Helvetica"/>
          <w:color w:val="595959"/>
          <w:szCs w:val="20"/>
          <w:lang w:eastAsia="en-GB"/>
        </w:rPr>
        <w:t xml:space="preserve"> ingot.</w:t>
      </w:r>
      <w:r w:rsidR="004D370B">
        <w:rPr>
          <w:rFonts w:cs="Helvetica"/>
          <w:color w:val="595959"/>
          <w:szCs w:val="20"/>
          <w:lang w:eastAsia="en-GB"/>
        </w:rPr>
        <w:t xml:space="preserve"> The data are identical with the data used for the 2015 LCA report, using AWARE parameters instead of WSI for quantifying the local water scarcity.</w:t>
      </w:r>
    </w:p>
    <w:p w14:paraId="20AE4F6C" w14:textId="56FBB70D" w:rsidR="009373AC" w:rsidRDefault="009373AC" w:rsidP="00814FA0">
      <w:pPr>
        <w:spacing w:after="0" w:line="312" w:lineRule="auto"/>
        <w:jc w:val="both"/>
        <w:rPr>
          <w:rFonts w:cs="Helvetica"/>
          <w:color w:val="595959"/>
          <w:szCs w:val="20"/>
          <w:lang w:eastAsia="en-GB"/>
        </w:rPr>
      </w:pPr>
    </w:p>
    <w:p w14:paraId="48CF12C3" w14:textId="1DA19E5A" w:rsidR="0026168E" w:rsidRDefault="0026168E" w:rsidP="00814FA0">
      <w:pPr>
        <w:spacing w:after="0" w:line="312" w:lineRule="auto"/>
        <w:jc w:val="both"/>
        <w:rPr>
          <w:rFonts w:cs="Helvetica"/>
          <w:color w:val="595959"/>
          <w:szCs w:val="20"/>
          <w:lang w:eastAsia="en-GB"/>
        </w:rPr>
      </w:pPr>
      <w:r w:rsidRPr="0026168E">
        <w:rPr>
          <w:rFonts w:cs="Helvetica"/>
          <w:color w:val="595959"/>
          <w:szCs w:val="20"/>
          <w:lang w:eastAsia="en-GB"/>
        </w:rPr>
        <w:t>To determine the WSFP for each scenario, a site by site approach is adopted for each unit process and each region and then aggregated accordingly</w:t>
      </w:r>
      <w:r w:rsidR="00EC481B">
        <w:rPr>
          <w:rFonts w:cs="Helvetica"/>
          <w:color w:val="595959"/>
          <w:szCs w:val="20"/>
          <w:lang w:eastAsia="en-GB"/>
        </w:rPr>
        <w:t xml:space="preserve">, </w:t>
      </w:r>
      <w:r w:rsidR="008736FB">
        <w:rPr>
          <w:rFonts w:cs="Helvetica"/>
          <w:color w:val="595959"/>
          <w:szCs w:val="20"/>
          <w:lang w:eastAsia="en-GB"/>
        </w:rPr>
        <w:t>summarised in Table 9</w:t>
      </w:r>
      <w:r w:rsidRPr="0026168E">
        <w:rPr>
          <w:rFonts w:cs="Helvetica"/>
          <w:color w:val="595959"/>
          <w:szCs w:val="20"/>
          <w:lang w:eastAsia="en-GB"/>
        </w:rPr>
        <w:t xml:space="preserve">. </w:t>
      </w:r>
      <w:r>
        <w:rPr>
          <w:rFonts w:cs="Helvetica"/>
          <w:color w:val="595959"/>
          <w:szCs w:val="20"/>
          <w:lang w:eastAsia="en-GB"/>
        </w:rPr>
        <w:t xml:space="preserve"> </w:t>
      </w:r>
      <w:r w:rsidRPr="0026168E">
        <w:rPr>
          <w:rFonts w:cs="Helvetica"/>
          <w:color w:val="595959"/>
          <w:szCs w:val="20"/>
          <w:lang w:eastAsia="en-GB"/>
        </w:rPr>
        <w:t xml:space="preserve">Typically, water data for electrolysis, anode/paste production and ingot casting are reported at a ‘total plant’ level and so the three unit processes are modelled as a single site.  Scenario results are </w:t>
      </w:r>
      <w:r w:rsidR="00190059">
        <w:rPr>
          <w:rFonts w:cs="Helvetica"/>
          <w:color w:val="595959"/>
          <w:szCs w:val="20"/>
          <w:lang w:eastAsia="en-GB"/>
        </w:rPr>
        <w:t>summarised</w:t>
      </w:r>
      <w:r w:rsidRPr="0026168E">
        <w:rPr>
          <w:rFonts w:cs="Helvetica"/>
          <w:color w:val="595959"/>
          <w:szCs w:val="20"/>
          <w:lang w:eastAsia="en-GB"/>
        </w:rPr>
        <w:t xml:space="preserve"> in Table </w:t>
      </w:r>
      <w:r w:rsidR="008736FB">
        <w:rPr>
          <w:rFonts w:cs="Helvetica"/>
          <w:color w:val="595959"/>
          <w:szCs w:val="20"/>
          <w:lang w:eastAsia="en-GB"/>
        </w:rPr>
        <w:t>10</w:t>
      </w:r>
      <w:r>
        <w:rPr>
          <w:rFonts w:cs="Helvetica"/>
          <w:color w:val="595959"/>
          <w:szCs w:val="20"/>
          <w:lang w:eastAsia="en-GB"/>
        </w:rPr>
        <w:t>, using an approach that assumes, for each scenario, an average WSFP of the raw material supplier region</w:t>
      </w:r>
      <w:r w:rsidR="001D3B92">
        <w:rPr>
          <w:rFonts w:cs="Helvetica"/>
          <w:color w:val="595959"/>
          <w:szCs w:val="20"/>
          <w:lang w:eastAsia="en-GB"/>
        </w:rPr>
        <w:t>,</w:t>
      </w:r>
      <w:r w:rsidR="001228E2">
        <w:rPr>
          <w:rFonts w:cs="Helvetica"/>
          <w:color w:val="595959"/>
          <w:szCs w:val="20"/>
          <w:lang w:eastAsia="en-GB"/>
        </w:rPr>
        <w:t xml:space="preserve"> and</w:t>
      </w:r>
      <w:r w:rsidR="001D3B92">
        <w:rPr>
          <w:rFonts w:cs="Helvetica"/>
          <w:color w:val="595959"/>
          <w:szCs w:val="20"/>
          <w:lang w:eastAsia="en-GB"/>
        </w:rPr>
        <w:t>,</w:t>
      </w:r>
      <w:r w:rsidR="001228E2">
        <w:rPr>
          <w:rFonts w:cs="Helvetica"/>
          <w:color w:val="595959"/>
          <w:szCs w:val="20"/>
          <w:lang w:eastAsia="en-GB"/>
        </w:rPr>
        <w:t xml:space="preserve"> considers t</w:t>
      </w:r>
      <w:r w:rsidR="00190059">
        <w:rPr>
          <w:rFonts w:cs="Helvetica"/>
          <w:color w:val="595959"/>
          <w:szCs w:val="20"/>
          <w:lang w:eastAsia="en-GB"/>
        </w:rPr>
        <w:t>he amount of raw material required to produce one tonne of product</w:t>
      </w:r>
      <w:r w:rsidR="001228E2">
        <w:rPr>
          <w:rFonts w:cs="Helvetica"/>
          <w:color w:val="595959"/>
          <w:szCs w:val="20"/>
          <w:lang w:eastAsia="en-GB"/>
        </w:rPr>
        <w:t xml:space="preserve"> (reference flow)</w:t>
      </w:r>
      <w:r w:rsidR="00190059">
        <w:rPr>
          <w:rFonts w:cs="Helvetica"/>
          <w:color w:val="595959"/>
          <w:szCs w:val="20"/>
          <w:lang w:eastAsia="en-GB"/>
        </w:rPr>
        <w:t xml:space="preserve">.  </w:t>
      </w:r>
    </w:p>
    <w:p w14:paraId="5C44AAB3" w14:textId="77777777" w:rsidR="00AD1CD6" w:rsidRPr="000D0304" w:rsidRDefault="00AD1CD6" w:rsidP="00814FA0">
      <w:pPr>
        <w:spacing w:after="0" w:line="312" w:lineRule="auto"/>
        <w:jc w:val="both"/>
        <w:rPr>
          <w:rFonts w:cs="Helvetica"/>
          <w:color w:val="595959"/>
          <w:szCs w:val="20"/>
          <w:lang w:eastAsia="en-GB"/>
        </w:rPr>
      </w:pPr>
    </w:p>
    <w:p w14:paraId="0AB9FDC3" w14:textId="77777777" w:rsidR="009E7016" w:rsidRPr="000D0304" w:rsidRDefault="009E7016" w:rsidP="00DA5301">
      <w:pPr>
        <w:pStyle w:val="Heading4"/>
      </w:pPr>
      <w:bookmarkStart w:id="176" w:name="_Toc480971443"/>
      <w:bookmarkStart w:id="177" w:name="_Toc120111950"/>
      <w:bookmarkEnd w:id="176"/>
      <w:r w:rsidRPr="000D0304">
        <w:t>Direct WSFP</w:t>
      </w:r>
      <w:bookmarkEnd w:id="177"/>
    </w:p>
    <w:p w14:paraId="1C48E9EC" w14:textId="2674F924" w:rsidR="00B90DBB" w:rsidRPr="000D0304" w:rsidRDefault="007527B6" w:rsidP="000D0304">
      <w:pPr>
        <w:spacing w:after="0" w:line="312" w:lineRule="auto"/>
        <w:jc w:val="both"/>
        <w:rPr>
          <w:rFonts w:cs="Helvetica"/>
          <w:color w:val="595959"/>
          <w:szCs w:val="20"/>
          <w:lang w:eastAsia="en-GB"/>
        </w:rPr>
      </w:pPr>
      <w:r w:rsidRPr="000D0304">
        <w:rPr>
          <w:rFonts w:cs="Helvetica"/>
          <w:color w:val="595959"/>
          <w:szCs w:val="20"/>
          <w:lang w:eastAsia="en-GB"/>
        </w:rPr>
        <w:t>Water consumption of the site</w:t>
      </w:r>
      <w:r w:rsidR="00157599">
        <w:rPr>
          <w:rFonts w:cs="Helvetica"/>
          <w:color w:val="595959"/>
          <w:szCs w:val="20"/>
          <w:lang w:eastAsia="en-GB"/>
        </w:rPr>
        <w:t xml:space="preserve"> (input-output)</w:t>
      </w:r>
      <w:r w:rsidRPr="000D0304">
        <w:rPr>
          <w:rFonts w:cs="Helvetica"/>
          <w:color w:val="595959"/>
          <w:szCs w:val="20"/>
          <w:lang w:eastAsia="en-GB"/>
        </w:rPr>
        <w:t xml:space="preserve"> is multiplied by </w:t>
      </w:r>
      <w:r w:rsidR="00F65CDF">
        <w:rPr>
          <w:rFonts w:cs="Helvetica"/>
          <w:color w:val="595959"/>
          <w:szCs w:val="20"/>
          <w:lang w:eastAsia="en-GB"/>
        </w:rPr>
        <w:t xml:space="preserve">a </w:t>
      </w:r>
      <w:r w:rsidRPr="000D0304">
        <w:rPr>
          <w:rFonts w:cs="Helvetica"/>
          <w:color w:val="595959"/>
          <w:szCs w:val="20"/>
          <w:lang w:eastAsia="en-GB"/>
        </w:rPr>
        <w:t>local characterisation factor</w:t>
      </w:r>
      <w:r w:rsidR="00846B50" w:rsidRPr="000D0304">
        <w:rPr>
          <w:rFonts w:cs="Helvetica"/>
          <w:color w:val="595959"/>
          <w:szCs w:val="20"/>
          <w:lang w:eastAsia="en-GB"/>
        </w:rPr>
        <w:t xml:space="preserve"> </w:t>
      </w:r>
      <w:r w:rsidRPr="000D0304">
        <w:rPr>
          <w:rFonts w:cs="Helvetica"/>
          <w:color w:val="595959"/>
          <w:szCs w:val="20"/>
          <w:lang w:eastAsia="en-GB"/>
        </w:rPr>
        <w:t xml:space="preserve">to give a </w:t>
      </w:r>
      <w:r w:rsidRPr="001D3B92">
        <w:rPr>
          <w:rFonts w:cs="Helvetica"/>
          <w:color w:val="595959"/>
          <w:szCs w:val="20"/>
          <w:lang w:eastAsia="en-GB"/>
        </w:rPr>
        <w:t>site</w:t>
      </w:r>
      <w:r w:rsidR="00511EDF" w:rsidRPr="001D3B92">
        <w:rPr>
          <w:rFonts w:cs="Helvetica"/>
          <w:color w:val="595959"/>
          <w:szCs w:val="20"/>
          <w:lang w:eastAsia="en-GB"/>
        </w:rPr>
        <w:t xml:space="preserve"> specific</w:t>
      </w:r>
      <w:r w:rsidRPr="001D3B92">
        <w:rPr>
          <w:rFonts w:cs="Helvetica"/>
          <w:color w:val="595959"/>
          <w:szCs w:val="20"/>
          <w:lang w:eastAsia="en-GB"/>
        </w:rPr>
        <w:t xml:space="preserve"> </w:t>
      </w:r>
      <w:r w:rsidR="009373AC" w:rsidRPr="001D3B92">
        <w:rPr>
          <w:rFonts w:cs="Helvetica"/>
          <w:color w:val="595959"/>
          <w:szCs w:val="20"/>
          <w:lang w:eastAsia="en-GB"/>
        </w:rPr>
        <w:t>WSFP</w:t>
      </w:r>
      <w:r w:rsidR="00F65CDF">
        <w:rPr>
          <w:rFonts w:cs="Helvetica"/>
          <w:color w:val="595959"/>
          <w:szCs w:val="20"/>
          <w:lang w:eastAsia="en-GB"/>
        </w:rPr>
        <w:t>.</w:t>
      </w:r>
      <w:r w:rsidR="00F1299F">
        <w:rPr>
          <w:rFonts w:cs="Helvetica"/>
          <w:color w:val="595959"/>
          <w:szCs w:val="20"/>
          <w:lang w:eastAsia="en-GB"/>
        </w:rPr>
        <w:t xml:space="preserve"> </w:t>
      </w:r>
      <w:r w:rsidR="00C81471" w:rsidRPr="00C81471">
        <w:rPr>
          <w:rFonts w:cs="Helvetica"/>
          <w:color w:val="595959"/>
          <w:szCs w:val="20"/>
          <w:lang w:eastAsia="en-GB"/>
        </w:rPr>
        <w:t>Available Water Remaining (</w:t>
      </w:r>
      <w:proofErr w:type="spellStart"/>
      <w:r w:rsidR="00C81471" w:rsidRPr="00C81471">
        <w:rPr>
          <w:rFonts w:cs="Helvetica"/>
          <w:color w:val="595959"/>
          <w:szCs w:val="20"/>
          <w:lang w:eastAsia="en-GB"/>
        </w:rPr>
        <w:t>AWaRe</w:t>
      </w:r>
      <w:proofErr w:type="spellEnd"/>
      <w:r w:rsidR="00C81471" w:rsidRPr="00C81471">
        <w:rPr>
          <w:rFonts w:cs="Helvetica"/>
          <w:color w:val="595959"/>
          <w:szCs w:val="20"/>
          <w:lang w:eastAsia="en-GB"/>
        </w:rPr>
        <w:t>) replaces Water Stress Index (WSI) as the water scarcity characterisation factor</w:t>
      </w:r>
      <w:r w:rsidR="00BC736E">
        <w:rPr>
          <w:rFonts w:cs="Helvetica"/>
          <w:color w:val="595959"/>
          <w:szCs w:val="20"/>
          <w:lang w:eastAsia="en-GB"/>
        </w:rPr>
        <w:t xml:space="preserve"> in this report.</w:t>
      </w:r>
      <w:r w:rsidR="00C81471" w:rsidRPr="00C81471">
        <w:rPr>
          <w:rFonts w:cs="Helvetica"/>
          <w:color w:val="595959"/>
          <w:szCs w:val="20"/>
          <w:lang w:eastAsia="en-GB"/>
        </w:rPr>
        <w:t xml:space="preserve"> </w:t>
      </w:r>
      <w:proofErr w:type="spellStart"/>
      <w:r w:rsidR="00C81471" w:rsidRPr="00C81471">
        <w:rPr>
          <w:rFonts w:cs="Helvetica"/>
          <w:color w:val="595959"/>
          <w:szCs w:val="20"/>
          <w:lang w:eastAsia="en-GB"/>
        </w:rPr>
        <w:t>AWaRe</w:t>
      </w:r>
      <w:proofErr w:type="spellEnd"/>
      <w:r w:rsidR="00C81471" w:rsidRPr="00C81471">
        <w:rPr>
          <w:rFonts w:cs="Helvetica"/>
          <w:color w:val="595959"/>
          <w:szCs w:val="20"/>
          <w:lang w:eastAsia="en-GB"/>
        </w:rPr>
        <w:t xml:space="preserve"> is a new consensus method of </w:t>
      </w:r>
      <w:r w:rsidR="00564105">
        <w:rPr>
          <w:rFonts w:cs="Helvetica"/>
          <w:color w:val="595959"/>
          <w:szCs w:val="20"/>
          <w:lang w:eastAsia="en-GB"/>
        </w:rPr>
        <w:t>UN Environment and was developed by the</w:t>
      </w:r>
      <w:r w:rsidR="00C81471" w:rsidRPr="00C81471">
        <w:rPr>
          <w:rFonts w:cs="Helvetica"/>
          <w:color w:val="595959"/>
          <w:szCs w:val="20"/>
          <w:lang w:eastAsia="en-GB"/>
        </w:rPr>
        <w:t xml:space="preserve"> working group on water use in LCA (WULCA), which was released in 2015 and is suggested by JRC as new standard impact assessment method for water use in PEF</w:t>
      </w:r>
      <w:r w:rsidR="00C81471">
        <w:rPr>
          <w:rFonts w:cs="Helvetica"/>
          <w:color w:val="595959"/>
          <w:szCs w:val="20"/>
          <w:lang w:eastAsia="en-GB"/>
        </w:rPr>
        <w:t xml:space="preserve">. </w:t>
      </w:r>
      <w:r w:rsidRPr="000D0304">
        <w:rPr>
          <w:rFonts w:cs="Helvetica"/>
          <w:color w:val="595959"/>
          <w:szCs w:val="20"/>
          <w:lang w:eastAsia="en-GB"/>
        </w:rPr>
        <w:t xml:space="preserve">The WSFP of all sites in a region are </w:t>
      </w:r>
      <w:r w:rsidR="00F65CDF">
        <w:rPr>
          <w:rFonts w:cs="Helvetica"/>
          <w:color w:val="595959"/>
          <w:szCs w:val="20"/>
          <w:lang w:eastAsia="en-GB"/>
        </w:rPr>
        <w:t xml:space="preserve">then </w:t>
      </w:r>
      <w:r w:rsidRPr="000D0304">
        <w:rPr>
          <w:rFonts w:cs="Helvetica"/>
          <w:color w:val="595959"/>
          <w:szCs w:val="20"/>
          <w:lang w:eastAsia="en-GB"/>
        </w:rPr>
        <w:t>summed</w:t>
      </w:r>
      <w:r w:rsidR="00511EDF">
        <w:rPr>
          <w:rFonts w:cs="Helvetica"/>
          <w:color w:val="595959"/>
          <w:szCs w:val="20"/>
          <w:lang w:eastAsia="en-GB"/>
        </w:rPr>
        <w:t xml:space="preserve"> </w:t>
      </w:r>
      <w:r w:rsidR="009E7016" w:rsidRPr="000D0304">
        <w:rPr>
          <w:rFonts w:cs="Helvetica"/>
          <w:color w:val="595959"/>
          <w:szCs w:val="20"/>
          <w:lang w:eastAsia="en-GB"/>
        </w:rPr>
        <w:t>to give a</w:t>
      </w:r>
      <w:r w:rsidR="0076429A">
        <w:rPr>
          <w:rFonts w:cs="Helvetica"/>
          <w:color w:val="595959"/>
          <w:szCs w:val="20"/>
          <w:lang w:eastAsia="en-GB"/>
        </w:rPr>
        <w:t xml:space="preserve"> </w:t>
      </w:r>
      <w:r w:rsidR="00190059" w:rsidRPr="001D3B92">
        <w:rPr>
          <w:rFonts w:cs="Helvetica"/>
          <w:color w:val="595959"/>
          <w:szCs w:val="20"/>
          <w:lang w:eastAsia="en-GB"/>
        </w:rPr>
        <w:t>regional</w:t>
      </w:r>
      <w:r w:rsidR="009E7016" w:rsidRPr="001D3B92">
        <w:rPr>
          <w:rFonts w:cs="Helvetica"/>
          <w:color w:val="595959"/>
          <w:szCs w:val="20"/>
          <w:lang w:eastAsia="en-GB"/>
        </w:rPr>
        <w:t xml:space="preserve"> WSFP</w:t>
      </w:r>
      <w:r w:rsidR="00A35194">
        <w:rPr>
          <w:rFonts w:cs="Helvetica"/>
          <w:b/>
          <w:color w:val="595959"/>
          <w:szCs w:val="20"/>
          <w:lang w:eastAsia="en-GB"/>
        </w:rPr>
        <w:t>.</w:t>
      </w:r>
      <w:r w:rsidR="00A35194" w:rsidRPr="00A35194">
        <w:rPr>
          <w:rFonts w:cs="Helvetica"/>
          <w:color w:val="595959"/>
          <w:szCs w:val="20"/>
          <w:lang w:eastAsia="en-GB"/>
        </w:rPr>
        <w:t xml:space="preserve"> This regional total is then divided by the </w:t>
      </w:r>
      <w:r w:rsidR="002420DB">
        <w:rPr>
          <w:rFonts w:cs="Helvetica"/>
          <w:color w:val="595959"/>
          <w:szCs w:val="20"/>
          <w:lang w:eastAsia="en-GB"/>
        </w:rPr>
        <w:t xml:space="preserve">reporting </w:t>
      </w:r>
      <w:r w:rsidR="00A35194" w:rsidRPr="00A35194">
        <w:rPr>
          <w:rFonts w:cs="Helvetica"/>
          <w:color w:val="595959"/>
          <w:szCs w:val="20"/>
          <w:lang w:eastAsia="en-GB"/>
        </w:rPr>
        <w:t xml:space="preserve">regional production for a </w:t>
      </w:r>
      <w:r w:rsidR="00A35194" w:rsidRPr="00A35194">
        <w:rPr>
          <w:rFonts w:cs="Helvetica"/>
          <w:b/>
          <w:color w:val="595959"/>
          <w:szCs w:val="20"/>
          <w:lang w:eastAsia="en-GB"/>
        </w:rPr>
        <w:t>specific WSFP</w:t>
      </w:r>
      <w:r w:rsidR="00A35194" w:rsidRPr="00A35194">
        <w:rPr>
          <w:rFonts w:cs="Helvetica"/>
          <w:color w:val="595959"/>
          <w:szCs w:val="20"/>
          <w:lang w:eastAsia="en-GB"/>
        </w:rPr>
        <w:t xml:space="preserve"> per tonne of product</w:t>
      </w:r>
      <w:r w:rsidR="00014014" w:rsidRPr="00A35194">
        <w:rPr>
          <w:rFonts w:cs="Helvetica"/>
          <w:color w:val="595959"/>
          <w:szCs w:val="20"/>
          <w:lang w:eastAsia="en-GB"/>
        </w:rPr>
        <w:t>.</w:t>
      </w:r>
      <w:r w:rsidR="00511EDF" w:rsidRPr="00A35194">
        <w:rPr>
          <w:rFonts w:cs="Helvetica"/>
          <w:color w:val="595959"/>
          <w:szCs w:val="20"/>
          <w:lang w:eastAsia="en-GB"/>
        </w:rPr>
        <w:t xml:space="preserve"> </w:t>
      </w:r>
    </w:p>
    <w:p w14:paraId="3442D289" w14:textId="77777777" w:rsidR="009E7016" w:rsidRPr="00BA65D4" w:rsidRDefault="009E7016" w:rsidP="00DA5301">
      <w:pPr>
        <w:pStyle w:val="Heading4"/>
      </w:pPr>
      <w:bookmarkStart w:id="178" w:name="_Toc480971445"/>
      <w:bookmarkStart w:id="179" w:name="_Toc120111951"/>
      <w:bookmarkEnd w:id="178"/>
      <w:r w:rsidRPr="00BA65D4">
        <w:t>Indirect WSFP</w:t>
      </w:r>
      <w:bookmarkEnd w:id="179"/>
    </w:p>
    <w:p w14:paraId="3D5CBE7B" w14:textId="486A5949" w:rsidR="00A35194" w:rsidRPr="000D0304" w:rsidRDefault="00617526" w:rsidP="00A35194">
      <w:pPr>
        <w:spacing w:after="0" w:line="312" w:lineRule="auto"/>
        <w:jc w:val="both"/>
        <w:rPr>
          <w:rFonts w:cs="Helvetica"/>
          <w:color w:val="595959"/>
          <w:szCs w:val="20"/>
          <w:lang w:eastAsia="en-GB"/>
        </w:rPr>
      </w:pPr>
      <w:r w:rsidRPr="00BA65D4">
        <w:rPr>
          <w:rFonts w:cs="Helvetica"/>
          <w:color w:val="595959"/>
          <w:szCs w:val="20"/>
          <w:lang w:eastAsia="en-GB"/>
        </w:rPr>
        <w:t>Regional</w:t>
      </w:r>
      <w:r w:rsidR="0059503C" w:rsidRPr="00BA65D4">
        <w:rPr>
          <w:rFonts w:cs="Helvetica"/>
          <w:color w:val="595959"/>
          <w:szCs w:val="20"/>
          <w:lang w:eastAsia="en-GB"/>
        </w:rPr>
        <w:t xml:space="preserve">ised </w:t>
      </w:r>
      <w:r w:rsidR="00DF7EE7" w:rsidRPr="00BA65D4">
        <w:rPr>
          <w:rFonts w:cs="Helvetica"/>
          <w:color w:val="595959"/>
          <w:szCs w:val="20"/>
          <w:lang w:eastAsia="en-GB"/>
        </w:rPr>
        <w:t xml:space="preserve">quantities of ancillary </w:t>
      </w:r>
      <w:r w:rsidR="0059503C" w:rsidRPr="00BA65D4">
        <w:rPr>
          <w:rFonts w:cs="Helvetica"/>
          <w:color w:val="595959"/>
          <w:szCs w:val="20"/>
          <w:lang w:eastAsia="en-GB"/>
        </w:rPr>
        <w:t xml:space="preserve">materials, </w:t>
      </w:r>
      <w:r w:rsidR="0008659A" w:rsidRPr="00BA65D4">
        <w:rPr>
          <w:rFonts w:cs="Helvetica"/>
          <w:color w:val="595959"/>
          <w:szCs w:val="20"/>
          <w:lang w:eastAsia="en-GB"/>
        </w:rPr>
        <w:t>fuel</w:t>
      </w:r>
      <w:r w:rsidRPr="00BA65D4">
        <w:rPr>
          <w:rFonts w:cs="Helvetica"/>
          <w:color w:val="595959"/>
          <w:szCs w:val="20"/>
          <w:lang w:eastAsia="en-GB"/>
        </w:rPr>
        <w:t xml:space="preserve"> </w:t>
      </w:r>
      <w:r w:rsidR="00DF7EE7" w:rsidRPr="00BA65D4">
        <w:rPr>
          <w:rFonts w:cs="Helvetica"/>
          <w:color w:val="595959"/>
          <w:szCs w:val="20"/>
          <w:lang w:eastAsia="en-GB"/>
        </w:rPr>
        <w:t xml:space="preserve">and electricity </w:t>
      </w:r>
      <w:r w:rsidRPr="00BA65D4">
        <w:rPr>
          <w:rFonts w:cs="Helvetica"/>
          <w:color w:val="595959"/>
          <w:szCs w:val="20"/>
          <w:lang w:eastAsia="en-GB"/>
        </w:rPr>
        <w:t>consumption</w:t>
      </w:r>
      <w:r w:rsidR="00DF7EE7" w:rsidRPr="00BA65D4">
        <w:rPr>
          <w:rFonts w:cs="Helvetica"/>
          <w:color w:val="595959"/>
          <w:szCs w:val="20"/>
          <w:lang w:eastAsia="en-GB"/>
        </w:rPr>
        <w:t xml:space="preserve"> </w:t>
      </w:r>
      <w:r w:rsidR="0008659A" w:rsidRPr="00BA65D4">
        <w:rPr>
          <w:rFonts w:cs="Helvetica"/>
          <w:color w:val="595959"/>
          <w:szCs w:val="20"/>
          <w:lang w:eastAsia="en-GB"/>
        </w:rPr>
        <w:t>for each unit process</w:t>
      </w:r>
      <w:r w:rsidR="0059503C" w:rsidRPr="00BA65D4">
        <w:rPr>
          <w:rFonts w:cs="Helvetica"/>
          <w:color w:val="595959"/>
          <w:szCs w:val="20"/>
          <w:lang w:eastAsia="en-GB"/>
        </w:rPr>
        <w:t xml:space="preserve"> (available in </w:t>
      </w:r>
      <w:r w:rsidR="001D3B92" w:rsidRPr="00BA65D4">
        <w:rPr>
          <w:rFonts w:cs="Helvetica"/>
          <w:color w:val="595959"/>
          <w:szCs w:val="20"/>
          <w:lang w:eastAsia="en-GB"/>
        </w:rPr>
        <w:t>Appendix A</w:t>
      </w:r>
      <w:r w:rsidR="0059503C" w:rsidRPr="00BA65D4">
        <w:rPr>
          <w:rFonts w:cs="Helvetica"/>
          <w:color w:val="595959"/>
          <w:szCs w:val="20"/>
          <w:lang w:eastAsia="en-GB"/>
        </w:rPr>
        <w:t>)</w:t>
      </w:r>
      <w:r w:rsidR="0008659A" w:rsidRPr="00BA65D4">
        <w:rPr>
          <w:rFonts w:cs="Helvetica"/>
          <w:color w:val="595959"/>
          <w:szCs w:val="20"/>
          <w:lang w:eastAsia="en-GB"/>
        </w:rPr>
        <w:t xml:space="preserve"> </w:t>
      </w:r>
      <w:r w:rsidR="00DF7EE7" w:rsidRPr="00BA65D4">
        <w:rPr>
          <w:rFonts w:cs="Helvetica"/>
          <w:color w:val="595959"/>
          <w:szCs w:val="20"/>
          <w:lang w:eastAsia="en-GB"/>
        </w:rPr>
        <w:t>are</w:t>
      </w:r>
      <w:r w:rsidRPr="00BA65D4">
        <w:rPr>
          <w:rFonts w:cs="Helvetica"/>
          <w:color w:val="595959"/>
          <w:szCs w:val="20"/>
          <w:lang w:eastAsia="en-GB"/>
        </w:rPr>
        <w:t xml:space="preserve"> multiplied by the </w:t>
      </w:r>
      <w:r w:rsidR="001D3B92" w:rsidRPr="00BA65D4">
        <w:rPr>
          <w:rFonts w:cs="Helvetica"/>
          <w:color w:val="595959"/>
          <w:szCs w:val="20"/>
          <w:lang w:eastAsia="en-GB"/>
        </w:rPr>
        <w:t>characterisation factors</w:t>
      </w:r>
      <w:r w:rsidR="0008659A" w:rsidRPr="00BA65D4">
        <w:rPr>
          <w:rFonts w:cs="Helvetica"/>
          <w:color w:val="595959"/>
          <w:szCs w:val="20"/>
          <w:lang w:eastAsia="en-GB"/>
        </w:rPr>
        <w:t xml:space="preserve"> </w:t>
      </w:r>
      <w:r w:rsidR="00A7262A" w:rsidRPr="00BA65D4">
        <w:rPr>
          <w:rFonts w:cs="Helvetica"/>
          <w:color w:val="595959"/>
          <w:szCs w:val="20"/>
          <w:lang w:eastAsia="en-GB"/>
        </w:rPr>
        <w:t>for</w:t>
      </w:r>
      <w:r w:rsidR="001D3B92" w:rsidRPr="00BA65D4">
        <w:rPr>
          <w:rFonts w:cs="Helvetica"/>
          <w:color w:val="595959"/>
          <w:szCs w:val="20"/>
          <w:lang w:eastAsia="en-GB"/>
        </w:rPr>
        <w:t xml:space="preserve"> each</w:t>
      </w:r>
      <w:r w:rsidR="0008659A" w:rsidRPr="00BA65D4">
        <w:rPr>
          <w:rFonts w:cs="Helvetica"/>
          <w:color w:val="595959"/>
          <w:szCs w:val="20"/>
          <w:lang w:eastAsia="en-GB"/>
        </w:rPr>
        <w:t xml:space="preserve"> product (data available in third party databases e.g</w:t>
      </w:r>
      <w:r w:rsidR="009831A3" w:rsidRPr="00BA65D4">
        <w:rPr>
          <w:rFonts w:cs="Helvetica"/>
          <w:color w:val="595959"/>
          <w:szCs w:val="20"/>
          <w:lang w:eastAsia="en-GB"/>
        </w:rPr>
        <w:t xml:space="preserve">. </w:t>
      </w:r>
      <w:r w:rsidR="0008659A" w:rsidRPr="00BA65D4">
        <w:rPr>
          <w:rFonts w:cs="Helvetica"/>
          <w:color w:val="595959"/>
          <w:szCs w:val="20"/>
          <w:lang w:eastAsia="en-GB"/>
        </w:rPr>
        <w:t>GaBi) and summed accordingly</w:t>
      </w:r>
      <w:r w:rsidR="009831A3" w:rsidRPr="00BA65D4">
        <w:rPr>
          <w:rFonts w:cs="Helvetica"/>
          <w:color w:val="595959"/>
          <w:szCs w:val="20"/>
          <w:lang w:eastAsia="en-GB"/>
        </w:rPr>
        <w:t xml:space="preserve">. </w:t>
      </w:r>
      <w:r w:rsidR="00A35194" w:rsidRPr="00BA65D4">
        <w:rPr>
          <w:rFonts w:cs="Helvetica"/>
          <w:color w:val="595959"/>
          <w:szCs w:val="20"/>
          <w:lang w:eastAsia="en-GB"/>
        </w:rPr>
        <w:t>This regional total is then divided by the</w:t>
      </w:r>
      <w:r w:rsidR="002420DB" w:rsidRPr="00BA65D4">
        <w:rPr>
          <w:rFonts w:cs="Helvetica"/>
          <w:color w:val="595959"/>
          <w:szCs w:val="20"/>
          <w:lang w:eastAsia="en-GB"/>
        </w:rPr>
        <w:t xml:space="preserve"> reporting</w:t>
      </w:r>
      <w:r w:rsidR="00A35194" w:rsidRPr="00BA65D4">
        <w:rPr>
          <w:rFonts w:cs="Helvetica"/>
          <w:color w:val="595959"/>
          <w:szCs w:val="20"/>
          <w:lang w:eastAsia="en-GB"/>
        </w:rPr>
        <w:t xml:space="preserve"> regional production for a </w:t>
      </w:r>
      <w:r w:rsidR="00A35194" w:rsidRPr="00BA65D4">
        <w:rPr>
          <w:rFonts w:cs="Helvetica"/>
          <w:b/>
          <w:color w:val="595959"/>
          <w:szCs w:val="20"/>
          <w:lang w:eastAsia="en-GB"/>
        </w:rPr>
        <w:t>specific WSFP</w:t>
      </w:r>
      <w:r w:rsidR="00A35194" w:rsidRPr="00BA65D4">
        <w:rPr>
          <w:rFonts w:cs="Helvetica"/>
          <w:color w:val="595959"/>
          <w:szCs w:val="20"/>
          <w:lang w:eastAsia="en-GB"/>
        </w:rPr>
        <w:t xml:space="preserve"> per tonne of product.</w:t>
      </w:r>
      <w:r w:rsidR="00A35194" w:rsidRPr="00A35194">
        <w:rPr>
          <w:rFonts w:cs="Helvetica"/>
          <w:color w:val="595959"/>
          <w:szCs w:val="20"/>
          <w:lang w:eastAsia="en-GB"/>
        </w:rPr>
        <w:t xml:space="preserve"> </w:t>
      </w:r>
    </w:p>
    <w:p w14:paraId="72FDD5F1" w14:textId="07516AD7" w:rsidR="005C2577" w:rsidRDefault="00DB0226">
      <w:pPr>
        <w:spacing w:after="0" w:line="312" w:lineRule="auto"/>
        <w:rPr>
          <w:rFonts w:cs="Helvetica"/>
          <w:b/>
          <w:color w:val="595959"/>
          <w:szCs w:val="20"/>
          <w:lang w:eastAsia="en-GB"/>
        </w:rPr>
      </w:pPr>
      <w:r>
        <w:rPr>
          <w:rFonts w:cs="Helvetica"/>
          <w:noProof/>
          <w:color w:val="595959"/>
          <w:szCs w:val="20"/>
          <w:lang w:eastAsia="zh-CN"/>
        </w:rPr>
        <w:lastRenderedPageBreak/>
        <mc:AlternateContent>
          <mc:Choice Requires="wpg">
            <w:drawing>
              <wp:anchor distT="0" distB="0" distL="114300" distR="114300" simplePos="0" relativeHeight="251658240" behindDoc="0" locked="0" layoutInCell="1" allowOverlap="1" wp14:anchorId="227D1975" wp14:editId="6CF6DF48">
                <wp:simplePos x="0" y="0"/>
                <wp:positionH relativeFrom="column">
                  <wp:posOffset>4665980</wp:posOffset>
                </wp:positionH>
                <wp:positionV relativeFrom="paragraph">
                  <wp:posOffset>147955</wp:posOffset>
                </wp:positionV>
                <wp:extent cx="571500" cy="1951051"/>
                <wp:effectExtent l="0" t="0" r="0" b="0"/>
                <wp:wrapNone/>
                <wp:docPr id="53" name="Group 53"/>
                <wp:cNvGraphicFramePr/>
                <a:graphic xmlns:a="http://schemas.openxmlformats.org/drawingml/2006/main">
                  <a:graphicData uri="http://schemas.microsoft.com/office/word/2010/wordprocessingGroup">
                    <wpg:wgp>
                      <wpg:cNvGrpSpPr/>
                      <wpg:grpSpPr>
                        <a:xfrm>
                          <a:off x="0" y="0"/>
                          <a:ext cx="571500" cy="1951051"/>
                          <a:chOff x="0" y="0"/>
                          <a:chExt cx="571500" cy="1951051"/>
                        </a:xfrm>
                      </wpg:grpSpPr>
                      <wpg:grpSp>
                        <wpg:cNvPr id="52" name="Group 52"/>
                        <wpg:cNvGrpSpPr/>
                        <wpg:grpSpPr>
                          <a:xfrm>
                            <a:off x="17476" y="563549"/>
                            <a:ext cx="544499" cy="817576"/>
                            <a:chOff x="7951" y="1574"/>
                            <a:chExt cx="544499" cy="817576"/>
                          </a:xfrm>
                        </wpg:grpSpPr>
                        <wps:wsp>
                          <wps:cNvPr id="40" name="Text Box 2"/>
                          <wps:cNvSpPr txBox="1">
                            <a:spLocks noChangeArrowheads="1"/>
                          </wps:cNvSpPr>
                          <wps:spPr bwMode="auto">
                            <a:xfrm>
                              <a:off x="7951" y="1574"/>
                              <a:ext cx="542925" cy="247650"/>
                            </a:xfrm>
                            <a:prstGeom prst="rect">
                              <a:avLst/>
                            </a:prstGeom>
                            <a:noFill/>
                            <a:ln w="9525">
                              <a:noFill/>
                              <a:miter lim="800000"/>
                              <a:headEnd/>
                              <a:tailEnd/>
                            </a:ln>
                          </wps:spPr>
                          <wps:txbx>
                            <w:txbxContent>
                              <w:p w14:paraId="76E79A8D" w14:textId="77777777" w:rsidR="003E19DF" w:rsidRPr="003B43E9" w:rsidRDefault="003E19DF" w:rsidP="00DB0226">
                                <w:pPr>
                                  <w:rPr>
                                    <w:rFonts w:asciiTheme="minorHAnsi" w:hAnsiTheme="minorHAnsi"/>
                                    <w:b/>
                                    <w:szCs w:val="20"/>
                                  </w:rPr>
                                </w:pPr>
                                <w:r w:rsidRPr="003B43E9">
                                  <w:rPr>
                                    <w:rFonts w:asciiTheme="minorHAnsi" w:hAnsiTheme="minorHAnsi"/>
                                    <w:b/>
                                    <w:szCs w:val="20"/>
                                  </w:rPr>
                                  <w:t>x</w:t>
                                </w:r>
                              </w:p>
                            </w:txbxContent>
                          </wps:txbx>
                          <wps:bodyPr rot="0" vert="horz" wrap="square" lIns="91440" tIns="45720" rIns="91440" bIns="45720" anchor="t" anchorCtr="0">
                            <a:noAutofit/>
                          </wps:bodyPr>
                        </wps:wsp>
                        <wps:wsp>
                          <wps:cNvPr id="46" name="Text Box 2"/>
                          <wps:cNvSpPr txBox="1">
                            <a:spLocks noChangeArrowheads="1"/>
                          </wps:cNvSpPr>
                          <wps:spPr bwMode="auto">
                            <a:xfrm>
                              <a:off x="9525" y="571500"/>
                              <a:ext cx="542925" cy="247650"/>
                            </a:xfrm>
                            <a:prstGeom prst="rect">
                              <a:avLst/>
                            </a:prstGeom>
                            <a:noFill/>
                            <a:ln w="9525">
                              <a:noFill/>
                              <a:miter lim="800000"/>
                              <a:headEnd/>
                              <a:tailEnd/>
                            </a:ln>
                          </wps:spPr>
                          <wps:txbx>
                            <w:txbxContent>
                              <w:p w14:paraId="4249F881" w14:textId="77777777" w:rsidR="003E19DF" w:rsidRPr="003B43E9" w:rsidRDefault="003E19DF" w:rsidP="00DB0226">
                                <w:pPr>
                                  <w:rPr>
                                    <w:rFonts w:asciiTheme="minorHAnsi" w:hAnsiTheme="minorHAnsi"/>
                                    <w:b/>
                                    <w:szCs w:val="20"/>
                                  </w:rPr>
                                </w:pPr>
                                <w:r w:rsidRPr="003B43E9">
                                  <w:rPr>
                                    <w:rFonts w:asciiTheme="minorHAnsi" w:hAnsiTheme="minorHAnsi"/>
                                    <w:b/>
                                    <w:szCs w:val="20"/>
                                  </w:rPr>
                                  <w:t>x</w:t>
                                </w:r>
                              </w:p>
                            </w:txbxContent>
                          </wps:txbx>
                          <wps:bodyPr rot="0" vert="horz" wrap="square" lIns="91440" tIns="45720" rIns="91440" bIns="45720" anchor="t" anchorCtr="0">
                            <a:noAutofit/>
                          </wps:bodyPr>
                        </wps:wsp>
                      </wpg:grpSp>
                      <wpg:grpSp>
                        <wpg:cNvPr id="49" name="Group 49"/>
                        <wpg:cNvGrpSpPr/>
                        <wpg:grpSpPr>
                          <a:xfrm>
                            <a:off x="0" y="0"/>
                            <a:ext cx="571500" cy="1951051"/>
                            <a:chOff x="0" y="0"/>
                            <a:chExt cx="571500" cy="1951051"/>
                          </a:xfrm>
                        </wpg:grpSpPr>
                        <wps:wsp>
                          <wps:cNvPr id="34" name="Text Box 2"/>
                          <wps:cNvSpPr txBox="1">
                            <a:spLocks noChangeArrowheads="1"/>
                          </wps:cNvSpPr>
                          <wps:spPr bwMode="auto">
                            <a:xfrm>
                              <a:off x="0" y="0"/>
                              <a:ext cx="542925" cy="247650"/>
                            </a:xfrm>
                            <a:prstGeom prst="rect">
                              <a:avLst/>
                            </a:prstGeom>
                            <a:noFill/>
                            <a:ln w="9525">
                              <a:noFill/>
                              <a:miter lim="800000"/>
                              <a:headEnd/>
                              <a:tailEnd/>
                            </a:ln>
                          </wps:spPr>
                          <wps:txbx>
                            <w:txbxContent>
                              <w:p w14:paraId="6DEF0C84" w14:textId="77777777" w:rsidR="003E19DF" w:rsidRPr="003B43E9" w:rsidRDefault="003E19DF">
                                <w:pPr>
                                  <w:rPr>
                                    <w:rFonts w:asciiTheme="minorHAnsi" w:hAnsiTheme="minorHAnsi"/>
                                    <w:b/>
                                    <w:szCs w:val="20"/>
                                  </w:rPr>
                                </w:pPr>
                                <w:r w:rsidRPr="003B43E9">
                                  <w:rPr>
                                    <w:rFonts w:asciiTheme="minorHAnsi" w:hAnsiTheme="minorHAnsi"/>
                                    <w:b/>
                                    <w:szCs w:val="20"/>
                                  </w:rPr>
                                  <w:t>x</w:t>
                                </w:r>
                              </w:p>
                            </w:txbxContent>
                          </wps:txbx>
                          <wps:bodyPr rot="0" vert="horz" wrap="square" lIns="91440" tIns="45720" rIns="91440" bIns="45720" anchor="t" anchorCtr="0">
                            <a:noAutofit/>
                          </wps:bodyPr>
                        </wps:wsp>
                        <wps:wsp>
                          <wps:cNvPr id="48" name="Text Box 2"/>
                          <wps:cNvSpPr txBox="1">
                            <a:spLocks noChangeArrowheads="1"/>
                          </wps:cNvSpPr>
                          <wps:spPr bwMode="auto">
                            <a:xfrm>
                              <a:off x="28575" y="1703401"/>
                              <a:ext cx="542925" cy="247650"/>
                            </a:xfrm>
                            <a:prstGeom prst="rect">
                              <a:avLst/>
                            </a:prstGeom>
                            <a:noFill/>
                            <a:ln w="9525">
                              <a:noFill/>
                              <a:miter lim="800000"/>
                              <a:headEnd/>
                              <a:tailEnd/>
                            </a:ln>
                          </wps:spPr>
                          <wps:txbx>
                            <w:txbxContent>
                              <w:p w14:paraId="11BCA0F0" w14:textId="77777777" w:rsidR="003E19DF" w:rsidRPr="003B43E9" w:rsidRDefault="003E19DF" w:rsidP="00DB0226">
                                <w:pPr>
                                  <w:rPr>
                                    <w:rFonts w:asciiTheme="minorHAnsi" w:hAnsiTheme="minorHAnsi"/>
                                    <w:b/>
                                    <w:szCs w:val="20"/>
                                  </w:rPr>
                                </w:pPr>
                                <w:r w:rsidRPr="003B43E9">
                                  <w:rPr>
                                    <w:rFonts w:asciiTheme="minorHAnsi" w:hAnsiTheme="minorHAnsi"/>
                                    <w:b/>
                                    <w:szCs w:val="20"/>
                                  </w:rPr>
                                  <w:t>x</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w14:anchorId="227D1975" id="Group 53" o:spid="_x0000_s1029" style="position:absolute;margin-left:367.4pt;margin-top:11.65pt;width:45pt;height:153.65pt;z-index:251658240;mso-position-horizontal-relative:text;mso-position-vertical-relative:text;mso-height-relative:margin" coordsize="5715,19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">
                <v:group id="Group 52" o:spid="_x0000_s1030" style="position:absolute;left:174;top:5635;width:5445;height:8176" coordorigin="79,15" coordsize="5444,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_x0000_s1031" type="#_x0000_t202" style="position:absolute;left:79;top:15;width:542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76E79A8D" w14:textId="77777777" w:rsidR="003E19DF" w:rsidRPr="003B43E9" w:rsidRDefault="003E19DF" w:rsidP="00DB0226">
                          <w:pPr>
                            <w:rPr>
                              <w:rFonts w:asciiTheme="minorHAnsi" w:hAnsiTheme="minorHAnsi"/>
                              <w:b/>
                              <w:szCs w:val="20"/>
                            </w:rPr>
                          </w:pPr>
                          <w:r w:rsidRPr="003B43E9">
                            <w:rPr>
                              <w:rFonts w:asciiTheme="minorHAnsi" w:hAnsiTheme="minorHAnsi"/>
                              <w:b/>
                              <w:szCs w:val="20"/>
                            </w:rPr>
                            <w:t>x</w:t>
                          </w:r>
                        </w:p>
                      </w:txbxContent>
                    </v:textbox>
                  </v:shape>
                  <v:shape id="_x0000_s1032" type="#_x0000_t202" style="position:absolute;left:95;top:5715;width:542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4249F881" w14:textId="77777777" w:rsidR="003E19DF" w:rsidRPr="003B43E9" w:rsidRDefault="003E19DF" w:rsidP="00DB0226">
                          <w:pPr>
                            <w:rPr>
                              <w:rFonts w:asciiTheme="minorHAnsi" w:hAnsiTheme="minorHAnsi"/>
                              <w:b/>
                              <w:szCs w:val="20"/>
                            </w:rPr>
                          </w:pPr>
                          <w:r w:rsidRPr="003B43E9">
                            <w:rPr>
                              <w:rFonts w:asciiTheme="minorHAnsi" w:hAnsiTheme="minorHAnsi"/>
                              <w:b/>
                              <w:szCs w:val="20"/>
                            </w:rPr>
                            <w:t>x</w:t>
                          </w:r>
                        </w:p>
                      </w:txbxContent>
                    </v:textbox>
                  </v:shape>
                </v:group>
                <v:group id="Group 49" o:spid="_x0000_s1033" style="position:absolute;width:5715;height:19510" coordsize="5715,19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_x0000_s1034" type="#_x0000_t202" style="position:absolute;width:542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6DEF0C84" w14:textId="77777777" w:rsidR="003E19DF" w:rsidRPr="003B43E9" w:rsidRDefault="003E19DF">
                          <w:pPr>
                            <w:rPr>
                              <w:rFonts w:asciiTheme="minorHAnsi" w:hAnsiTheme="minorHAnsi"/>
                              <w:b/>
                              <w:szCs w:val="20"/>
                            </w:rPr>
                          </w:pPr>
                          <w:r w:rsidRPr="003B43E9">
                            <w:rPr>
                              <w:rFonts w:asciiTheme="minorHAnsi" w:hAnsiTheme="minorHAnsi"/>
                              <w:b/>
                              <w:szCs w:val="20"/>
                            </w:rPr>
                            <w:t>x</w:t>
                          </w:r>
                        </w:p>
                      </w:txbxContent>
                    </v:textbox>
                  </v:shape>
                  <v:shape id="_x0000_s1035" type="#_x0000_t202" style="position:absolute;left:285;top:17034;width:543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1BCA0F0" w14:textId="77777777" w:rsidR="003E19DF" w:rsidRPr="003B43E9" w:rsidRDefault="003E19DF" w:rsidP="00DB0226">
                          <w:pPr>
                            <w:rPr>
                              <w:rFonts w:asciiTheme="minorHAnsi" w:hAnsiTheme="minorHAnsi"/>
                              <w:b/>
                              <w:szCs w:val="20"/>
                            </w:rPr>
                          </w:pPr>
                          <w:r w:rsidRPr="003B43E9">
                            <w:rPr>
                              <w:rFonts w:asciiTheme="minorHAnsi" w:hAnsiTheme="minorHAnsi"/>
                              <w:b/>
                              <w:szCs w:val="20"/>
                            </w:rPr>
                            <w:t>x</w:t>
                          </w:r>
                        </w:p>
                      </w:txbxContent>
                    </v:textbox>
                  </v:shape>
                </v:group>
              </v:group>
            </w:pict>
          </mc:Fallback>
        </mc:AlternateContent>
      </w:r>
      <w:r w:rsidR="00EF5A08" w:rsidRPr="000D0304">
        <w:rPr>
          <w:rFonts w:cs="Helvetica"/>
          <w:noProof/>
          <w:color w:val="595959"/>
          <w:szCs w:val="20"/>
          <w:lang w:eastAsia="zh-CN"/>
        </w:rPr>
        <mc:AlternateContent>
          <mc:Choice Requires="wps">
            <w:drawing>
              <wp:anchor distT="0" distB="0" distL="114300" distR="114300" simplePos="0" relativeHeight="251658242" behindDoc="0" locked="0" layoutInCell="1" allowOverlap="1" wp14:anchorId="0C3DF516" wp14:editId="3FF00BA2">
                <wp:simplePos x="0" y="0"/>
                <wp:positionH relativeFrom="column">
                  <wp:posOffset>1835785</wp:posOffset>
                </wp:positionH>
                <wp:positionV relativeFrom="paragraph">
                  <wp:posOffset>1246823</wp:posOffset>
                </wp:positionV>
                <wp:extent cx="0" cy="80963"/>
                <wp:effectExtent l="19050" t="0" r="19050" b="33655"/>
                <wp:wrapNone/>
                <wp:docPr id="31" name="Straight Connector 31"/>
                <wp:cNvGraphicFramePr/>
                <a:graphic xmlns:a="http://schemas.openxmlformats.org/drawingml/2006/main">
                  <a:graphicData uri="http://schemas.microsoft.com/office/word/2010/wordprocessingShape">
                    <wps:wsp>
                      <wps:cNvCnPr/>
                      <wps:spPr>
                        <a:xfrm flipH="1">
                          <a:off x="0" y="0"/>
                          <a:ext cx="0" cy="80963"/>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0247E" id="Straight Connector 31" o:spid="_x0000_s1026" style="position:absolute;flip:x;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5pt,98.2pt" to="144.55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" strokecolor="#6998a4 [3044]" strokeweight="2.25pt"/>
            </w:pict>
          </mc:Fallback>
        </mc:AlternateContent>
      </w:r>
      <w:r w:rsidR="00D44DAD" w:rsidRPr="000D0304">
        <w:rPr>
          <w:rFonts w:cs="Helvetica"/>
          <w:noProof/>
          <w:color w:val="595959"/>
          <w:szCs w:val="20"/>
          <w:lang w:eastAsia="zh-CN"/>
        </w:rPr>
        <w:drawing>
          <wp:inline distT="0" distB="0" distL="0" distR="0" wp14:anchorId="597C7BF7" wp14:editId="4DFD2FFA">
            <wp:extent cx="6010275" cy="2219325"/>
            <wp:effectExtent l="0" t="38100" r="0" b="47625"/>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152929E5" w14:textId="39D9D7DA" w:rsidR="004A08AB" w:rsidRDefault="00846B50" w:rsidP="001A5B9F">
      <w:pPr>
        <w:spacing w:before="120" w:after="0" w:line="312" w:lineRule="auto"/>
        <w:jc w:val="right"/>
        <w:rPr>
          <w:rFonts w:cs="Helvetica"/>
          <w:b/>
          <w:color w:val="595959"/>
          <w:szCs w:val="20"/>
          <w:lang w:eastAsia="en-GB"/>
        </w:rPr>
      </w:pPr>
      <w:r w:rsidRPr="00D9650F">
        <w:rPr>
          <w:rFonts w:cs="Helvetica"/>
          <w:b/>
          <w:color w:val="595959"/>
          <w:szCs w:val="20"/>
          <w:lang w:eastAsia="en-GB"/>
        </w:rPr>
        <w:t xml:space="preserve">Figure </w:t>
      </w:r>
      <w:r w:rsidR="00B90DBB" w:rsidRPr="00D9650F">
        <w:rPr>
          <w:rFonts w:cs="Helvetica"/>
          <w:b/>
          <w:color w:val="595959"/>
          <w:szCs w:val="20"/>
          <w:lang w:eastAsia="en-GB"/>
        </w:rPr>
        <w:t>1</w:t>
      </w:r>
      <w:r w:rsidR="00EF549B" w:rsidRPr="00D9650F">
        <w:rPr>
          <w:rFonts w:cs="Helvetica"/>
          <w:b/>
          <w:color w:val="595959"/>
          <w:szCs w:val="20"/>
          <w:lang w:eastAsia="en-GB"/>
        </w:rPr>
        <w:t>2</w:t>
      </w:r>
      <w:r w:rsidRPr="00D9650F">
        <w:rPr>
          <w:rFonts w:cs="Helvetica"/>
          <w:b/>
          <w:color w:val="595959"/>
          <w:szCs w:val="20"/>
          <w:lang w:eastAsia="en-GB"/>
        </w:rPr>
        <w:t>:</w:t>
      </w:r>
      <w:r w:rsidR="00EF549B" w:rsidRPr="00D9650F">
        <w:rPr>
          <w:rFonts w:cs="Helvetica"/>
          <w:b/>
          <w:color w:val="595959"/>
          <w:szCs w:val="20"/>
          <w:lang w:eastAsia="en-GB"/>
        </w:rPr>
        <w:tab/>
      </w:r>
      <w:r w:rsidR="00483B1E" w:rsidRPr="00D9650F">
        <w:rPr>
          <w:rFonts w:cs="Helvetica"/>
          <w:b/>
          <w:color w:val="595959"/>
          <w:szCs w:val="20"/>
          <w:lang w:eastAsia="en-GB"/>
        </w:rPr>
        <w:t>Example WSFP system</w:t>
      </w:r>
      <w:r w:rsidR="00A35194" w:rsidRPr="00D9650F">
        <w:rPr>
          <w:rFonts w:cs="Helvetica"/>
          <w:b/>
          <w:color w:val="595959"/>
          <w:szCs w:val="20"/>
          <w:lang w:eastAsia="en-GB"/>
        </w:rPr>
        <w:t xml:space="preserve"> for direct and indirect WSFP for alumina production</w:t>
      </w:r>
      <w:r w:rsidR="00483B1E" w:rsidRPr="000D0304">
        <w:rPr>
          <w:rFonts w:cs="Helvetica"/>
          <w:b/>
          <w:color w:val="595959"/>
          <w:szCs w:val="20"/>
          <w:lang w:eastAsia="en-GB"/>
        </w:rPr>
        <w:t xml:space="preserve"> </w:t>
      </w:r>
    </w:p>
    <w:p w14:paraId="34697342" w14:textId="77777777" w:rsidR="004A08AB" w:rsidRPr="000D0304" w:rsidRDefault="004A08AB" w:rsidP="001A5B9F">
      <w:pPr>
        <w:spacing w:before="120" w:after="0" w:line="312" w:lineRule="auto"/>
        <w:jc w:val="right"/>
        <w:rPr>
          <w:rFonts w:cs="Helvetica"/>
          <w:b/>
          <w:color w:val="595959"/>
          <w:szCs w:val="20"/>
          <w:lang w:eastAsia="en-GB"/>
        </w:rPr>
        <w:sectPr w:rsidR="004A08AB" w:rsidRPr="000D0304" w:rsidSect="000D0304">
          <w:pgSz w:w="11907" w:h="16839" w:code="9"/>
          <w:pgMar w:top="2552" w:right="1134" w:bottom="1276" w:left="1134" w:header="1276" w:footer="851" w:gutter="0"/>
          <w:cols w:space="708"/>
          <w:docGrid w:linePitch="326"/>
        </w:sectPr>
      </w:pPr>
    </w:p>
    <w:tbl>
      <w:tblPr>
        <w:tblStyle w:val="PlainTable11"/>
        <w:tblpPr w:leftFromText="180" w:rightFromText="180" w:vertAnchor="text" w:tblpY="1"/>
        <w:tblOverlap w:val="never"/>
        <w:tblW w:w="14999" w:type="dxa"/>
        <w:tblCellMar>
          <w:top w:w="57" w:type="dxa"/>
          <w:bottom w:w="57" w:type="dxa"/>
        </w:tblCellMar>
        <w:tblLook w:val="04A0" w:firstRow="1" w:lastRow="0" w:firstColumn="1" w:lastColumn="0" w:noHBand="0" w:noVBand="1"/>
      </w:tblPr>
      <w:tblGrid>
        <w:gridCol w:w="3141"/>
        <w:gridCol w:w="1561"/>
        <w:gridCol w:w="1002"/>
        <w:gridCol w:w="1054"/>
        <w:gridCol w:w="1424"/>
        <w:gridCol w:w="1002"/>
        <w:gridCol w:w="1065"/>
        <w:gridCol w:w="1620"/>
        <w:gridCol w:w="1002"/>
        <w:gridCol w:w="1064"/>
        <w:gridCol w:w="1064"/>
      </w:tblGrid>
      <w:tr w:rsidR="003E3705" w:rsidRPr="00E55AFF" w14:paraId="5F1A48E1" w14:textId="135B9254" w:rsidTr="003E3705">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3141" w:type="dxa"/>
            <w:vMerge w:val="restart"/>
            <w:noWrap/>
            <w:vAlign w:val="center"/>
            <w:hideMark/>
          </w:tcPr>
          <w:p w14:paraId="2FD61D81" w14:textId="77777777" w:rsidR="003E3705" w:rsidRPr="00076B66" w:rsidRDefault="003E3705" w:rsidP="009E15D0">
            <w:pPr>
              <w:spacing w:after="0" w:line="312" w:lineRule="auto"/>
              <w:jc w:val="center"/>
              <w:rPr>
                <w:rFonts w:cs="Helvetica"/>
                <w:color w:val="595959"/>
                <w:szCs w:val="20"/>
                <w:lang w:eastAsia="en-GB"/>
              </w:rPr>
            </w:pPr>
            <w:r w:rsidRPr="00076B66">
              <w:rPr>
                <w:rFonts w:cs="Helvetica"/>
                <w:color w:val="595959"/>
                <w:szCs w:val="20"/>
                <w:lang w:val="de-CH" w:eastAsia="en-GB"/>
              </w:rPr>
              <w:lastRenderedPageBreak/>
              <w:t>Region</w:t>
            </w:r>
          </w:p>
        </w:tc>
        <w:tc>
          <w:tcPr>
            <w:tcW w:w="1561" w:type="dxa"/>
            <w:vMerge w:val="restart"/>
            <w:vAlign w:val="center"/>
            <w:hideMark/>
          </w:tcPr>
          <w:p w14:paraId="4436BD2C" w14:textId="40B52748" w:rsidR="003E3705" w:rsidRPr="00076B66" w:rsidRDefault="003E3705" w:rsidP="009E15D0">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Cs w:val="20"/>
                <w:lang w:eastAsia="en-GB"/>
              </w:rPr>
            </w:pPr>
            <w:r w:rsidRPr="00076B66">
              <w:rPr>
                <w:rFonts w:cs="Helvetica"/>
                <w:color w:val="595959"/>
                <w:szCs w:val="20"/>
                <w:lang w:val="de-CH" w:eastAsia="en-GB"/>
              </w:rPr>
              <w:t>Bauxite production</w:t>
            </w:r>
            <w:r>
              <w:rPr>
                <w:rFonts w:cs="Helvetica"/>
                <w:color w:val="595959"/>
                <w:szCs w:val="20"/>
                <w:lang w:val="de-CH" w:eastAsia="en-GB"/>
              </w:rPr>
              <w:t>*</w:t>
            </w:r>
          </w:p>
        </w:tc>
        <w:tc>
          <w:tcPr>
            <w:tcW w:w="0" w:type="auto"/>
            <w:gridSpan w:val="2"/>
            <w:tcBorders>
              <w:right w:val="triple" w:sz="4" w:space="0" w:color="BFBFBF" w:themeColor="background1" w:themeShade="BF"/>
            </w:tcBorders>
            <w:vAlign w:val="center"/>
            <w:hideMark/>
          </w:tcPr>
          <w:p w14:paraId="03041CA0" w14:textId="75135905" w:rsidR="003E3705" w:rsidRPr="008B35D5" w:rsidRDefault="003E3705" w:rsidP="008B35D5">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 w:val="0"/>
                <w:bCs w:val="0"/>
                <w:color w:val="595959"/>
                <w:szCs w:val="20"/>
                <w:lang w:val="de-CH" w:eastAsia="en-GB"/>
              </w:rPr>
            </w:pPr>
            <w:r w:rsidRPr="00076B66">
              <w:rPr>
                <w:rFonts w:cs="Helvetica"/>
                <w:color w:val="595959"/>
                <w:szCs w:val="20"/>
                <w:lang w:val="de-CH" w:eastAsia="en-GB"/>
              </w:rPr>
              <w:t xml:space="preserve">Bauxite </w:t>
            </w:r>
          </w:p>
        </w:tc>
        <w:tc>
          <w:tcPr>
            <w:tcW w:w="0" w:type="auto"/>
            <w:vMerge w:val="restart"/>
            <w:tcBorders>
              <w:left w:val="triple" w:sz="4" w:space="0" w:color="BFBFBF" w:themeColor="background1" w:themeShade="BF"/>
            </w:tcBorders>
            <w:vAlign w:val="center"/>
            <w:hideMark/>
          </w:tcPr>
          <w:p w14:paraId="4FCADF38" w14:textId="77777777" w:rsidR="003E3705" w:rsidRPr="00076B66" w:rsidRDefault="003E3705" w:rsidP="009E15D0">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Cs w:val="20"/>
                <w:lang w:eastAsia="en-GB"/>
              </w:rPr>
            </w:pPr>
            <w:r w:rsidRPr="00076B66">
              <w:rPr>
                <w:rFonts w:cs="Helvetica"/>
                <w:color w:val="595959"/>
                <w:szCs w:val="20"/>
                <w:lang w:val="de-CH" w:eastAsia="en-GB"/>
              </w:rPr>
              <w:t>Alumina production</w:t>
            </w:r>
          </w:p>
        </w:tc>
        <w:tc>
          <w:tcPr>
            <w:tcW w:w="0" w:type="auto"/>
            <w:gridSpan w:val="2"/>
            <w:tcBorders>
              <w:right w:val="triple" w:sz="4" w:space="0" w:color="BFBFBF" w:themeColor="background1" w:themeShade="BF"/>
            </w:tcBorders>
            <w:vAlign w:val="center"/>
            <w:hideMark/>
          </w:tcPr>
          <w:p w14:paraId="55A94AE5" w14:textId="77777777" w:rsidR="003E3705" w:rsidRPr="008736FB" w:rsidRDefault="003E3705" w:rsidP="009E15D0">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Cs w:val="20"/>
                <w:lang w:val="de-CH" w:eastAsia="en-GB"/>
              </w:rPr>
            </w:pPr>
            <w:r w:rsidRPr="008736FB">
              <w:rPr>
                <w:rFonts w:cs="Helvetica"/>
                <w:color w:val="595959"/>
                <w:szCs w:val="20"/>
                <w:lang w:val="de-CH" w:eastAsia="en-GB"/>
              </w:rPr>
              <w:t>Alumina</w:t>
            </w:r>
          </w:p>
          <w:p w14:paraId="34E250EC" w14:textId="15D915A8" w:rsidR="003E3705" w:rsidRPr="00076B66" w:rsidRDefault="003E3705" w:rsidP="009E15D0">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Cs w:val="20"/>
                <w:lang w:eastAsia="en-GB"/>
              </w:rPr>
            </w:pPr>
            <w:r w:rsidRPr="00076B66">
              <w:rPr>
                <w:rFonts w:cs="Helvetica"/>
                <w:color w:val="595959"/>
                <w:szCs w:val="20"/>
                <w:lang w:val="de-CH" w:eastAsia="en-GB"/>
              </w:rPr>
              <w:t>(exc. Bauxite supply)</w:t>
            </w:r>
          </w:p>
        </w:tc>
        <w:tc>
          <w:tcPr>
            <w:tcW w:w="0" w:type="auto"/>
            <w:vMerge w:val="restart"/>
            <w:tcBorders>
              <w:left w:val="triple" w:sz="4" w:space="0" w:color="BFBFBF" w:themeColor="background1" w:themeShade="BF"/>
            </w:tcBorders>
            <w:vAlign w:val="center"/>
            <w:hideMark/>
          </w:tcPr>
          <w:p w14:paraId="69473597" w14:textId="77777777" w:rsidR="003E3705" w:rsidRPr="00076B66" w:rsidRDefault="003E3705" w:rsidP="009E15D0">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Cs w:val="20"/>
                <w:lang w:eastAsia="en-GB"/>
              </w:rPr>
            </w:pPr>
            <w:r w:rsidRPr="00076B66">
              <w:rPr>
                <w:rFonts w:cs="Helvetica"/>
                <w:color w:val="595959"/>
                <w:szCs w:val="20"/>
                <w:lang w:val="de-CH" w:eastAsia="en-GB"/>
              </w:rPr>
              <w:t>Primary aluminium production</w:t>
            </w:r>
          </w:p>
        </w:tc>
        <w:tc>
          <w:tcPr>
            <w:tcW w:w="3083" w:type="dxa"/>
            <w:gridSpan w:val="3"/>
            <w:tcBorders>
              <w:right w:val="triple" w:sz="4" w:space="0" w:color="BFBFBF" w:themeColor="background1" w:themeShade="BF"/>
            </w:tcBorders>
            <w:vAlign w:val="center"/>
            <w:hideMark/>
          </w:tcPr>
          <w:p w14:paraId="6E292F89" w14:textId="77777777" w:rsidR="003E3705" w:rsidRDefault="003E3705" w:rsidP="006479C4">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 w:val="0"/>
                <w:bCs w:val="0"/>
                <w:color w:val="595959"/>
                <w:szCs w:val="20"/>
                <w:lang w:val="de-CH" w:eastAsia="en-GB"/>
              </w:rPr>
            </w:pPr>
            <w:r w:rsidRPr="00076B66">
              <w:rPr>
                <w:rFonts w:cs="Helvetica"/>
                <w:color w:val="595959"/>
                <w:szCs w:val="20"/>
                <w:lang w:val="de-CH" w:eastAsia="en-GB"/>
              </w:rPr>
              <w:t xml:space="preserve">Aluminium </w:t>
            </w:r>
          </w:p>
          <w:p w14:paraId="6BDFC31C" w14:textId="51A97CE5" w:rsidR="003E3705" w:rsidRPr="006479C4" w:rsidRDefault="003E3705" w:rsidP="006479C4">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Cs w:val="20"/>
                <w:lang w:val="de-CH" w:eastAsia="en-GB"/>
              </w:rPr>
            </w:pPr>
            <w:r w:rsidRPr="00076B66">
              <w:rPr>
                <w:rFonts w:cs="Helvetica"/>
                <w:color w:val="595959"/>
                <w:szCs w:val="20"/>
                <w:lang w:val="de-CH" w:eastAsia="en-GB"/>
              </w:rPr>
              <w:t xml:space="preserve">(exc. </w:t>
            </w:r>
            <w:r>
              <w:rPr>
                <w:rFonts w:cs="Helvetica"/>
                <w:color w:val="595959"/>
                <w:szCs w:val="20"/>
                <w:lang w:val="de-CH" w:eastAsia="en-GB"/>
              </w:rPr>
              <w:t>Alumina</w:t>
            </w:r>
            <w:r w:rsidRPr="00076B66">
              <w:rPr>
                <w:rFonts w:cs="Helvetica"/>
                <w:color w:val="595959"/>
                <w:szCs w:val="20"/>
                <w:lang w:val="de-CH" w:eastAsia="en-GB"/>
              </w:rPr>
              <w:t xml:space="preserve"> supply)</w:t>
            </w:r>
          </w:p>
        </w:tc>
      </w:tr>
      <w:tr w:rsidR="00B63273" w:rsidRPr="00BB7A86" w14:paraId="66C1A619" w14:textId="72CAC7B5" w:rsidTr="003E3705">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141" w:type="dxa"/>
            <w:vMerge/>
            <w:vAlign w:val="center"/>
            <w:hideMark/>
          </w:tcPr>
          <w:p w14:paraId="0E6ADA07" w14:textId="77777777" w:rsidR="003E3705" w:rsidRPr="00076B66" w:rsidRDefault="003E3705" w:rsidP="00322826">
            <w:pPr>
              <w:spacing w:after="0" w:line="312" w:lineRule="auto"/>
              <w:jc w:val="center"/>
              <w:rPr>
                <w:rFonts w:cs="Helvetica"/>
                <w:color w:val="595959"/>
                <w:szCs w:val="20"/>
                <w:lang w:eastAsia="en-GB"/>
              </w:rPr>
            </w:pPr>
          </w:p>
        </w:tc>
        <w:tc>
          <w:tcPr>
            <w:tcW w:w="1561" w:type="dxa"/>
            <w:vMerge/>
            <w:vAlign w:val="center"/>
            <w:hideMark/>
          </w:tcPr>
          <w:p w14:paraId="343AF372" w14:textId="77777777" w:rsidR="003E3705" w:rsidRPr="00076B66" w:rsidRDefault="003E3705" w:rsidP="0032282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p>
        </w:tc>
        <w:tc>
          <w:tcPr>
            <w:tcW w:w="0" w:type="auto"/>
            <w:vAlign w:val="center"/>
            <w:hideMark/>
          </w:tcPr>
          <w:p w14:paraId="549A1908" w14:textId="0A7B6239" w:rsidR="003E3705" w:rsidRPr="00BB7A86" w:rsidRDefault="003E3705" w:rsidP="0032282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sidRPr="00BB7A86">
              <w:rPr>
                <w:rFonts w:cs="Helvetica"/>
                <w:color w:val="595959"/>
                <w:szCs w:val="20"/>
                <w:lang w:val="de-CH" w:eastAsia="en-GB"/>
              </w:rPr>
              <w:t>WSFP</w:t>
            </w:r>
          </w:p>
        </w:tc>
        <w:tc>
          <w:tcPr>
            <w:tcW w:w="0" w:type="auto"/>
            <w:tcBorders>
              <w:right w:val="triple" w:sz="4" w:space="0" w:color="BFBFBF" w:themeColor="background1" w:themeShade="BF"/>
            </w:tcBorders>
            <w:vAlign w:val="center"/>
            <w:hideMark/>
          </w:tcPr>
          <w:p w14:paraId="36BF1FB9" w14:textId="1A2D617D" w:rsidR="003E3705" w:rsidRPr="00BB7A86" w:rsidRDefault="003E3705" w:rsidP="0032282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sidRPr="00BB7A86">
              <w:rPr>
                <w:rFonts w:cs="Helvetica"/>
                <w:color w:val="595959"/>
                <w:szCs w:val="20"/>
                <w:lang w:val="de-CH" w:eastAsia="en-GB"/>
              </w:rPr>
              <w:t>specific WSFP</w:t>
            </w:r>
          </w:p>
        </w:tc>
        <w:tc>
          <w:tcPr>
            <w:tcW w:w="0" w:type="auto"/>
            <w:vMerge/>
            <w:tcBorders>
              <w:left w:val="triple" w:sz="4" w:space="0" w:color="BFBFBF" w:themeColor="background1" w:themeShade="BF"/>
            </w:tcBorders>
            <w:vAlign w:val="center"/>
            <w:hideMark/>
          </w:tcPr>
          <w:p w14:paraId="5D30D18D" w14:textId="77777777" w:rsidR="003E3705" w:rsidRPr="00BB7A86" w:rsidRDefault="003E3705" w:rsidP="0032282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p>
        </w:tc>
        <w:tc>
          <w:tcPr>
            <w:tcW w:w="0" w:type="auto"/>
            <w:vAlign w:val="center"/>
            <w:hideMark/>
          </w:tcPr>
          <w:p w14:paraId="34E3E3CB" w14:textId="2C429880" w:rsidR="003E3705" w:rsidRPr="00BB7A86" w:rsidRDefault="003E3705" w:rsidP="0032282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sidRPr="00BB7A86">
              <w:rPr>
                <w:rFonts w:cs="Helvetica"/>
                <w:color w:val="595959"/>
                <w:szCs w:val="20"/>
                <w:lang w:val="de-CH" w:eastAsia="en-GB"/>
              </w:rPr>
              <w:t>WSFP</w:t>
            </w:r>
          </w:p>
        </w:tc>
        <w:tc>
          <w:tcPr>
            <w:tcW w:w="0" w:type="auto"/>
            <w:tcBorders>
              <w:right w:val="triple" w:sz="4" w:space="0" w:color="BFBFBF" w:themeColor="background1" w:themeShade="BF"/>
            </w:tcBorders>
            <w:vAlign w:val="center"/>
            <w:hideMark/>
          </w:tcPr>
          <w:p w14:paraId="25A6A6DC" w14:textId="1F7001C5" w:rsidR="003E3705" w:rsidRPr="00BB7A86" w:rsidRDefault="003E3705" w:rsidP="0032282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sidRPr="00BB7A86">
              <w:rPr>
                <w:rFonts w:cs="Helvetica"/>
                <w:color w:val="595959"/>
                <w:szCs w:val="20"/>
                <w:lang w:val="de-CH" w:eastAsia="en-GB"/>
              </w:rPr>
              <w:t>specific WSFP</w:t>
            </w:r>
          </w:p>
        </w:tc>
        <w:tc>
          <w:tcPr>
            <w:tcW w:w="0" w:type="auto"/>
            <w:vMerge/>
            <w:tcBorders>
              <w:left w:val="triple" w:sz="4" w:space="0" w:color="BFBFBF" w:themeColor="background1" w:themeShade="BF"/>
            </w:tcBorders>
            <w:vAlign w:val="center"/>
            <w:hideMark/>
          </w:tcPr>
          <w:p w14:paraId="055BFDAC" w14:textId="77777777" w:rsidR="003E3705" w:rsidRPr="00BB7A86" w:rsidRDefault="003E3705" w:rsidP="0032282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p>
        </w:tc>
        <w:tc>
          <w:tcPr>
            <w:tcW w:w="0" w:type="auto"/>
            <w:vAlign w:val="center"/>
          </w:tcPr>
          <w:p w14:paraId="351F685B" w14:textId="27CC2752" w:rsidR="003E3705" w:rsidRPr="00BB7A86" w:rsidRDefault="003E3705" w:rsidP="0032282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sidRPr="00BB7A86">
              <w:rPr>
                <w:rFonts w:cs="Helvetica"/>
                <w:color w:val="595959"/>
                <w:szCs w:val="20"/>
                <w:lang w:val="de-CH" w:eastAsia="en-GB"/>
              </w:rPr>
              <w:t>WSFP</w:t>
            </w:r>
          </w:p>
        </w:tc>
        <w:tc>
          <w:tcPr>
            <w:tcW w:w="1064" w:type="dxa"/>
          </w:tcPr>
          <w:p w14:paraId="501A97AB" w14:textId="650BA616" w:rsidR="003E3705" w:rsidRPr="00BB7A86" w:rsidRDefault="003E3705" w:rsidP="0032282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val="de-CH" w:eastAsia="en-GB"/>
              </w:rPr>
            </w:pPr>
            <w:r w:rsidRPr="00BB7A86">
              <w:rPr>
                <w:rFonts w:cs="Helvetica"/>
                <w:color w:val="595959"/>
                <w:szCs w:val="20"/>
                <w:lang w:val="de-CH" w:eastAsia="en-GB"/>
              </w:rPr>
              <w:t>direct specific WSFP</w:t>
            </w:r>
          </w:p>
        </w:tc>
        <w:tc>
          <w:tcPr>
            <w:tcW w:w="1064" w:type="dxa"/>
            <w:tcBorders>
              <w:right w:val="triple" w:sz="4" w:space="0" w:color="BFBFBF" w:themeColor="background1" w:themeShade="BF"/>
            </w:tcBorders>
            <w:vAlign w:val="center"/>
          </w:tcPr>
          <w:p w14:paraId="10F33FBB" w14:textId="6A55579D" w:rsidR="003E3705" w:rsidRPr="00BB7A86" w:rsidRDefault="003E3705" w:rsidP="0032282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sidRPr="00BB7A86">
              <w:rPr>
                <w:rFonts w:cs="Helvetica"/>
                <w:color w:val="595959"/>
                <w:szCs w:val="20"/>
                <w:lang w:val="de-CH" w:eastAsia="en-GB"/>
              </w:rPr>
              <w:t>indirect specific WSFP</w:t>
            </w:r>
          </w:p>
        </w:tc>
      </w:tr>
      <w:tr w:rsidR="00B63273" w:rsidRPr="00BB7A86" w14:paraId="1ED819C7" w14:textId="38F0D3D3" w:rsidTr="003E3705">
        <w:trPr>
          <w:trHeight w:val="13"/>
        </w:trPr>
        <w:tc>
          <w:tcPr>
            <w:cnfStyle w:val="001000000000" w:firstRow="0" w:lastRow="0" w:firstColumn="1" w:lastColumn="0" w:oddVBand="0" w:evenVBand="0" w:oddHBand="0" w:evenHBand="0" w:firstRowFirstColumn="0" w:firstRowLastColumn="0" w:lastRowFirstColumn="0" w:lastRowLastColumn="0"/>
            <w:tcW w:w="3141" w:type="dxa"/>
            <w:vMerge/>
            <w:vAlign w:val="center"/>
            <w:hideMark/>
          </w:tcPr>
          <w:p w14:paraId="2E0E0C16" w14:textId="77777777" w:rsidR="003E3705" w:rsidRPr="00BB7A86" w:rsidRDefault="003E3705" w:rsidP="00322826">
            <w:pPr>
              <w:spacing w:after="0" w:line="312" w:lineRule="auto"/>
              <w:jc w:val="center"/>
              <w:rPr>
                <w:rFonts w:cs="Helvetica"/>
                <w:color w:val="595959"/>
                <w:szCs w:val="20"/>
                <w:lang w:eastAsia="en-GB"/>
              </w:rPr>
            </w:pPr>
          </w:p>
        </w:tc>
        <w:tc>
          <w:tcPr>
            <w:tcW w:w="1561" w:type="dxa"/>
            <w:vAlign w:val="center"/>
            <w:hideMark/>
          </w:tcPr>
          <w:p w14:paraId="6BF27D42" w14:textId="04116B08" w:rsidR="003E3705" w:rsidRPr="00BB7A86" w:rsidRDefault="003E3705" w:rsidP="0032282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val="de-CH" w:eastAsia="en-GB"/>
              </w:rPr>
              <w:t>Mt</w:t>
            </w:r>
          </w:p>
        </w:tc>
        <w:tc>
          <w:tcPr>
            <w:tcW w:w="0" w:type="auto"/>
            <w:vAlign w:val="center"/>
            <w:hideMark/>
          </w:tcPr>
          <w:p w14:paraId="50BC41F0" w14:textId="2D154B27" w:rsidR="003E3705" w:rsidRPr="00BB7A86" w:rsidRDefault="003E3705" w:rsidP="0032282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val="de-CH" w:eastAsia="en-GB"/>
              </w:rPr>
              <w:t>Mm</w:t>
            </w:r>
            <w:r w:rsidRPr="00BB7A86">
              <w:rPr>
                <w:rFonts w:cs="Helvetica"/>
                <w:color w:val="595959"/>
                <w:szCs w:val="20"/>
                <w:vertAlign w:val="superscript"/>
                <w:lang w:val="de-CH" w:eastAsia="en-GB"/>
              </w:rPr>
              <w:t>3</w:t>
            </w:r>
            <w:r w:rsidRPr="00BB7A86">
              <w:rPr>
                <w:rFonts w:cs="Helvetica"/>
                <w:color w:val="595959"/>
                <w:szCs w:val="20"/>
                <w:lang w:val="de-CH" w:eastAsia="en-GB"/>
              </w:rPr>
              <w:t xml:space="preserve"> </w:t>
            </w:r>
            <w:r w:rsidR="00B63273">
              <w:t xml:space="preserve"> </w:t>
            </w:r>
            <w:r w:rsidR="00B63273" w:rsidRPr="00B63273">
              <w:rPr>
                <w:rFonts w:cs="Helvetica"/>
                <w:color w:val="595959"/>
                <w:szCs w:val="20"/>
                <w:lang w:val="de-CH" w:eastAsia="en-GB"/>
              </w:rPr>
              <w:t>World-Equiv</w:t>
            </w:r>
          </w:p>
        </w:tc>
        <w:tc>
          <w:tcPr>
            <w:tcW w:w="0" w:type="auto"/>
            <w:tcBorders>
              <w:right w:val="triple" w:sz="4" w:space="0" w:color="BFBFBF" w:themeColor="background1" w:themeShade="BF"/>
            </w:tcBorders>
            <w:vAlign w:val="center"/>
            <w:hideMark/>
          </w:tcPr>
          <w:p w14:paraId="613A82DB" w14:textId="3377447A" w:rsidR="003E3705" w:rsidRPr="00BB7A86" w:rsidRDefault="003E3705" w:rsidP="0032282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val="de-CH" w:eastAsia="en-GB"/>
              </w:rPr>
              <w:t>m</w:t>
            </w:r>
            <w:r w:rsidRPr="00BB7A86">
              <w:rPr>
                <w:rFonts w:cs="Helvetica"/>
                <w:color w:val="595959"/>
                <w:szCs w:val="20"/>
                <w:vertAlign w:val="superscript"/>
                <w:lang w:val="de-CH" w:eastAsia="en-GB"/>
              </w:rPr>
              <w:t>3</w:t>
            </w:r>
            <w:r w:rsidRPr="00BB7A86">
              <w:rPr>
                <w:rFonts w:cs="Helvetica"/>
                <w:color w:val="595959"/>
                <w:szCs w:val="20"/>
                <w:lang w:val="de-CH" w:eastAsia="en-GB"/>
              </w:rPr>
              <w:t xml:space="preserve"> </w:t>
            </w:r>
            <w:r w:rsidR="00B63273">
              <w:t xml:space="preserve"> </w:t>
            </w:r>
            <w:r w:rsidR="00B63273" w:rsidRPr="00B63273">
              <w:rPr>
                <w:rFonts w:cs="Helvetica"/>
                <w:color w:val="595959"/>
                <w:szCs w:val="20"/>
                <w:lang w:val="de-CH" w:eastAsia="en-GB"/>
              </w:rPr>
              <w:t>World-Equiv</w:t>
            </w:r>
            <w:r w:rsidR="00B63273">
              <w:rPr>
                <w:rFonts w:cs="Helvetica"/>
                <w:color w:val="595959"/>
                <w:szCs w:val="20"/>
                <w:lang w:val="de-CH" w:eastAsia="en-GB"/>
              </w:rPr>
              <w:t>/t</w:t>
            </w:r>
          </w:p>
        </w:tc>
        <w:tc>
          <w:tcPr>
            <w:tcW w:w="0" w:type="auto"/>
            <w:tcBorders>
              <w:left w:val="triple" w:sz="4" w:space="0" w:color="BFBFBF" w:themeColor="background1" w:themeShade="BF"/>
            </w:tcBorders>
            <w:vAlign w:val="center"/>
            <w:hideMark/>
          </w:tcPr>
          <w:p w14:paraId="1CBAF044" w14:textId="1A4DA889" w:rsidR="003E3705" w:rsidRPr="00BB7A86" w:rsidRDefault="003E3705" w:rsidP="0032282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val="de-CH" w:eastAsia="en-GB"/>
              </w:rPr>
              <w:t>Mt</w:t>
            </w:r>
          </w:p>
        </w:tc>
        <w:tc>
          <w:tcPr>
            <w:tcW w:w="0" w:type="auto"/>
            <w:vAlign w:val="center"/>
            <w:hideMark/>
          </w:tcPr>
          <w:p w14:paraId="4AA018F9" w14:textId="2DF7516B" w:rsidR="003E3705" w:rsidRPr="00BB7A86" w:rsidRDefault="003E3705" w:rsidP="0032282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val="de-CH" w:eastAsia="en-GB"/>
              </w:rPr>
              <w:t>Mm</w:t>
            </w:r>
            <w:r w:rsidRPr="00BB7A86">
              <w:rPr>
                <w:rFonts w:cs="Helvetica"/>
                <w:color w:val="595959"/>
                <w:szCs w:val="20"/>
                <w:vertAlign w:val="superscript"/>
                <w:lang w:val="de-CH" w:eastAsia="en-GB"/>
              </w:rPr>
              <w:t>3</w:t>
            </w:r>
            <w:r w:rsidRPr="00BB7A86">
              <w:rPr>
                <w:rFonts w:cs="Helvetica"/>
                <w:color w:val="595959"/>
                <w:szCs w:val="20"/>
                <w:lang w:val="de-CH" w:eastAsia="en-GB"/>
              </w:rPr>
              <w:t xml:space="preserve"> </w:t>
            </w:r>
            <w:r w:rsidR="00B63273">
              <w:t xml:space="preserve"> </w:t>
            </w:r>
            <w:r w:rsidR="00B63273" w:rsidRPr="00B63273">
              <w:rPr>
                <w:rFonts w:cs="Helvetica"/>
                <w:color w:val="595959"/>
                <w:szCs w:val="20"/>
                <w:lang w:val="de-CH" w:eastAsia="en-GB"/>
              </w:rPr>
              <w:t>World-Equiv</w:t>
            </w:r>
          </w:p>
        </w:tc>
        <w:tc>
          <w:tcPr>
            <w:tcW w:w="0" w:type="auto"/>
            <w:tcBorders>
              <w:right w:val="triple" w:sz="4" w:space="0" w:color="BFBFBF" w:themeColor="background1" w:themeShade="BF"/>
            </w:tcBorders>
            <w:vAlign w:val="center"/>
            <w:hideMark/>
          </w:tcPr>
          <w:p w14:paraId="7AEAF21A" w14:textId="5286801B" w:rsidR="003E3705" w:rsidRPr="00BB7A86" w:rsidRDefault="003E3705" w:rsidP="0032282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val="de-CH" w:eastAsia="en-GB"/>
              </w:rPr>
              <w:t>m</w:t>
            </w:r>
            <w:r w:rsidRPr="00BB7A86">
              <w:rPr>
                <w:rFonts w:cs="Helvetica"/>
                <w:color w:val="595959"/>
                <w:szCs w:val="20"/>
                <w:vertAlign w:val="superscript"/>
                <w:lang w:val="de-CH" w:eastAsia="en-GB"/>
              </w:rPr>
              <w:t>3</w:t>
            </w:r>
            <w:r w:rsidRPr="00BB7A86">
              <w:rPr>
                <w:rFonts w:cs="Helvetica"/>
                <w:color w:val="595959"/>
                <w:szCs w:val="20"/>
                <w:lang w:val="de-CH" w:eastAsia="en-GB"/>
              </w:rPr>
              <w:t xml:space="preserve"> </w:t>
            </w:r>
            <w:r w:rsidR="00B63273">
              <w:t xml:space="preserve"> </w:t>
            </w:r>
            <w:r w:rsidR="00B63273" w:rsidRPr="00B63273">
              <w:rPr>
                <w:rFonts w:cs="Helvetica"/>
                <w:color w:val="595959"/>
                <w:szCs w:val="20"/>
                <w:lang w:val="de-CH" w:eastAsia="en-GB"/>
              </w:rPr>
              <w:t xml:space="preserve"> </w:t>
            </w:r>
            <w:r w:rsidR="00B63273" w:rsidRPr="00B63273">
              <w:rPr>
                <w:rFonts w:cs="Helvetica"/>
                <w:color w:val="595959"/>
                <w:szCs w:val="20"/>
                <w:lang w:val="de-CH" w:eastAsia="en-GB"/>
              </w:rPr>
              <w:t>World-Equiv</w:t>
            </w:r>
            <w:r w:rsidR="00B63273">
              <w:rPr>
                <w:rFonts w:cs="Helvetica"/>
                <w:color w:val="595959"/>
                <w:szCs w:val="20"/>
                <w:lang w:val="de-CH" w:eastAsia="en-GB"/>
              </w:rPr>
              <w:t>/t</w:t>
            </w:r>
          </w:p>
        </w:tc>
        <w:tc>
          <w:tcPr>
            <w:tcW w:w="0" w:type="auto"/>
            <w:tcBorders>
              <w:left w:val="triple" w:sz="4" w:space="0" w:color="BFBFBF" w:themeColor="background1" w:themeShade="BF"/>
            </w:tcBorders>
            <w:noWrap/>
            <w:vAlign w:val="center"/>
            <w:hideMark/>
          </w:tcPr>
          <w:p w14:paraId="2256D3FF" w14:textId="3AEF9AD7" w:rsidR="003E3705" w:rsidRPr="00BB7A86" w:rsidRDefault="003E3705" w:rsidP="0032282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val="de-CH" w:eastAsia="en-GB"/>
              </w:rPr>
              <w:t>Mt</w:t>
            </w:r>
          </w:p>
        </w:tc>
        <w:tc>
          <w:tcPr>
            <w:tcW w:w="0" w:type="auto"/>
            <w:vAlign w:val="center"/>
          </w:tcPr>
          <w:p w14:paraId="780F9D8C" w14:textId="230856CB" w:rsidR="003E3705" w:rsidRPr="00BB7A86" w:rsidRDefault="003E3705" w:rsidP="0032282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val="de-CH" w:eastAsia="en-GB"/>
              </w:rPr>
              <w:t>Mm</w:t>
            </w:r>
            <w:r w:rsidRPr="00BB7A86">
              <w:rPr>
                <w:rFonts w:cs="Helvetica"/>
                <w:color w:val="595959"/>
                <w:szCs w:val="20"/>
                <w:vertAlign w:val="superscript"/>
                <w:lang w:val="de-CH" w:eastAsia="en-GB"/>
              </w:rPr>
              <w:t>3</w:t>
            </w:r>
            <w:r w:rsidRPr="00BB7A86">
              <w:rPr>
                <w:rFonts w:cs="Helvetica"/>
                <w:color w:val="595959"/>
                <w:szCs w:val="20"/>
                <w:lang w:val="de-CH" w:eastAsia="en-GB"/>
              </w:rPr>
              <w:t xml:space="preserve"> </w:t>
            </w:r>
            <w:r w:rsidR="00B63273">
              <w:t xml:space="preserve"> </w:t>
            </w:r>
            <w:r w:rsidR="00B63273" w:rsidRPr="00B63273">
              <w:rPr>
                <w:rFonts w:cs="Helvetica"/>
                <w:color w:val="595959"/>
                <w:szCs w:val="20"/>
                <w:lang w:val="de-CH" w:eastAsia="en-GB"/>
              </w:rPr>
              <w:t>World-Equiv</w:t>
            </w:r>
          </w:p>
        </w:tc>
        <w:tc>
          <w:tcPr>
            <w:tcW w:w="1064" w:type="dxa"/>
          </w:tcPr>
          <w:p w14:paraId="37E53818" w14:textId="2C9C5DF7" w:rsidR="003E3705" w:rsidRPr="00BB7A86" w:rsidRDefault="003E3705" w:rsidP="0032282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val="de-CH" w:eastAsia="en-GB"/>
              </w:rPr>
            </w:pPr>
            <w:r w:rsidRPr="00BB7A86">
              <w:rPr>
                <w:rFonts w:cs="Helvetica"/>
                <w:color w:val="595959"/>
                <w:szCs w:val="20"/>
                <w:lang w:val="de-CH" w:eastAsia="en-GB"/>
              </w:rPr>
              <w:t>m</w:t>
            </w:r>
            <w:r w:rsidRPr="00BB7A86">
              <w:rPr>
                <w:rFonts w:cs="Helvetica"/>
                <w:color w:val="595959"/>
                <w:szCs w:val="20"/>
                <w:vertAlign w:val="superscript"/>
                <w:lang w:val="de-CH" w:eastAsia="en-GB"/>
              </w:rPr>
              <w:t>3</w:t>
            </w:r>
            <w:r w:rsidRPr="00BB7A86">
              <w:rPr>
                <w:rFonts w:cs="Helvetica"/>
                <w:color w:val="595959"/>
                <w:szCs w:val="20"/>
                <w:lang w:val="de-CH" w:eastAsia="en-GB"/>
              </w:rPr>
              <w:t xml:space="preserve"> </w:t>
            </w:r>
            <w:r w:rsidR="00B63273" w:rsidRPr="00B63273">
              <w:rPr>
                <w:rFonts w:cs="Helvetica"/>
                <w:color w:val="595959"/>
                <w:szCs w:val="20"/>
                <w:lang w:val="de-CH" w:eastAsia="en-GB"/>
              </w:rPr>
              <w:t xml:space="preserve"> </w:t>
            </w:r>
            <w:r w:rsidR="00B63273" w:rsidRPr="00B63273">
              <w:rPr>
                <w:rFonts w:cs="Helvetica"/>
                <w:color w:val="595959"/>
                <w:szCs w:val="20"/>
                <w:lang w:val="de-CH" w:eastAsia="en-GB"/>
              </w:rPr>
              <w:t>World-Equiv</w:t>
            </w:r>
            <w:r w:rsidR="00B63273">
              <w:rPr>
                <w:rFonts w:cs="Helvetica"/>
                <w:color w:val="595959"/>
                <w:szCs w:val="20"/>
                <w:lang w:val="de-CH" w:eastAsia="en-GB"/>
              </w:rPr>
              <w:t>/t</w:t>
            </w:r>
          </w:p>
        </w:tc>
        <w:tc>
          <w:tcPr>
            <w:tcW w:w="1064" w:type="dxa"/>
            <w:tcBorders>
              <w:right w:val="triple" w:sz="4" w:space="0" w:color="BFBFBF" w:themeColor="background1" w:themeShade="BF"/>
            </w:tcBorders>
            <w:vAlign w:val="center"/>
          </w:tcPr>
          <w:p w14:paraId="0A1C01BE" w14:textId="40084D8C" w:rsidR="003E3705" w:rsidRPr="00BB7A86" w:rsidRDefault="003E3705" w:rsidP="0032282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val="de-CH" w:eastAsia="en-GB"/>
              </w:rPr>
              <w:t>m</w:t>
            </w:r>
            <w:r w:rsidRPr="00BB7A86">
              <w:rPr>
                <w:rFonts w:cs="Helvetica"/>
                <w:color w:val="595959"/>
                <w:szCs w:val="20"/>
                <w:vertAlign w:val="superscript"/>
                <w:lang w:val="de-CH" w:eastAsia="en-GB"/>
              </w:rPr>
              <w:t>3</w:t>
            </w:r>
            <w:r w:rsidRPr="00BB7A86">
              <w:rPr>
                <w:rFonts w:cs="Helvetica"/>
                <w:color w:val="595959"/>
                <w:szCs w:val="20"/>
                <w:lang w:val="de-CH" w:eastAsia="en-GB"/>
              </w:rPr>
              <w:t xml:space="preserve"> </w:t>
            </w:r>
            <w:r w:rsidR="00B63273" w:rsidRPr="00B63273">
              <w:rPr>
                <w:rFonts w:cs="Helvetica"/>
                <w:color w:val="595959"/>
                <w:szCs w:val="20"/>
                <w:lang w:val="de-CH" w:eastAsia="en-GB"/>
              </w:rPr>
              <w:t xml:space="preserve"> </w:t>
            </w:r>
            <w:r w:rsidR="00B63273" w:rsidRPr="00B63273">
              <w:rPr>
                <w:rFonts w:cs="Helvetica"/>
                <w:color w:val="595959"/>
                <w:szCs w:val="20"/>
                <w:lang w:val="de-CH" w:eastAsia="en-GB"/>
              </w:rPr>
              <w:t>World-Equiv</w:t>
            </w:r>
            <w:r w:rsidR="00B63273">
              <w:rPr>
                <w:rFonts w:cs="Helvetica"/>
                <w:color w:val="595959"/>
                <w:szCs w:val="20"/>
                <w:lang w:val="de-CH" w:eastAsia="en-GB"/>
              </w:rPr>
              <w:t>/t</w:t>
            </w:r>
          </w:p>
        </w:tc>
      </w:tr>
      <w:tr w:rsidR="00B63273" w:rsidRPr="00BB7A86" w14:paraId="04CF1E8C" w14:textId="7E873DE3" w:rsidTr="003E3705">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141" w:type="dxa"/>
            <w:noWrap/>
            <w:vAlign w:val="center"/>
            <w:hideMark/>
          </w:tcPr>
          <w:p w14:paraId="6361BB23" w14:textId="0AB93BD1" w:rsidR="003E3705" w:rsidRPr="00BB7A86" w:rsidRDefault="003E3705" w:rsidP="009E15D0">
            <w:pPr>
              <w:spacing w:after="0" w:line="312" w:lineRule="auto"/>
              <w:rPr>
                <w:rFonts w:cs="Helvetica"/>
                <w:color w:val="595959"/>
                <w:szCs w:val="20"/>
                <w:lang w:eastAsia="en-GB"/>
              </w:rPr>
            </w:pPr>
            <w:r w:rsidRPr="00BB7A86">
              <w:rPr>
                <w:rFonts w:cs="Helvetica"/>
                <w:color w:val="595959"/>
                <w:szCs w:val="20"/>
                <w:lang w:val="de-CH" w:eastAsia="en-GB"/>
              </w:rPr>
              <w:t>Africa</w:t>
            </w:r>
          </w:p>
        </w:tc>
        <w:tc>
          <w:tcPr>
            <w:tcW w:w="1561" w:type="dxa"/>
            <w:vAlign w:val="center"/>
            <w:hideMark/>
          </w:tcPr>
          <w:p w14:paraId="3755115F" w14:textId="4F1310F8" w:rsidR="003E3705" w:rsidRPr="00BB7A86" w:rsidRDefault="00031507" w:rsidP="009E15D0">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Pr>
                <w:rFonts w:cs="Helvetica"/>
                <w:color w:val="595959"/>
                <w:szCs w:val="20"/>
                <w:lang w:val="de-CH" w:eastAsia="en-GB"/>
              </w:rPr>
              <w:t>78</w:t>
            </w:r>
          </w:p>
        </w:tc>
        <w:tc>
          <w:tcPr>
            <w:tcW w:w="0" w:type="auto"/>
            <w:tcBorders>
              <w:top w:val="nil"/>
              <w:left w:val="nil"/>
              <w:bottom w:val="single" w:sz="8" w:space="0" w:color="BFBFBF"/>
              <w:right w:val="single" w:sz="8" w:space="0" w:color="BFBFBF"/>
            </w:tcBorders>
            <w:shd w:val="clear" w:color="000000" w:fill="F2F2F2"/>
            <w:vAlign w:val="center"/>
            <w:hideMark/>
          </w:tcPr>
          <w:p w14:paraId="55883351" w14:textId="351D02BF" w:rsidR="003E3705" w:rsidRPr="00BB7A86" w:rsidRDefault="003E3705" w:rsidP="009E15D0">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val="de-CH" w:eastAsia="en-GB"/>
              </w:rPr>
            </w:pPr>
            <w:r w:rsidRPr="00BB7A86">
              <w:rPr>
                <w:rFonts w:cs="Helvetica"/>
                <w:color w:val="595959"/>
                <w:szCs w:val="20"/>
                <w:lang w:val="de-CH" w:eastAsia="en-GB"/>
              </w:rPr>
              <w:t>2</w:t>
            </w:r>
            <w:r w:rsidR="00031507">
              <w:rPr>
                <w:rFonts w:cs="Helvetica"/>
                <w:color w:val="595959"/>
                <w:szCs w:val="20"/>
                <w:lang w:val="de-CH" w:eastAsia="en-GB"/>
              </w:rPr>
              <w:t>9</w:t>
            </w:r>
          </w:p>
        </w:tc>
        <w:tc>
          <w:tcPr>
            <w:tcW w:w="0" w:type="auto"/>
            <w:tcBorders>
              <w:right w:val="triple" w:sz="4" w:space="0" w:color="BFBFBF" w:themeColor="background1" w:themeShade="BF"/>
            </w:tcBorders>
            <w:vAlign w:val="center"/>
            <w:hideMark/>
          </w:tcPr>
          <w:p w14:paraId="6525810A" w14:textId="0C3DE973" w:rsidR="003E3705" w:rsidRPr="00BB7A86" w:rsidRDefault="003E3705" w:rsidP="009E15D0">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val="de-CH" w:eastAsia="en-GB"/>
              </w:rPr>
            </w:pPr>
            <w:r w:rsidRPr="00BB7A86">
              <w:rPr>
                <w:rFonts w:cs="Helvetica"/>
                <w:color w:val="595959"/>
                <w:szCs w:val="20"/>
                <w:lang w:val="de-CH" w:eastAsia="en-GB"/>
              </w:rPr>
              <w:t>0.3</w:t>
            </w:r>
            <w:r w:rsidR="00031507">
              <w:rPr>
                <w:rFonts w:cs="Helvetica"/>
                <w:color w:val="595959"/>
                <w:szCs w:val="20"/>
                <w:lang w:val="de-CH" w:eastAsia="en-GB"/>
              </w:rPr>
              <w:t>8</w:t>
            </w:r>
          </w:p>
        </w:tc>
        <w:tc>
          <w:tcPr>
            <w:tcW w:w="0" w:type="auto"/>
            <w:tcBorders>
              <w:left w:val="triple" w:sz="4" w:space="0" w:color="BFBFBF" w:themeColor="background1" w:themeShade="BF"/>
            </w:tcBorders>
            <w:vAlign w:val="center"/>
            <w:hideMark/>
          </w:tcPr>
          <w:p w14:paraId="6AD45BEF" w14:textId="6573F0E7" w:rsidR="003E3705" w:rsidRPr="00BB7A86" w:rsidRDefault="003E3705" w:rsidP="009E15D0">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&lt;1</w:t>
            </w:r>
          </w:p>
        </w:tc>
        <w:tc>
          <w:tcPr>
            <w:tcW w:w="0" w:type="auto"/>
            <w:vAlign w:val="center"/>
            <w:hideMark/>
          </w:tcPr>
          <w:p w14:paraId="6FD7D0F7" w14:textId="5903B9C9" w:rsidR="003E3705" w:rsidRPr="00BB7A86" w:rsidRDefault="003E3705" w:rsidP="009E15D0">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val="de-CH" w:eastAsia="en-GB"/>
              </w:rPr>
            </w:pPr>
            <w:r w:rsidRPr="00BB7A86">
              <w:rPr>
                <w:rFonts w:cs="Helvetica"/>
                <w:color w:val="595959"/>
                <w:szCs w:val="20"/>
                <w:lang w:eastAsia="en-GB"/>
              </w:rPr>
              <w:t>1</w:t>
            </w:r>
            <w:r w:rsidR="008070E1">
              <w:rPr>
                <w:rFonts w:cs="Helvetica"/>
                <w:color w:val="595959"/>
                <w:szCs w:val="20"/>
                <w:lang w:eastAsia="en-GB"/>
              </w:rPr>
              <w:t>8</w:t>
            </w:r>
          </w:p>
        </w:tc>
        <w:tc>
          <w:tcPr>
            <w:tcW w:w="0" w:type="auto"/>
            <w:tcBorders>
              <w:right w:val="triple" w:sz="4" w:space="0" w:color="BFBFBF" w:themeColor="background1" w:themeShade="BF"/>
            </w:tcBorders>
            <w:vAlign w:val="center"/>
            <w:hideMark/>
          </w:tcPr>
          <w:p w14:paraId="4578785C" w14:textId="06E4DE2A" w:rsidR="003E3705" w:rsidRPr="00BB7A86" w:rsidRDefault="008070E1" w:rsidP="009E15D0">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val="de-CH" w:eastAsia="en-GB"/>
              </w:rPr>
            </w:pPr>
            <w:r>
              <w:rPr>
                <w:rFonts w:cs="Helvetica"/>
                <w:color w:val="595959"/>
                <w:szCs w:val="20"/>
                <w:lang w:eastAsia="en-GB"/>
              </w:rPr>
              <w:t>49.8</w:t>
            </w:r>
          </w:p>
        </w:tc>
        <w:tc>
          <w:tcPr>
            <w:tcW w:w="0" w:type="auto"/>
            <w:tcBorders>
              <w:left w:val="triple" w:sz="4" w:space="0" w:color="BFBFBF" w:themeColor="background1" w:themeShade="BF"/>
            </w:tcBorders>
            <w:noWrap/>
            <w:vAlign w:val="center"/>
            <w:hideMark/>
          </w:tcPr>
          <w:p w14:paraId="39AE392A" w14:textId="3313F357" w:rsidR="003E3705" w:rsidRPr="00BB7A86" w:rsidRDefault="003E3705" w:rsidP="009E15D0">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1.7</w:t>
            </w:r>
          </w:p>
        </w:tc>
        <w:tc>
          <w:tcPr>
            <w:tcW w:w="0" w:type="auto"/>
            <w:vAlign w:val="center"/>
          </w:tcPr>
          <w:p w14:paraId="6BD3CEA1" w14:textId="71DD5EC4" w:rsidR="003E3705" w:rsidRPr="00BB7A86" w:rsidRDefault="008070E1" w:rsidP="008B5595">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Pr>
                <w:rFonts w:cs="Helvetica"/>
                <w:color w:val="595959"/>
                <w:szCs w:val="20"/>
                <w:lang w:eastAsia="en-GB"/>
              </w:rPr>
              <w:t>3857</w:t>
            </w:r>
          </w:p>
        </w:tc>
        <w:tc>
          <w:tcPr>
            <w:tcW w:w="1064" w:type="dxa"/>
          </w:tcPr>
          <w:p w14:paraId="3EA8B1CB" w14:textId="3AF594E3" w:rsidR="003E3705" w:rsidRPr="00BB7A86" w:rsidRDefault="003E3705" w:rsidP="0095438E">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Pr>
                <w:rFonts w:cs="Helvetica"/>
                <w:color w:val="595959"/>
                <w:szCs w:val="20"/>
                <w:lang w:eastAsia="en-GB"/>
              </w:rPr>
              <w:t>2.6</w:t>
            </w:r>
          </w:p>
        </w:tc>
        <w:tc>
          <w:tcPr>
            <w:tcW w:w="1064" w:type="dxa"/>
            <w:tcBorders>
              <w:right w:val="triple" w:sz="4" w:space="0" w:color="BFBFBF" w:themeColor="background1" w:themeShade="BF"/>
            </w:tcBorders>
          </w:tcPr>
          <w:p w14:paraId="37AAF68B" w14:textId="697B7D83" w:rsidR="003E3705" w:rsidRPr="00BB7A86" w:rsidRDefault="008070E1" w:rsidP="0095438E">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Pr>
                <w:rFonts w:cs="Helvetica"/>
                <w:color w:val="595959"/>
                <w:szCs w:val="20"/>
                <w:lang w:eastAsia="en-GB"/>
              </w:rPr>
              <w:t>2256</w:t>
            </w:r>
          </w:p>
        </w:tc>
      </w:tr>
      <w:tr w:rsidR="00B63273" w:rsidRPr="00BB7A86" w14:paraId="5DBEABCE" w14:textId="279DBB38" w:rsidTr="003E3705">
        <w:trPr>
          <w:trHeight w:val="249"/>
        </w:trPr>
        <w:tc>
          <w:tcPr>
            <w:cnfStyle w:val="001000000000" w:firstRow="0" w:lastRow="0" w:firstColumn="1" w:lastColumn="0" w:oddVBand="0" w:evenVBand="0" w:oddHBand="0" w:evenHBand="0" w:firstRowFirstColumn="0" w:firstRowLastColumn="0" w:lastRowFirstColumn="0" w:lastRowLastColumn="0"/>
            <w:tcW w:w="3141" w:type="dxa"/>
            <w:noWrap/>
            <w:vAlign w:val="center"/>
            <w:hideMark/>
          </w:tcPr>
          <w:p w14:paraId="18D38DAB" w14:textId="5FBAC255" w:rsidR="003E3705" w:rsidRPr="00BB7A86" w:rsidRDefault="003E3705" w:rsidP="009E15D0">
            <w:pPr>
              <w:spacing w:after="0" w:line="312" w:lineRule="auto"/>
              <w:rPr>
                <w:rFonts w:cs="Helvetica"/>
                <w:color w:val="595959"/>
                <w:szCs w:val="20"/>
                <w:lang w:eastAsia="en-GB"/>
              </w:rPr>
            </w:pPr>
            <w:r w:rsidRPr="00BB7A86">
              <w:rPr>
                <w:rFonts w:cs="Helvetica"/>
                <w:color w:val="595959"/>
                <w:szCs w:val="20"/>
                <w:lang w:val="de-CH" w:eastAsia="en-GB"/>
              </w:rPr>
              <w:t>Asia (ex. China)</w:t>
            </w:r>
          </w:p>
        </w:tc>
        <w:tc>
          <w:tcPr>
            <w:tcW w:w="1561" w:type="dxa"/>
            <w:vAlign w:val="center"/>
            <w:hideMark/>
          </w:tcPr>
          <w:p w14:paraId="06EEA46E" w14:textId="66420934" w:rsidR="003E3705" w:rsidRPr="00BB7A86" w:rsidRDefault="003E3705" w:rsidP="009E15D0">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val="de-CH" w:eastAsia="en-GB"/>
              </w:rPr>
              <w:t>51</w:t>
            </w:r>
          </w:p>
        </w:tc>
        <w:tc>
          <w:tcPr>
            <w:tcW w:w="0" w:type="auto"/>
            <w:tcBorders>
              <w:top w:val="nil"/>
              <w:left w:val="nil"/>
              <w:bottom w:val="single" w:sz="8" w:space="0" w:color="BFBFBF"/>
              <w:right w:val="single" w:sz="8" w:space="0" w:color="BFBFBF"/>
            </w:tcBorders>
            <w:shd w:val="clear" w:color="auto" w:fill="FFFFFF" w:themeFill="background1"/>
            <w:vAlign w:val="center"/>
            <w:hideMark/>
          </w:tcPr>
          <w:p w14:paraId="0C26B222" w14:textId="4A067973" w:rsidR="003E3705" w:rsidRPr="00BB7A86" w:rsidRDefault="003E3705" w:rsidP="009E15D0">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val="de-CH" w:eastAsia="en-GB"/>
              </w:rPr>
            </w:pPr>
            <w:r w:rsidRPr="00BB7A86">
              <w:rPr>
                <w:rFonts w:cs="Helvetica"/>
                <w:color w:val="595959"/>
                <w:szCs w:val="20"/>
                <w:lang w:val="de-CH" w:eastAsia="en-GB"/>
              </w:rPr>
              <w:t>35</w:t>
            </w:r>
          </w:p>
        </w:tc>
        <w:tc>
          <w:tcPr>
            <w:tcW w:w="0" w:type="auto"/>
            <w:tcBorders>
              <w:right w:val="triple" w:sz="4" w:space="0" w:color="BFBFBF" w:themeColor="background1" w:themeShade="BF"/>
            </w:tcBorders>
            <w:vAlign w:val="center"/>
            <w:hideMark/>
          </w:tcPr>
          <w:p w14:paraId="438C6F3C" w14:textId="056557BF" w:rsidR="003E3705" w:rsidRPr="00BB7A86" w:rsidRDefault="003E3705" w:rsidP="009E15D0">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val="de-CH" w:eastAsia="en-GB"/>
              </w:rPr>
            </w:pPr>
            <w:r w:rsidRPr="00BB7A86">
              <w:rPr>
                <w:rFonts w:cs="Helvetica"/>
                <w:color w:val="595959"/>
                <w:szCs w:val="20"/>
                <w:lang w:val="de-CH" w:eastAsia="en-GB"/>
              </w:rPr>
              <w:t>0.68</w:t>
            </w:r>
          </w:p>
        </w:tc>
        <w:tc>
          <w:tcPr>
            <w:tcW w:w="0" w:type="auto"/>
            <w:tcBorders>
              <w:left w:val="triple" w:sz="4" w:space="0" w:color="BFBFBF" w:themeColor="background1" w:themeShade="BF"/>
            </w:tcBorders>
            <w:vAlign w:val="center"/>
            <w:hideMark/>
          </w:tcPr>
          <w:p w14:paraId="7D942311" w14:textId="17772B18" w:rsidR="003E3705" w:rsidRPr="00BB7A86" w:rsidRDefault="003E3705" w:rsidP="009E15D0">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11</w:t>
            </w:r>
          </w:p>
        </w:tc>
        <w:tc>
          <w:tcPr>
            <w:tcW w:w="0" w:type="auto"/>
            <w:vAlign w:val="center"/>
            <w:hideMark/>
          </w:tcPr>
          <w:p w14:paraId="37122DF3" w14:textId="674C7C95" w:rsidR="003E3705" w:rsidRPr="00BB7A86" w:rsidRDefault="008070E1" w:rsidP="009E15D0">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val="de-CH" w:eastAsia="en-GB"/>
              </w:rPr>
            </w:pPr>
            <w:r>
              <w:rPr>
                <w:rFonts w:cs="Helvetica"/>
                <w:color w:val="595959"/>
                <w:szCs w:val="20"/>
                <w:lang w:val="de-CH" w:eastAsia="en-GB"/>
              </w:rPr>
              <w:t>724</w:t>
            </w:r>
          </w:p>
        </w:tc>
        <w:tc>
          <w:tcPr>
            <w:tcW w:w="0" w:type="auto"/>
            <w:tcBorders>
              <w:right w:val="triple" w:sz="4" w:space="0" w:color="BFBFBF" w:themeColor="background1" w:themeShade="BF"/>
            </w:tcBorders>
            <w:vAlign w:val="center"/>
            <w:hideMark/>
          </w:tcPr>
          <w:p w14:paraId="4F7996F9" w14:textId="7ABC80F3" w:rsidR="003E3705" w:rsidRPr="00BB7A86" w:rsidRDefault="008070E1" w:rsidP="009E15D0">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zh-CN"/>
              </w:rPr>
            </w:pPr>
            <w:r>
              <w:rPr>
                <w:rFonts w:cs="Helvetica"/>
                <w:color w:val="595959"/>
                <w:szCs w:val="20"/>
                <w:lang w:val="de-CH" w:eastAsia="en-GB"/>
              </w:rPr>
              <w:t>67.8</w:t>
            </w:r>
          </w:p>
        </w:tc>
        <w:tc>
          <w:tcPr>
            <w:tcW w:w="0" w:type="auto"/>
            <w:tcBorders>
              <w:left w:val="triple" w:sz="4" w:space="0" w:color="BFBFBF" w:themeColor="background1" w:themeShade="BF"/>
            </w:tcBorders>
            <w:noWrap/>
            <w:vAlign w:val="center"/>
          </w:tcPr>
          <w:p w14:paraId="06A1A42E" w14:textId="1CE09A7B" w:rsidR="003E3705" w:rsidRPr="00BB7A86" w:rsidRDefault="003E3705" w:rsidP="009E15D0">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5.5</w:t>
            </w:r>
          </w:p>
        </w:tc>
        <w:tc>
          <w:tcPr>
            <w:tcW w:w="0" w:type="auto"/>
            <w:vAlign w:val="center"/>
          </w:tcPr>
          <w:p w14:paraId="02242466" w14:textId="31802901" w:rsidR="003E3705" w:rsidRPr="00BB7A86" w:rsidRDefault="008070E1" w:rsidP="008B5595">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Pr>
                <w:rFonts w:cs="Helvetica"/>
                <w:color w:val="595959"/>
                <w:szCs w:val="20"/>
                <w:lang w:eastAsia="en-GB"/>
              </w:rPr>
              <w:t>812</w:t>
            </w:r>
          </w:p>
        </w:tc>
        <w:tc>
          <w:tcPr>
            <w:tcW w:w="1064" w:type="dxa"/>
          </w:tcPr>
          <w:p w14:paraId="56EF6A8E" w14:textId="72B3650B" w:rsidR="003E3705" w:rsidRPr="00BB7A86" w:rsidRDefault="008070E1" w:rsidP="009E15D0">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Pr>
                <w:rFonts w:cs="Helvetica"/>
                <w:color w:val="595959"/>
                <w:szCs w:val="20"/>
                <w:lang w:eastAsia="en-GB"/>
              </w:rPr>
              <w:t>50.6</w:t>
            </w:r>
          </w:p>
        </w:tc>
        <w:tc>
          <w:tcPr>
            <w:tcW w:w="1064" w:type="dxa"/>
            <w:tcBorders>
              <w:right w:val="triple" w:sz="4" w:space="0" w:color="BFBFBF" w:themeColor="background1" w:themeShade="BF"/>
            </w:tcBorders>
          </w:tcPr>
          <w:p w14:paraId="3F950C8F" w14:textId="48426300" w:rsidR="003E3705" w:rsidRPr="00BB7A86" w:rsidRDefault="003E3705" w:rsidP="009F69A3">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Pr>
                <w:rFonts w:cs="Helvetica"/>
                <w:color w:val="595959"/>
                <w:szCs w:val="20"/>
                <w:lang w:eastAsia="en-GB"/>
              </w:rPr>
              <w:t>98</w:t>
            </w:r>
          </w:p>
        </w:tc>
      </w:tr>
      <w:tr w:rsidR="00B63273" w:rsidRPr="00BB7A86" w14:paraId="001F4986" w14:textId="29C6EE31" w:rsidTr="003E3705">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141" w:type="dxa"/>
            <w:noWrap/>
            <w:vAlign w:val="center"/>
            <w:hideMark/>
          </w:tcPr>
          <w:p w14:paraId="76D1EBC1" w14:textId="7D3401C0" w:rsidR="003E3705" w:rsidRPr="00BB7A86" w:rsidRDefault="003E3705" w:rsidP="00EB5A74">
            <w:pPr>
              <w:spacing w:after="0" w:line="312" w:lineRule="auto"/>
              <w:rPr>
                <w:rFonts w:cs="Helvetica"/>
                <w:color w:val="595959"/>
                <w:szCs w:val="20"/>
                <w:lang w:eastAsia="en-GB"/>
              </w:rPr>
            </w:pPr>
            <w:r w:rsidRPr="00BB7A86">
              <w:rPr>
                <w:rFonts w:cs="Helvetica"/>
                <w:color w:val="595959"/>
                <w:szCs w:val="20"/>
                <w:lang w:val="de-CH" w:eastAsia="en-GB"/>
              </w:rPr>
              <w:t>China</w:t>
            </w:r>
          </w:p>
        </w:tc>
        <w:tc>
          <w:tcPr>
            <w:tcW w:w="1561" w:type="dxa"/>
            <w:vAlign w:val="center"/>
            <w:hideMark/>
          </w:tcPr>
          <w:p w14:paraId="6E4E36DC" w14:textId="56C19A93" w:rsidR="003E3705" w:rsidRPr="00BB7A86" w:rsidRDefault="003E3705" w:rsidP="00EB5A74">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70</w:t>
            </w:r>
          </w:p>
        </w:tc>
        <w:tc>
          <w:tcPr>
            <w:tcW w:w="0" w:type="auto"/>
            <w:tcBorders>
              <w:top w:val="nil"/>
              <w:left w:val="nil"/>
              <w:bottom w:val="single" w:sz="8" w:space="0" w:color="BFBFBF"/>
              <w:right w:val="single" w:sz="8" w:space="0" w:color="BFBFBF"/>
            </w:tcBorders>
            <w:shd w:val="clear" w:color="000000" w:fill="F2F2F2"/>
            <w:vAlign w:val="center"/>
            <w:hideMark/>
          </w:tcPr>
          <w:p w14:paraId="499B778E" w14:textId="7233071A" w:rsidR="003E3705" w:rsidRPr="00BB7A86" w:rsidRDefault="00031507" w:rsidP="00EB5A74">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Pr>
                <w:rFonts w:cs="Helvetica"/>
                <w:color w:val="595959"/>
                <w:szCs w:val="20"/>
                <w:lang w:eastAsia="en-GB"/>
              </w:rPr>
              <w:t>75</w:t>
            </w:r>
          </w:p>
        </w:tc>
        <w:tc>
          <w:tcPr>
            <w:tcW w:w="0" w:type="auto"/>
            <w:tcBorders>
              <w:right w:val="triple" w:sz="4" w:space="0" w:color="BFBFBF" w:themeColor="background1" w:themeShade="BF"/>
            </w:tcBorders>
            <w:vAlign w:val="center"/>
            <w:hideMark/>
          </w:tcPr>
          <w:p w14:paraId="6C465022" w14:textId="50DE6753" w:rsidR="003E3705" w:rsidRPr="00BB7A86" w:rsidRDefault="00031507" w:rsidP="00EB5A74">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val="de-CH" w:eastAsia="en-GB"/>
              </w:rPr>
            </w:pPr>
            <w:r>
              <w:rPr>
                <w:rFonts w:cs="Helvetica"/>
                <w:color w:val="595959"/>
                <w:szCs w:val="20"/>
                <w:lang w:eastAsia="en-GB"/>
              </w:rPr>
              <w:t>1.07</w:t>
            </w:r>
          </w:p>
        </w:tc>
        <w:tc>
          <w:tcPr>
            <w:tcW w:w="0" w:type="auto"/>
            <w:tcBorders>
              <w:left w:val="triple" w:sz="4" w:space="0" w:color="BFBFBF" w:themeColor="background1" w:themeShade="BF"/>
            </w:tcBorders>
            <w:vAlign w:val="center"/>
            <w:hideMark/>
          </w:tcPr>
          <w:p w14:paraId="607D287A" w14:textId="21DE89CD" w:rsidR="003E3705" w:rsidRPr="00BB7A86" w:rsidRDefault="003E3705" w:rsidP="00EB5A74">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68</w:t>
            </w:r>
          </w:p>
        </w:tc>
        <w:tc>
          <w:tcPr>
            <w:tcW w:w="0" w:type="auto"/>
            <w:vAlign w:val="center"/>
            <w:hideMark/>
          </w:tcPr>
          <w:p w14:paraId="3C86C18A" w14:textId="2544D7CE" w:rsidR="003E3705" w:rsidRPr="00BB7A86" w:rsidRDefault="003E3705" w:rsidP="00843962">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4</w:t>
            </w:r>
            <w:r w:rsidR="008070E1">
              <w:rPr>
                <w:rFonts w:cs="Helvetica"/>
                <w:color w:val="595959"/>
                <w:szCs w:val="20"/>
                <w:lang w:eastAsia="en-GB"/>
              </w:rPr>
              <w:t>306</w:t>
            </w:r>
          </w:p>
        </w:tc>
        <w:tc>
          <w:tcPr>
            <w:tcW w:w="0" w:type="auto"/>
            <w:tcBorders>
              <w:right w:val="triple" w:sz="4" w:space="0" w:color="BFBFBF" w:themeColor="background1" w:themeShade="BF"/>
            </w:tcBorders>
            <w:vAlign w:val="center"/>
            <w:hideMark/>
          </w:tcPr>
          <w:p w14:paraId="18BB9038" w14:textId="07BCE91B" w:rsidR="003E3705" w:rsidRPr="00BB7A86" w:rsidRDefault="008070E1" w:rsidP="00EB5A74">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val="de-CH" w:eastAsia="en-GB"/>
              </w:rPr>
            </w:pPr>
            <w:r>
              <w:rPr>
                <w:rFonts w:cs="Helvetica"/>
                <w:color w:val="595959"/>
                <w:szCs w:val="20"/>
                <w:lang w:eastAsia="en-GB"/>
              </w:rPr>
              <w:t>63.6</w:t>
            </w:r>
          </w:p>
        </w:tc>
        <w:tc>
          <w:tcPr>
            <w:tcW w:w="0" w:type="auto"/>
            <w:tcBorders>
              <w:left w:val="triple" w:sz="4" w:space="0" w:color="BFBFBF" w:themeColor="background1" w:themeShade="BF"/>
            </w:tcBorders>
            <w:noWrap/>
            <w:vAlign w:val="center"/>
          </w:tcPr>
          <w:p w14:paraId="6E9879F3" w14:textId="56AB5A4F" w:rsidR="003E3705" w:rsidRPr="00BB7A86" w:rsidRDefault="003E3705" w:rsidP="00EB5A74">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35.8</w:t>
            </w:r>
          </w:p>
        </w:tc>
        <w:tc>
          <w:tcPr>
            <w:tcW w:w="0" w:type="auto"/>
            <w:vAlign w:val="center"/>
          </w:tcPr>
          <w:p w14:paraId="6A8B55A9" w14:textId="43434AE4" w:rsidR="003E3705" w:rsidRPr="00BB7A86" w:rsidRDefault="008070E1" w:rsidP="00EB5A74">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Pr>
                <w:rFonts w:cs="Helvetica"/>
                <w:color w:val="595959"/>
                <w:szCs w:val="20"/>
                <w:lang w:eastAsia="en-GB"/>
              </w:rPr>
              <w:t>25602</w:t>
            </w:r>
          </w:p>
        </w:tc>
        <w:tc>
          <w:tcPr>
            <w:tcW w:w="1064" w:type="dxa"/>
          </w:tcPr>
          <w:p w14:paraId="75023EF0" w14:textId="41F5EA88" w:rsidR="003E3705" w:rsidRPr="00BB7A86" w:rsidRDefault="008070E1" w:rsidP="00EB5A74">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Pr>
                <w:rFonts w:cs="Helvetica"/>
                <w:color w:val="595959"/>
                <w:szCs w:val="20"/>
                <w:lang w:eastAsia="en-GB"/>
              </w:rPr>
              <w:t>8.9</w:t>
            </w:r>
          </w:p>
        </w:tc>
        <w:tc>
          <w:tcPr>
            <w:tcW w:w="1064" w:type="dxa"/>
            <w:tcBorders>
              <w:right w:val="triple" w:sz="4" w:space="0" w:color="BFBFBF" w:themeColor="background1" w:themeShade="BF"/>
            </w:tcBorders>
            <w:vAlign w:val="center"/>
          </w:tcPr>
          <w:p w14:paraId="7E62344B" w14:textId="57674D8C" w:rsidR="003E3705" w:rsidRPr="00BB7A86" w:rsidRDefault="008070E1" w:rsidP="00EB5A74">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Pr>
                <w:rFonts w:cs="Helvetica"/>
                <w:color w:val="595959"/>
                <w:szCs w:val="20"/>
                <w:lang w:eastAsia="en-GB"/>
              </w:rPr>
              <w:t>706</w:t>
            </w:r>
          </w:p>
        </w:tc>
      </w:tr>
      <w:tr w:rsidR="00B63273" w:rsidRPr="00BB7A86" w14:paraId="79F3AEF5" w14:textId="29949F32" w:rsidTr="003E3705">
        <w:trPr>
          <w:trHeight w:val="249"/>
        </w:trPr>
        <w:tc>
          <w:tcPr>
            <w:cnfStyle w:val="001000000000" w:firstRow="0" w:lastRow="0" w:firstColumn="1" w:lastColumn="0" w:oddVBand="0" w:evenVBand="0" w:oddHBand="0" w:evenHBand="0" w:firstRowFirstColumn="0" w:firstRowLastColumn="0" w:lastRowFirstColumn="0" w:lastRowLastColumn="0"/>
            <w:tcW w:w="3141" w:type="dxa"/>
            <w:noWrap/>
            <w:vAlign w:val="center"/>
            <w:hideMark/>
          </w:tcPr>
          <w:p w14:paraId="4B5444EA" w14:textId="6457433E" w:rsidR="003E3705" w:rsidRPr="00BB7A86" w:rsidRDefault="003E3705" w:rsidP="0095438E">
            <w:pPr>
              <w:spacing w:after="0" w:line="312" w:lineRule="auto"/>
              <w:rPr>
                <w:rFonts w:cs="Helvetica"/>
                <w:color w:val="595959"/>
                <w:szCs w:val="20"/>
                <w:lang w:eastAsia="en-GB"/>
              </w:rPr>
            </w:pPr>
            <w:r w:rsidRPr="00BB7A86">
              <w:rPr>
                <w:rFonts w:cs="Helvetica"/>
                <w:color w:val="595959"/>
                <w:szCs w:val="20"/>
                <w:lang w:val="de-CH" w:eastAsia="en-GB"/>
              </w:rPr>
              <w:t>Europe (EU28 &amp; EFTA)</w:t>
            </w:r>
          </w:p>
        </w:tc>
        <w:tc>
          <w:tcPr>
            <w:tcW w:w="1561" w:type="dxa"/>
            <w:vAlign w:val="center"/>
            <w:hideMark/>
          </w:tcPr>
          <w:p w14:paraId="7AE4976D" w14:textId="028A3C9B" w:rsidR="003E3705" w:rsidRPr="00BB7A86" w:rsidRDefault="003E3705" w:rsidP="0095438E">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w:t>
            </w:r>
          </w:p>
        </w:tc>
        <w:tc>
          <w:tcPr>
            <w:tcW w:w="0" w:type="auto"/>
            <w:tcBorders>
              <w:top w:val="nil"/>
              <w:left w:val="nil"/>
              <w:bottom w:val="single" w:sz="8" w:space="0" w:color="BFBFBF"/>
              <w:right w:val="single" w:sz="8" w:space="0" w:color="BFBFBF"/>
            </w:tcBorders>
            <w:shd w:val="clear" w:color="auto" w:fill="FFFFFF" w:themeFill="background1"/>
            <w:hideMark/>
          </w:tcPr>
          <w:p w14:paraId="2E9237B2" w14:textId="6156797B" w:rsidR="003E3705" w:rsidRPr="00BB7A86" w:rsidRDefault="003E3705" w:rsidP="0095438E">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w:t>
            </w:r>
          </w:p>
        </w:tc>
        <w:tc>
          <w:tcPr>
            <w:tcW w:w="0" w:type="auto"/>
            <w:tcBorders>
              <w:right w:val="triple" w:sz="4" w:space="0" w:color="BFBFBF" w:themeColor="background1" w:themeShade="BF"/>
            </w:tcBorders>
            <w:vAlign w:val="center"/>
            <w:hideMark/>
          </w:tcPr>
          <w:p w14:paraId="3A6F6E52" w14:textId="67F09099" w:rsidR="003E3705" w:rsidRPr="00BB7A86" w:rsidRDefault="003E3705" w:rsidP="0095438E">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val="de-CH" w:eastAsia="en-GB"/>
              </w:rPr>
            </w:pPr>
            <w:r w:rsidRPr="00BB7A86">
              <w:rPr>
                <w:rFonts w:cs="Helvetica"/>
                <w:color w:val="595959"/>
                <w:szCs w:val="20"/>
                <w:lang w:eastAsia="en-GB"/>
              </w:rPr>
              <w:t>-</w:t>
            </w:r>
          </w:p>
        </w:tc>
        <w:tc>
          <w:tcPr>
            <w:tcW w:w="0" w:type="auto"/>
            <w:tcBorders>
              <w:left w:val="triple" w:sz="4" w:space="0" w:color="BFBFBF" w:themeColor="background1" w:themeShade="BF"/>
            </w:tcBorders>
            <w:vAlign w:val="center"/>
            <w:hideMark/>
          </w:tcPr>
          <w:p w14:paraId="5FE824A4" w14:textId="5EF1C1E4" w:rsidR="003E3705" w:rsidRPr="00BB7A86" w:rsidRDefault="003E3705" w:rsidP="0095438E">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val="de-CH" w:eastAsia="en-GB"/>
              </w:rPr>
              <w:t>4</w:t>
            </w:r>
          </w:p>
        </w:tc>
        <w:tc>
          <w:tcPr>
            <w:tcW w:w="0" w:type="auto"/>
            <w:vAlign w:val="center"/>
            <w:hideMark/>
          </w:tcPr>
          <w:p w14:paraId="67D29426" w14:textId="7D87C58A" w:rsidR="003E3705" w:rsidRPr="00BB7A86" w:rsidRDefault="008070E1" w:rsidP="0095438E">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val="de-CH" w:eastAsia="en-GB"/>
              </w:rPr>
            </w:pPr>
            <w:r>
              <w:rPr>
                <w:rFonts w:cs="Helvetica"/>
                <w:color w:val="595959"/>
                <w:szCs w:val="20"/>
                <w:lang w:val="de-CH" w:eastAsia="en-GB"/>
              </w:rPr>
              <w:t>50</w:t>
            </w:r>
          </w:p>
        </w:tc>
        <w:tc>
          <w:tcPr>
            <w:tcW w:w="0" w:type="auto"/>
            <w:tcBorders>
              <w:right w:val="triple" w:sz="4" w:space="0" w:color="BFBFBF" w:themeColor="background1" w:themeShade="BF"/>
            </w:tcBorders>
            <w:vAlign w:val="center"/>
            <w:hideMark/>
          </w:tcPr>
          <w:p w14:paraId="148A5737" w14:textId="5B2D996B" w:rsidR="003E3705" w:rsidRPr="00BB7A86" w:rsidRDefault="008070E1" w:rsidP="0095438E">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val="de-CH" w:eastAsia="en-GB"/>
              </w:rPr>
            </w:pPr>
            <w:r>
              <w:rPr>
                <w:rFonts w:cs="Helvetica"/>
                <w:color w:val="595959"/>
                <w:szCs w:val="20"/>
                <w:lang w:val="de-CH" w:eastAsia="en-GB"/>
              </w:rPr>
              <w:t>13.5</w:t>
            </w:r>
          </w:p>
        </w:tc>
        <w:tc>
          <w:tcPr>
            <w:tcW w:w="0" w:type="auto"/>
            <w:tcBorders>
              <w:left w:val="triple" w:sz="4" w:space="0" w:color="BFBFBF" w:themeColor="background1" w:themeShade="BF"/>
            </w:tcBorders>
            <w:noWrap/>
            <w:vAlign w:val="center"/>
          </w:tcPr>
          <w:p w14:paraId="1A40918E" w14:textId="5DE13F26" w:rsidR="003E3705" w:rsidRPr="00BB7A86" w:rsidRDefault="003E3705" w:rsidP="0095438E">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3.7</w:t>
            </w:r>
          </w:p>
        </w:tc>
        <w:tc>
          <w:tcPr>
            <w:tcW w:w="0" w:type="auto"/>
            <w:vAlign w:val="center"/>
          </w:tcPr>
          <w:p w14:paraId="3A1CAD62" w14:textId="415ACDC8" w:rsidR="003E3705" w:rsidRPr="00BB7A86" w:rsidRDefault="008070E1" w:rsidP="0095438E">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Pr>
                <w:rFonts w:cs="Helvetica"/>
                <w:color w:val="595959"/>
                <w:szCs w:val="20"/>
                <w:lang w:eastAsia="en-GB"/>
              </w:rPr>
              <w:t>1549</w:t>
            </w:r>
          </w:p>
        </w:tc>
        <w:tc>
          <w:tcPr>
            <w:tcW w:w="1064" w:type="dxa"/>
          </w:tcPr>
          <w:p w14:paraId="0E41BBF8" w14:textId="3F09F94D" w:rsidR="003E3705" w:rsidRPr="00BB7A86" w:rsidRDefault="003E3705" w:rsidP="00E8735F">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Pr>
                <w:rFonts w:cs="Helvetica"/>
                <w:color w:val="595959"/>
                <w:szCs w:val="20"/>
                <w:lang w:eastAsia="en-GB"/>
              </w:rPr>
              <w:t>7.3</w:t>
            </w:r>
          </w:p>
        </w:tc>
        <w:tc>
          <w:tcPr>
            <w:tcW w:w="1064" w:type="dxa"/>
            <w:tcBorders>
              <w:right w:val="triple" w:sz="4" w:space="0" w:color="BFBFBF" w:themeColor="background1" w:themeShade="BF"/>
            </w:tcBorders>
            <w:vAlign w:val="center"/>
          </w:tcPr>
          <w:p w14:paraId="7934564D" w14:textId="410CC3D2" w:rsidR="003E3705" w:rsidRPr="00BB7A86" w:rsidRDefault="008070E1" w:rsidP="00E8735F">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Pr>
                <w:rFonts w:cs="Helvetica"/>
                <w:color w:val="595959"/>
                <w:szCs w:val="20"/>
                <w:lang w:eastAsia="en-GB"/>
              </w:rPr>
              <w:t>411</w:t>
            </w:r>
          </w:p>
        </w:tc>
      </w:tr>
      <w:tr w:rsidR="00B63273" w:rsidRPr="00BB7A86" w14:paraId="5E41549E" w14:textId="767AE832" w:rsidTr="003E3705">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141" w:type="dxa"/>
            <w:noWrap/>
            <w:vAlign w:val="center"/>
            <w:hideMark/>
          </w:tcPr>
          <w:p w14:paraId="148BDA2D" w14:textId="733A44D6" w:rsidR="003E3705" w:rsidRPr="00BB7A86" w:rsidRDefault="003E3705" w:rsidP="00CE6737">
            <w:pPr>
              <w:spacing w:after="0" w:line="312" w:lineRule="auto"/>
              <w:rPr>
                <w:rFonts w:cs="Helvetica"/>
                <w:color w:val="595959"/>
                <w:szCs w:val="20"/>
                <w:lang w:eastAsia="en-GB"/>
              </w:rPr>
            </w:pPr>
            <w:r w:rsidRPr="00BB7A86">
              <w:rPr>
                <w:rFonts w:cs="Helvetica"/>
                <w:color w:val="595959"/>
                <w:szCs w:val="20"/>
                <w:lang w:val="de-CH" w:eastAsia="en-GB"/>
              </w:rPr>
              <w:t>Gulf Cooperation Council</w:t>
            </w:r>
          </w:p>
        </w:tc>
        <w:tc>
          <w:tcPr>
            <w:tcW w:w="1561" w:type="dxa"/>
            <w:vAlign w:val="center"/>
            <w:hideMark/>
          </w:tcPr>
          <w:p w14:paraId="543DBCD9" w14:textId="7642DE66" w:rsidR="003E3705" w:rsidRPr="00BB7A86" w:rsidRDefault="00031507"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Pr>
                <w:rFonts w:cs="Helvetica"/>
                <w:color w:val="595959"/>
                <w:szCs w:val="20"/>
                <w:lang w:eastAsia="en-GB"/>
              </w:rPr>
              <w:t>5</w:t>
            </w:r>
          </w:p>
        </w:tc>
        <w:tc>
          <w:tcPr>
            <w:tcW w:w="0" w:type="auto"/>
            <w:tcBorders>
              <w:top w:val="nil"/>
              <w:left w:val="nil"/>
              <w:bottom w:val="single" w:sz="8" w:space="0" w:color="BFBFBF"/>
              <w:right w:val="single" w:sz="8" w:space="0" w:color="BFBFBF"/>
            </w:tcBorders>
            <w:shd w:val="clear" w:color="000000" w:fill="F2F2F2"/>
            <w:hideMark/>
          </w:tcPr>
          <w:p w14:paraId="5F82BC21" w14:textId="73A63746" w:rsidR="003E3705" w:rsidRPr="00BB7A86" w:rsidRDefault="00031507"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zh-CN"/>
              </w:rPr>
            </w:pPr>
            <w:r>
              <w:rPr>
                <w:rFonts w:cs="Helvetica"/>
                <w:color w:val="595959"/>
                <w:szCs w:val="20"/>
                <w:lang w:eastAsia="en-GB"/>
              </w:rPr>
              <w:t>1</w:t>
            </w:r>
          </w:p>
        </w:tc>
        <w:tc>
          <w:tcPr>
            <w:tcW w:w="0" w:type="auto"/>
            <w:tcBorders>
              <w:right w:val="triple" w:sz="4" w:space="0" w:color="BFBFBF" w:themeColor="background1" w:themeShade="BF"/>
            </w:tcBorders>
            <w:vAlign w:val="center"/>
            <w:hideMark/>
          </w:tcPr>
          <w:p w14:paraId="35781C06" w14:textId="28F3835C"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val="de-CH" w:eastAsia="en-GB"/>
              </w:rPr>
            </w:pPr>
            <w:r w:rsidRPr="00BB7A86">
              <w:rPr>
                <w:rFonts w:cs="Helvetica"/>
                <w:color w:val="595959"/>
                <w:szCs w:val="20"/>
                <w:lang w:eastAsia="en-GB"/>
              </w:rPr>
              <w:t>0.</w:t>
            </w:r>
            <w:r w:rsidR="00031507">
              <w:rPr>
                <w:rFonts w:cs="Helvetica"/>
                <w:color w:val="595959"/>
                <w:szCs w:val="20"/>
                <w:lang w:eastAsia="en-GB"/>
              </w:rPr>
              <w:t>25</w:t>
            </w:r>
          </w:p>
        </w:tc>
        <w:tc>
          <w:tcPr>
            <w:tcW w:w="0" w:type="auto"/>
            <w:tcBorders>
              <w:left w:val="triple" w:sz="4" w:space="0" w:color="BFBFBF" w:themeColor="background1" w:themeShade="BF"/>
            </w:tcBorders>
            <w:vAlign w:val="center"/>
            <w:hideMark/>
          </w:tcPr>
          <w:p w14:paraId="5BD7EA72" w14:textId="7DDDFABE"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3</w:t>
            </w:r>
          </w:p>
        </w:tc>
        <w:tc>
          <w:tcPr>
            <w:tcW w:w="0" w:type="auto"/>
            <w:vAlign w:val="center"/>
            <w:hideMark/>
          </w:tcPr>
          <w:p w14:paraId="0549F035" w14:textId="12262169"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val="de-CH" w:eastAsia="en-GB"/>
              </w:rPr>
            </w:pPr>
            <w:r w:rsidRPr="00BB7A86">
              <w:rPr>
                <w:rFonts w:cs="Helvetica"/>
                <w:color w:val="595959"/>
                <w:szCs w:val="20"/>
                <w:lang w:eastAsia="en-GB"/>
              </w:rPr>
              <w:t>31</w:t>
            </w:r>
          </w:p>
        </w:tc>
        <w:tc>
          <w:tcPr>
            <w:tcW w:w="0" w:type="auto"/>
            <w:tcBorders>
              <w:right w:val="triple" w:sz="4" w:space="0" w:color="BFBFBF" w:themeColor="background1" w:themeShade="BF"/>
            </w:tcBorders>
            <w:vAlign w:val="center"/>
            <w:hideMark/>
          </w:tcPr>
          <w:p w14:paraId="0090DE1A" w14:textId="6CCBD704"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val="de-CH" w:eastAsia="en-GB"/>
              </w:rPr>
            </w:pPr>
            <w:r w:rsidRPr="00BB7A86">
              <w:rPr>
                <w:rFonts w:cs="Helvetica"/>
                <w:color w:val="595959"/>
                <w:szCs w:val="20"/>
                <w:lang w:eastAsia="en-GB"/>
              </w:rPr>
              <w:t>10.3</w:t>
            </w:r>
          </w:p>
        </w:tc>
        <w:tc>
          <w:tcPr>
            <w:tcW w:w="0" w:type="auto"/>
            <w:tcBorders>
              <w:left w:val="triple" w:sz="4" w:space="0" w:color="BFBFBF" w:themeColor="background1" w:themeShade="BF"/>
            </w:tcBorders>
            <w:noWrap/>
            <w:vAlign w:val="center"/>
          </w:tcPr>
          <w:p w14:paraId="50A52B70" w14:textId="00D8BE7F"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5.7</w:t>
            </w:r>
          </w:p>
        </w:tc>
        <w:tc>
          <w:tcPr>
            <w:tcW w:w="0" w:type="auto"/>
            <w:vAlign w:val="center"/>
          </w:tcPr>
          <w:p w14:paraId="6B805708" w14:textId="71C7658E"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Pr>
                <w:rFonts w:cs="Helvetica"/>
                <w:color w:val="595959"/>
                <w:szCs w:val="20"/>
                <w:lang w:eastAsia="en-GB"/>
              </w:rPr>
              <w:t>66</w:t>
            </w:r>
          </w:p>
        </w:tc>
        <w:tc>
          <w:tcPr>
            <w:tcW w:w="1064" w:type="dxa"/>
          </w:tcPr>
          <w:p w14:paraId="7A9A7E48" w14:textId="1B1695A5"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w:t>
            </w:r>
          </w:p>
        </w:tc>
        <w:tc>
          <w:tcPr>
            <w:tcW w:w="1064" w:type="dxa"/>
            <w:tcBorders>
              <w:right w:val="triple" w:sz="4" w:space="0" w:color="BFBFBF" w:themeColor="background1" w:themeShade="BF"/>
            </w:tcBorders>
            <w:vAlign w:val="center"/>
          </w:tcPr>
          <w:p w14:paraId="3597B010" w14:textId="2463F809"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Pr>
                <w:rFonts w:cs="Helvetica"/>
                <w:color w:val="595959"/>
                <w:szCs w:val="20"/>
                <w:lang w:eastAsia="en-GB"/>
              </w:rPr>
              <w:t>12</w:t>
            </w:r>
          </w:p>
        </w:tc>
      </w:tr>
      <w:tr w:rsidR="00B63273" w:rsidRPr="00BB7A86" w14:paraId="1ACA5056" w14:textId="57C6B8CB" w:rsidTr="003E3705">
        <w:trPr>
          <w:trHeight w:val="249"/>
        </w:trPr>
        <w:tc>
          <w:tcPr>
            <w:cnfStyle w:val="001000000000" w:firstRow="0" w:lastRow="0" w:firstColumn="1" w:lastColumn="0" w:oddVBand="0" w:evenVBand="0" w:oddHBand="0" w:evenHBand="0" w:firstRowFirstColumn="0" w:firstRowLastColumn="0" w:lastRowFirstColumn="0" w:lastRowLastColumn="0"/>
            <w:tcW w:w="3141" w:type="dxa"/>
            <w:tcBorders>
              <w:bottom w:val="dashSmallGap" w:sz="4" w:space="0" w:color="BFBFBF" w:themeColor="background1" w:themeShade="BF"/>
            </w:tcBorders>
            <w:noWrap/>
            <w:vAlign w:val="center"/>
            <w:hideMark/>
          </w:tcPr>
          <w:p w14:paraId="0B581D00" w14:textId="6B3457EF" w:rsidR="003E3705" w:rsidRPr="00BB7A86" w:rsidRDefault="003E3705" w:rsidP="00CE6737">
            <w:pPr>
              <w:spacing w:after="0" w:line="312" w:lineRule="auto"/>
              <w:rPr>
                <w:rFonts w:cs="Helvetica"/>
                <w:color w:val="595959"/>
                <w:szCs w:val="20"/>
                <w:lang w:eastAsia="en-GB"/>
              </w:rPr>
            </w:pPr>
            <w:r w:rsidRPr="00BB7A86">
              <w:rPr>
                <w:rFonts w:cs="Helvetica"/>
                <w:color w:val="595959"/>
                <w:szCs w:val="20"/>
                <w:lang w:val="de-CH" w:eastAsia="en-GB"/>
              </w:rPr>
              <w:t>North America</w:t>
            </w:r>
          </w:p>
        </w:tc>
        <w:tc>
          <w:tcPr>
            <w:tcW w:w="1561" w:type="dxa"/>
            <w:tcBorders>
              <w:bottom w:val="dashSmallGap" w:sz="4" w:space="0" w:color="BFBFBF" w:themeColor="background1" w:themeShade="BF"/>
            </w:tcBorders>
            <w:vAlign w:val="center"/>
            <w:hideMark/>
          </w:tcPr>
          <w:p w14:paraId="4E5D362E" w14:textId="1E4C3969" w:rsidR="003E3705" w:rsidRPr="00BB7A86" w:rsidRDefault="003E3705"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w:t>
            </w:r>
          </w:p>
        </w:tc>
        <w:tc>
          <w:tcPr>
            <w:tcW w:w="0" w:type="auto"/>
            <w:tcBorders>
              <w:top w:val="nil"/>
              <w:left w:val="nil"/>
              <w:bottom w:val="single" w:sz="8" w:space="0" w:color="BFBFBF"/>
              <w:right w:val="single" w:sz="8" w:space="0" w:color="BFBFBF"/>
            </w:tcBorders>
            <w:shd w:val="clear" w:color="auto" w:fill="FFFFFF" w:themeFill="background1"/>
            <w:hideMark/>
          </w:tcPr>
          <w:p w14:paraId="68F470DA" w14:textId="04670967" w:rsidR="003E3705" w:rsidRPr="00BB7A86" w:rsidRDefault="003E3705"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w:t>
            </w:r>
          </w:p>
        </w:tc>
        <w:tc>
          <w:tcPr>
            <w:tcW w:w="0" w:type="auto"/>
            <w:tcBorders>
              <w:bottom w:val="dashSmallGap" w:sz="4" w:space="0" w:color="BFBFBF" w:themeColor="background1" w:themeShade="BF"/>
              <w:right w:val="triple" w:sz="4" w:space="0" w:color="BFBFBF" w:themeColor="background1" w:themeShade="BF"/>
            </w:tcBorders>
            <w:vAlign w:val="center"/>
            <w:hideMark/>
          </w:tcPr>
          <w:p w14:paraId="049A5BDA" w14:textId="3DCC8063" w:rsidR="003E3705" w:rsidRPr="00BB7A86" w:rsidRDefault="003E3705"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val="de-CH" w:eastAsia="en-GB"/>
              </w:rPr>
            </w:pPr>
            <w:r w:rsidRPr="00BB7A86">
              <w:rPr>
                <w:rFonts w:cs="Helvetica"/>
                <w:color w:val="595959"/>
                <w:szCs w:val="20"/>
                <w:lang w:eastAsia="en-GB"/>
              </w:rPr>
              <w:t>-</w:t>
            </w:r>
          </w:p>
        </w:tc>
        <w:tc>
          <w:tcPr>
            <w:tcW w:w="0" w:type="auto"/>
            <w:tcBorders>
              <w:left w:val="triple" w:sz="4" w:space="0" w:color="BFBFBF" w:themeColor="background1" w:themeShade="BF"/>
              <w:bottom w:val="dashSmallGap" w:sz="4" w:space="0" w:color="BFBFBF" w:themeColor="background1" w:themeShade="BF"/>
            </w:tcBorders>
            <w:vAlign w:val="center"/>
            <w:hideMark/>
          </w:tcPr>
          <w:p w14:paraId="30C268F4" w14:textId="3F5D20ED" w:rsidR="003E3705" w:rsidRPr="00BB7A86" w:rsidRDefault="003E3705"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2</w:t>
            </w:r>
          </w:p>
        </w:tc>
        <w:tc>
          <w:tcPr>
            <w:tcW w:w="0" w:type="auto"/>
            <w:tcBorders>
              <w:bottom w:val="dashSmallGap" w:sz="4" w:space="0" w:color="BFBFBF" w:themeColor="background1" w:themeShade="BF"/>
            </w:tcBorders>
            <w:vAlign w:val="center"/>
            <w:hideMark/>
          </w:tcPr>
          <w:p w14:paraId="2D41194E" w14:textId="39390256" w:rsidR="003E3705" w:rsidRPr="00BB7A86" w:rsidRDefault="008070E1"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val="de-CH" w:eastAsia="en-GB"/>
              </w:rPr>
            </w:pPr>
            <w:r>
              <w:rPr>
                <w:rFonts w:cs="Helvetica"/>
                <w:color w:val="595959"/>
                <w:szCs w:val="20"/>
                <w:lang w:eastAsia="en-GB"/>
              </w:rPr>
              <w:t>96</w:t>
            </w:r>
          </w:p>
        </w:tc>
        <w:tc>
          <w:tcPr>
            <w:tcW w:w="0" w:type="auto"/>
            <w:tcBorders>
              <w:bottom w:val="dashSmallGap" w:sz="4" w:space="0" w:color="BFBFBF" w:themeColor="background1" w:themeShade="BF"/>
              <w:right w:val="triple" w:sz="4" w:space="0" w:color="BFBFBF" w:themeColor="background1" w:themeShade="BF"/>
            </w:tcBorders>
            <w:vAlign w:val="center"/>
            <w:hideMark/>
          </w:tcPr>
          <w:p w14:paraId="357495CF" w14:textId="049A9581" w:rsidR="003E3705" w:rsidRPr="00BB7A86" w:rsidRDefault="008070E1"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val="de-CH" w:eastAsia="zh-CN"/>
              </w:rPr>
            </w:pPr>
            <w:r>
              <w:rPr>
                <w:rFonts w:cs="Helvetica"/>
                <w:color w:val="595959"/>
                <w:szCs w:val="20"/>
                <w:lang w:eastAsia="en-GB"/>
              </w:rPr>
              <w:t>42.2</w:t>
            </w:r>
          </w:p>
        </w:tc>
        <w:tc>
          <w:tcPr>
            <w:tcW w:w="0" w:type="auto"/>
            <w:tcBorders>
              <w:left w:val="triple" w:sz="4" w:space="0" w:color="BFBFBF" w:themeColor="background1" w:themeShade="BF"/>
              <w:bottom w:val="dashSmallGap" w:sz="4" w:space="0" w:color="BFBFBF" w:themeColor="background1" w:themeShade="BF"/>
            </w:tcBorders>
            <w:noWrap/>
            <w:vAlign w:val="center"/>
          </w:tcPr>
          <w:p w14:paraId="54A4032F" w14:textId="3D594FC8" w:rsidR="003E3705" w:rsidRPr="00BB7A86" w:rsidRDefault="003E3705"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4.0</w:t>
            </w:r>
          </w:p>
        </w:tc>
        <w:tc>
          <w:tcPr>
            <w:tcW w:w="0" w:type="auto"/>
            <w:tcBorders>
              <w:bottom w:val="dashSmallGap" w:sz="4" w:space="0" w:color="BFBFBF" w:themeColor="background1" w:themeShade="BF"/>
            </w:tcBorders>
            <w:vAlign w:val="center"/>
          </w:tcPr>
          <w:p w14:paraId="331B0BE0" w14:textId="250B3B3D" w:rsidR="003E3705" w:rsidRPr="00BB7A86" w:rsidRDefault="008070E1"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Pr>
                <w:rFonts w:cs="Helvetica"/>
                <w:color w:val="595959"/>
                <w:szCs w:val="20"/>
                <w:lang w:eastAsia="en-GB"/>
              </w:rPr>
              <w:t>3172</w:t>
            </w:r>
          </w:p>
        </w:tc>
        <w:tc>
          <w:tcPr>
            <w:tcW w:w="1064" w:type="dxa"/>
            <w:tcBorders>
              <w:bottom w:val="dashSmallGap" w:sz="4" w:space="0" w:color="BFBFBF" w:themeColor="background1" w:themeShade="BF"/>
            </w:tcBorders>
          </w:tcPr>
          <w:p w14:paraId="6A1FE5E2" w14:textId="4FB38EBC" w:rsidR="003E3705" w:rsidRPr="00BB7A86" w:rsidRDefault="003E3705"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Pr>
                <w:rFonts w:cs="Helvetica"/>
                <w:color w:val="595959"/>
                <w:szCs w:val="20"/>
                <w:lang w:eastAsia="en-GB"/>
              </w:rPr>
              <w:t>1.</w:t>
            </w:r>
            <w:r w:rsidR="008070E1">
              <w:rPr>
                <w:rFonts w:cs="Helvetica"/>
                <w:color w:val="595959"/>
                <w:szCs w:val="20"/>
                <w:lang w:eastAsia="en-GB"/>
              </w:rPr>
              <w:t>7</w:t>
            </w:r>
          </w:p>
        </w:tc>
        <w:tc>
          <w:tcPr>
            <w:tcW w:w="1064" w:type="dxa"/>
            <w:tcBorders>
              <w:bottom w:val="dashSmallGap" w:sz="4" w:space="0" w:color="BFBFBF" w:themeColor="background1" w:themeShade="BF"/>
              <w:right w:val="triple" w:sz="4" w:space="0" w:color="BFBFBF" w:themeColor="background1" w:themeShade="BF"/>
            </w:tcBorders>
            <w:vAlign w:val="center"/>
          </w:tcPr>
          <w:p w14:paraId="2FA35622" w14:textId="1CA9BDC8" w:rsidR="003E3705" w:rsidRPr="00BB7A86" w:rsidRDefault="008070E1" w:rsidP="00745F1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Pr>
                <w:rFonts w:cs="Helvetica"/>
                <w:color w:val="595959"/>
                <w:szCs w:val="20"/>
                <w:lang w:eastAsia="en-GB"/>
              </w:rPr>
              <w:t>801</w:t>
            </w:r>
          </w:p>
        </w:tc>
      </w:tr>
      <w:tr w:rsidR="00B63273" w:rsidRPr="00BB7A86" w14:paraId="3C44A2A7" w14:textId="77777777" w:rsidTr="003E3705">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141" w:type="dxa"/>
            <w:tcBorders>
              <w:bottom w:val="dashSmallGap" w:sz="4" w:space="0" w:color="BFBFBF" w:themeColor="background1" w:themeShade="BF"/>
            </w:tcBorders>
            <w:noWrap/>
            <w:vAlign w:val="center"/>
          </w:tcPr>
          <w:p w14:paraId="6F5D4C15" w14:textId="3020C73F" w:rsidR="003E3705" w:rsidRPr="00BB7A86" w:rsidRDefault="003E3705" w:rsidP="00CE6737">
            <w:pPr>
              <w:spacing w:after="0" w:line="312" w:lineRule="auto"/>
              <w:rPr>
                <w:rFonts w:cs="Helvetica"/>
                <w:color w:val="595959"/>
                <w:szCs w:val="20"/>
                <w:lang w:val="de-CH" w:eastAsia="en-GB"/>
              </w:rPr>
            </w:pPr>
            <w:r w:rsidRPr="00BB7A86">
              <w:rPr>
                <w:rFonts w:cs="Helvetica"/>
                <w:color w:val="595959"/>
                <w:szCs w:val="20"/>
                <w:lang w:val="de-CH" w:eastAsia="en-GB"/>
              </w:rPr>
              <w:t>...of which Canada</w:t>
            </w:r>
          </w:p>
        </w:tc>
        <w:tc>
          <w:tcPr>
            <w:tcW w:w="1561" w:type="dxa"/>
            <w:tcBorders>
              <w:bottom w:val="dashSmallGap" w:sz="4" w:space="0" w:color="BFBFBF" w:themeColor="background1" w:themeShade="BF"/>
            </w:tcBorders>
            <w:vAlign w:val="center"/>
          </w:tcPr>
          <w:p w14:paraId="693CAD39" w14:textId="748888E9"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w:t>
            </w:r>
          </w:p>
        </w:tc>
        <w:tc>
          <w:tcPr>
            <w:tcW w:w="0" w:type="auto"/>
            <w:tcBorders>
              <w:top w:val="nil"/>
              <w:left w:val="nil"/>
              <w:bottom w:val="single" w:sz="8" w:space="0" w:color="BFBFBF"/>
              <w:right w:val="single" w:sz="8" w:space="0" w:color="BFBFBF"/>
            </w:tcBorders>
            <w:shd w:val="clear" w:color="000000" w:fill="F2F2F2"/>
          </w:tcPr>
          <w:p w14:paraId="57CE5D9D" w14:textId="0F3E9205"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w:t>
            </w:r>
          </w:p>
        </w:tc>
        <w:tc>
          <w:tcPr>
            <w:tcW w:w="0" w:type="auto"/>
            <w:tcBorders>
              <w:bottom w:val="dashSmallGap" w:sz="4" w:space="0" w:color="BFBFBF" w:themeColor="background1" w:themeShade="BF"/>
              <w:right w:val="triple" w:sz="4" w:space="0" w:color="BFBFBF" w:themeColor="background1" w:themeShade="BF"/>
            </w:tcBorders>
            <w:vAlign w:val="center"/>
          </w:tcPr>
          <w:p w14:paraId="22EA3E2F" w14:textId="3D637E73"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val="de-CH" w:eastAsia="en-GB"/>
              </w:rPr>
            </w:pPr>
            <w:r w:rsidRPr="00BB7A86">
              <w:rPr>
                <w:rFonts w:cs="Helvetica"/>
                <w:color w:val="595959"/>
                <w:szCs w:val="20"/>
                <w:lang w:eastAsia="en-GB"/>
              </w:rPr>
              <w:t>-</w:t>
            </w:r>
          </w:p>
        </w:tc>
        <w:tc>
          <w:tcPr>
            <w:tcW w:w="0" w:type="auto"/>
            <w:tcBorders>
              <w:left w:val="triple" w:sz="4" w:space="0" w:color="BFBFBF" w:themeColor="background1" w:themeShade="BF"/>
              <w:bottom w:val="dashSmallGap" w:sz="4" w:space="0" w:color="BFBFBF" w:themeColor="background1" w:themeShade="BF"/>
            </w:tcBorders>
            <w:vAlign w:val="center"/>
          </w:tcPr>
          <w:p w14:paraId="0F604501" w14:textId="1D1A6A8C"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val="de-CH" w:eastAsia="en-GB"/>
              </w:rPr>
            </w:pPr>
            <w:r w:rsidRPr="00BB7A86">
              <w:rPr>
                <w:rFonts w:cs="Helvetica"/>
                <w:color w:val="595959"/>
                <w:szCs w:val="20"/>
                <w:lang w:val="de-CH" w:eastAsia="en-GB"/>
              </w:rPr>
              <w:t>-</w:t>
            </w:r>
          </w:p>
        </w:tc>
        <w:tc>
          <w:tcPr>
            <w:tcW w:w="0" w:type="auto"/>
            <w:tcBorders>
              <w:bottom w:val="dashSmallGap" w:sz="4" w:space="0" w:color="BFBFBF" w:themeColor="background1" w:themeShade="BF"/>
            </w:tcBorders>
            <w:vAlign w:val="center"/>
          </w:tcPr>
          <w:p w14:paraId="7B43E61E" w14:textId="3D2AEF58"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val="de-CH" w:eastAsia="en-GB"/>
              </w:rPr>
            </w:pPr>
            <w:r w:rsidRPr="00BB7A86">
              <w:rPr>
                <w:rFonts w:cs="Helvetica"/>
                <w:color w:val="595959"/>
                <w:szCs w:val="20"/>
                <w:lang w:val="de-CH" w:eastAsia="en-GB"/>
              </w:rPr>
              <w:t>-</w:t>
            </w:r>
          </w:p>
        </w:tc>
        <w:tc>
          <w:tcPr>
            <w:tcW w:w="0" w:type="auto"/>
            <w:tcBorders>
              <w:bottom w:val="dashSmallGap" w:sz="4" w:space="0" w:color="BFBFBF" w:themeColor="background1" w:themeShade="BF"/>
              <w:right w:val="triple" w:sz="4" w:space="0" w:color="BFBFBF" w:themeColor="background1" w:themeShade="BF"/>
            </w:tcBorders>
            <w:vAlign w:val="center"/>
          </w:tcPr>
          <w:p w14:paraId="76DFF3EC" w14:textId="53F4AD7F"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val="de-CH" w:eastAsia="en-GB"/>
              </w:rPr>
            </w:pPr>
            <w:r w:rsidRPr="00BB7A86">
              <w:rPr>
                <w:rFonts w:cs="Helvetica"/>
                <w:color w:val="595959"/>
                <w:szCs w:val="20"/>
                <w:lang w:val="de-CH" w:eastAsia="en-GB"/>
              </w:rPr>
              <w:t>-</w:t>
            </w:r>
          </w:p>
        </w:tc>
        <w:tc>
          <w:tcPr>
            <w:tcW w:w="0" w:type="auto"/>
            <w:tcBorders>
              <w:left w:val="triple" w:sz="4" w:space="0" w:color="BFBFBF" w:themeColor="background1" w:themeShade="BF"/>
              <w:bottom w:val="dashSmallGap" w:sz="4" w:space="0" w:color="BFBFBF" w:themeColor="background1" w:themeShade="BF"/>
            </w:tcBorders>
            <w:noWrap/>
            <w:vAlign w:val="center"/>
          </w:tcPr>
          <w:p w14:paraId="089D9BA6" w14:textId="74E965C9"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val="de-CH" w:eastAsia="en-GB"/>
              </w:rPr>
            </w:pPr>
            <w:r w:rsidRPr="00BB7A86">
              <w:rPr>
                <w:rFonts w:cs="Helvetica"/>
                <w:color w:val="595959"/>
                <w:szCs w:val="20"/>
                <w:lang w:val="de-CH" w:eastAsia="en-GB"/>
              </w:rPr>
              <w:t>2.9</w:t>
            </w:r>
          </w:p>
        </w:tc>
        <w:tc>
          <w:tcPr>
            <w:tcW w:w="0" w:type="auto"/>
            <w:tcBorders>
              <w:bottom w:val="dashSmallGap" w:sz="4" w:space="0" w:color="BFBFBF" w:themeColor="background1" w:themeShade="BF"/>
            </w:tcBorders>
            <w:vAlign w:val="center"/>
          </w:tcPr>
          <w:p w14:paraId="2168ECF9" w14:textId="2427C519" w:rsidR="003E3705" w:rsidRPr="00BB7A86" w:rsidRDefault="008070E1"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Pr>
                <w:rFonts w:cs="Helvetica"/>
                <w:color w:val="595959"/>
                <w:szCs w:val="20"/>
                <w:lang w:eastAsia="en-GB"/>
              </w:rPr>
              <w:t>1568</w:t>
            </w:r>
          </w:p>
        </w:tc>
        <w:tc>
          <w:tcPr>
            <w:tcW w:w="1064" w:type="dxa"/>
            <w:tcBorders>
              <w:bottom w:val="dashSmallGap" w:sz="4" w:space="0" w:color="BFBFBF" w:themeColor="background1" w:themeShade="BF"/>
            </w:tcBorders>
          </w:tcPr>
          <w:p w14:paraId="2F4CCB92" w14:textId="26DE6EAE"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Pr>
                <w:rFonts w:cs="Helvetica"/>
                <w:color w:val="595959"/>
                <w:szCs w:val="20"/>
                <w:lang w:eastAsia="en-GB"/>
              </w:rPr>
              <w:t>1.</w:t>
            </w:r>
            <w:r w:rsidR="008070E1">
              <w:rPr>
                <w:rFonts w:cs="Helvetica"/>
                <w:color w:val="595959"/>
                <w:szCs w:val="20"/>
                <w:lang w:eastAsia="en-GB"/>
              </w:rPr>
              <w:t>5</w:t>
            </w:r>
          </w:p>
        </w:tc>
        <w:tc>
          <w:tcPr>
            <w:tcW w:w="1064" w:type="dxa"/>
            <w:tcBorders>
              <w:bottom w:val="dashSmallGap" w:sz="4" w:space="0" w:color="BFBFBF" w:themeColor="background1" w:themeShade="BF"/>
              <w:right w:val="triple" w:sz="4" w:space="0" w:color="BFBFBF" w:themeColor="background1" w:themeShade="BF"/>
            </w:tcBorders>
            <w:vAlign w:val="center"/>
          </w:tcPr>
          <w:p w14:paraId="5157D2BD" w14:textId="7C768937" w:rsidR="003E3705" w:rsidRPr="00BB7A86" w:rsidRDefault="003E3705" w:rsidP="00745F1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Pr>
                <w:rFonts w:cs="Helvetica"/>
                <w:color w:val="595959"/>
                <w:szCs w:val="20"/>
                <w:lang w:eastAsia="en-GB"/>
              </w:rPr>
              <w:t>539</w:t>
            </w:r>
          </w:p>
        </w:tc>
      </w:tr>
      <w:tr w:rsidR="00B63273" w:rsidRPr="00BB7A86" w14:paraId="45048B74" w14:textId="33597F0D" w:rsidTr="003E3705">
        <w:trPr>
          <w:trHeight w:val="249"/>
        </w:trPr>
        <w:tc>
          <w:tcPr>
            <w:cnfStyle w:val="001000000000" w:firstRow="0" w:lastRow="0" w:firstColumn="1" w:lastColumn="0" w:oddVBand="0" w:evenVBand="0" w:oddHBand="0" w:evenHBand="0" w:firstRowFirstColumn="0" w:firstRowLastColumn="0" w:lastRowFirstColumn="0" w:lastRowLastColumn="0"/>
            <w:tcW w:w="3141" w:type="dxa"/>
            <w:noWrap/>
            <w:vAlign w:val="center"/>
            <w:hideMark/>
          </w:tcPr>
          <w:p w14:paraId="0A22F0BE" w14:textId="24B9BE2B" w:rsidR="003E3705" w:rsidRPr="00BB7A86" w:rsidRDefault="003E3705" w:rsidP="00CE6737">
            <w:pPr>
              <w:spacing w:after="0" w:line="312" w:lineRule="auto"/>
              <w:rPr>
                <w:rFonts w:cs="Helvetica"/>
                <w:color w:val="595959"/>
                <w:szCs w:val="20"/>
                <w:lang w:eastAsia="en-GB"/>
              </w:rPr>
            </w:pPr>
            <w:r w:rsidRPr="00BB7A86">
              <w:rPr>
                <w:rFonts w:cs="Helvetica"/>
                <w:color w:val="595959"/>
                <w:szCs w:val="20"/>
                <w:lang w:val="de-CH" w:eastAsia="en-GB"/>
              </w:rPr>
              <w:t>Oceania</w:t>
            </w:r>
          </w:p>
        </w:tc>
        <w:tc>
          <w:tcPr>
            <w:tcW w:w="1561" w:type="dxa"/>
            <w:vAlign w:val="center"/>
            <w:hideMark/>
          </w:tcPr>
          <w:p w14:paraId="797A5587" w14:textId="0327CE66" w:rsidR="003E3705" w:rsidRPr="00BB7A86" w:rsidRDefault="003E3705"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val="de-CH" w:eastAsia="en-GB"/>
              </w:rPr>
              <w:t>10</w:t>
            </w:r>
            <w:r w:rsidR="00031507">
              <w:rPr>
                <w:rFonts w:cs="Helvetica"/>
                <w:color w:val="595959"/>
                <w:szCs w:val="20"/>
                <w:lang w:val="de-CH" w:eastAsia="en-GB"/>
              </w:rPr>
              <w:t>6</w:t>
            </w:r>
          </w:p>
        </w:tc>
        <w:tc>
          <w:tcPr>
            <w:tcW w:w="0" w:type="auto"/>
            <w:tcBorders>
              <w:top w:val="nil"/>
              <w:left w:val="nil"/>
              <w:bottom w:val="single" w:sz="8" w:space="0" w:color="BFBFBF"/>
              <w:right w:val="single" w:sz="8" w:space="0" w:color="BFBFBF"/>
            </w:tcBorders>
            <w:shd w:val="clear" w:color="auto" w:fill="FFFFFF" w:themeFill="background1"/>
            <w:vAlign w:val="center"/>
            <w:hideMark/>
          </w:tcPr>
          <w:p w14:paraId="65301832" w14:textId="030DF852" w:rsidR="003E3705" w:rsidRPr="00BB7A86" w:rsidRDefault="00031507"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val="de-CH" w:eastAsia="en-GB"/>
              </w:rPr>
            </w:pPr>
            <w:r>
              <w:rPr>
                <w:rFonts w:cs="Helvetica"/>
                <w:color w:val="595959"/>
                <w:szCs w:val="20"/>
                <w:lang w:val="de-CH" w:eastAsia="en-GB"/>
              </w:rPr>
              <w:t>5</w:t>
            </w:r>
            <w:r w:rsidR="003E3705" w:rsidRPr="00BB7A86">
              <w:rPr>
                <w:rFonts w:cs="Helvetica"/>
                <w:color w:val="595959"/>
                <w:szCs w:val="20"/>
                <w:lang w:val="de-CH" w:eastAsia="en-GB"/>
              </w:rPr>
              <w:t>9</w:t>
            </w:r>
          </w:p>
        </w:tc>
        <w:tc>
          <w:tcPr>
            <w:tcW w:w="0" w:type="auto"/>
            <w:tcBorders>
              <w:right w:val="triple" w:sz="4" w:space="0" w:color="BFBFBF" w:themeColor="background1" w:themeShade="BF"/>
            </w:tcBorders>
            <w:vAlign w:val="center"/>
            <w:hideMark/>
          </w:tcPr>
          <w:p w14:paraId="011D359F" w14:textId="7CA220AE" w:rsidR="003E3705" w:rsidRPr="00BB7A86" w:rsidRDefault="00031507"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val="de-CH" w:eastAsia="en-GB"/>
              </w:rPr>
            </w:pPr>
            <w:r>
              <w:rPr>
                <w:rFonts w:cs="Helvetica"/>
                <w:color w:val="595959"/>
                <w:szCs w:val="20"/>
                <w:lang w:val="de-CH" w:eastAsia="en-GB"/>
              </w:rPr>
              <w:t>0.56</w:t>
            </w:r>
          </w:p>
        </w:tc>
        <w:tc>
          <w:tcPr>
            <w:tcW w:w="0" w:type="auto"/>
            <w:tcBorders>
              <w:left w:val="triple" w:sz="4" w:space="0" w:color="BFBFBF" w:themeColor="background1" w:themeShade="BF"/>
            </w:tcBorders>
            <w:vAlign w:val="center"/>
            <w:hideMark/>
          </w:tcPr>
          <w:p w14:paraId="589EC71D" w14:textId="696D8047" w:rsidR="003E3705" w:rsidRPr="00BB7A86" w:rsidRDefault="003E3705"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val="de-CH" w:eastAsia="en-GB"/>
              </w:rPr>
              <w:t>20</w:t>
            </w:r>
          </w:p>
        </w:tc>
        <w:tc>
          <w:tcPr>
            <w:tcW w:w="0" w:type="auto"/>
            <w:vAlign w:val="center"/>
            <w:hideMark/>
          </w:tcPr>
          <w:p w14:paraId="5E497FC6" w14:textId="5DD49A37" w:rsidR="003E3705" w:rsidRPr="00BB7A86" w:rsidRDefault="008070E1"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val="de-CH" w:eastAsia="en-GB"/>
              </w:rPr>
            </w:pPr>
            <w:r>
              <w:rPr>
                <w:rFonts w:cs="Helvetica"/>
                <w:color w:val="595959"/>
                <w:szCs w:val="20"/>
                <w:lang w:val="de-CH" w:eastAsia="en-GB"/>
              </w:rPr>
              <w:t>725</w:t>
            </w:r>
          </w:p>
        </w:tc>
        <w:tc>
          <w:tcPr>
            <w:tcW w:w="0" w:type="auto"/>
            <w:tcBorders>
              <w:right w:val="triple" w:sz="4" w:space="0" w:color="BFBFBF" w:themeColor="background1" w:themeShade="BF"/>
            </w:tcBorders>
            <w:vAlign w:val="center"/>
            <w:hideMark/>
          </w:tcPr>
          <w:p w14:paraId="44B7A4DF" w14:textId="42C07C56" w:rsidR="003E3705" w:rsidRPr="00BB7A86" w:rsidRDefault="008070E1"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val="de-CH" w:eastAsia="en-GB"/>
              </w:rPr>
            </w:pPr>
            <w:r>
              <w:rPr>
                <w:rFonts w:cs="Helvetica"/>
                <w:color w:val="595959"/>
                <w:szCs w:val="20"/>
                <w:lang w:val="de-CH" w:eastAsia="en-GB"/>
              </w:rPr>
              <w:t>36.3</w:t>
            </w:r>
          </w:p>
        </w:tc>
        <w:tc>
          <w:tcPr>
            <w:tcW w:w="0" w:type="auto"/>
            <w:tcBorders>
              <w:left w:val="triple" w:sz="4" w:space="0" w:color="BFBFBF" w:themeColor="background1" w:themeShade="BF"/>
            </w:tcBorders>
            <w:noWrap/>
            <w:vAlign w:val="center"/>
          </w:tcPr>
          <w:p w14:paraId="543CE5F6" w14:textId="70422A1A" w:rsidR="003E3705" w:rsidRPr="00BB7A86" w:rsidRDefault="003E3705"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1.9</w:t>
            </w:r>
          </w:p>
        </w:tc>
        <w:tc>
          <w:tcPr>
            <w:tcW w:w="0" w:type="auto"/>
            <w:vAlign w:val="center"/>
          </w:tcPr>
          <w:p w14:paraId="3F4EFE3C" w14:textId="31858459" w:rsidR="003E3705" w:rsidRPr="00BB7A86" w:rsidRDefault="008070E1"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Pr>
                <w:rFonts w:cs="Helvetica"/>
                <w:color w:val="595959"/>
                <w:szCs w:val="20"/>
                <w:lang w:eastAsia="en-GB"/>
              </w:rPr>
              <w:t>6671</w:t>
            </w:r>
          </w:p>
        </w:tc>
        <w:tc>
          <w:tcPr>
            <w:tcW w:w="1064" w:type="dxa"/>
          </w:tcPr>
          <w:p w14:paraId="70B3FC7F" w14:textId="1DE2E97E" w:rsidR="003E3705" w:rsidRPr="00BB7A86" w:rsidRDefault="008070E1"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Pr>
                <w:rFonts w:cs="Helvetica"/>
                <w:color w:val="595959"/>
                <w:szCs w:val="20"/>
                <w:lang w:eastAsia="en-GB"/>
              </w:rPr>
              <w:t>1.7</w:t>
            </w:r>
          </w:p>
        </w:tc>
        <w:tc>
          <w:tcPr>
            <w:tcW w:w="1064" w:type="dxa"/>
            <w:tcBorders>
              <w:right w:val="triple" w:sz="4" w:space="0" w:color="BFBFBF" w:themeColor="background1" w:themeShade="BF"/>
            </w:tcBorders>
            <w:vAlign w:val="center"/>
          </w:tcPr>
          <w:p w14:paraId="547C24E7" w14:textId="5E40FBA7" w:rsidR="003E3705" w:rsidRPr="00BB7A86" w:rsidRDefault="008070E1" w:rsidP="00745F1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Pr>
                <w:rFonts w:cs="Helvetica"/>
                <w:color w:val="595959"/>
                <w:szCs w:val="20"/>
                <w:lang w:eastAsia="en-GB"/>
              </w:rPr>
              <w:t>3469</w:t>
            </w:r>
          </w:p>
        </w:tc>
      </w:tr>
      <w:tr w:rsidR="00B63273" w:rsidRPr="00BB7A86" w14:paraId="4853D5D6" w14:textId="468D3C17" w:rsidTr="003E3705">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141" w:type="dxa"/>
            <w:noWrap/>
            <w:vAlign w:val="center"/>
            <w:hideMark/>
          </w:tcPr>
          <w:p w14:paraId="5A66B090" w14:textId="7AF1989B" w:rsidR="003E3705" w:rsidRPr="00BB7A86" w:rsidRDefault="003E3705" w:rsidP="00CE6737">
            <w:pPr>
              <w:spacing w:after="0" w:line="312" w:lineRule="auto"/>
              <w:rPr>
                <w:rFonts w:cs="Helvetica"/>
                <w:color w:val="595959"/>
                <w:szCs w:val="20"/>
                <w:lang w:eastAsia="en-GB"/>
              </w:rPr>
            </w:pPr>
            <w:r w:rsidRPr="00BB7A86">
              <w:rPr>
                <w:rFonts w:cs="Helvetica"/>
                <w:color w:val="595959"/>
                <w:szCs w:val="20"/>
                <w:lang w:val="de-CH" w:eastAsia="en-GB"/>
              </w:rPr>
              <w:t>Russia and Other Europe</w:t>
            </w:r>
          </w:p>
        </w:tc>
        <w:tc>
          <w:tcPr>
            <w:tcW w:w="1561" w:type="dxa"/>
            <w:vAlign w:val="center"/>
            <w:hideMark/>
          </w:tcPr>
          <w:p w14:paraId="309072D5" w14:textId="643781D9"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6</w:t>
            </w:r>
          </w:p>
        </w:tc>
        <w:tc>
          <w:tcPr>
            <w:tcW w:w="0" w:type="auto"/>
            <w:tcBorders>
              <w:top w:val="nil"/>
              <w:left w:val="nil"/>
              <w:bottom w:val="single" w:sz="8" w:space="0" w:color="BFBFBF"/>
              <w:right w:val="single" w:sz="8" w:space="0" w:color="BFBFBF"/>
            </w:tcBorders>
            <w:shd w:val="clear" w:color="000000" w:fill="F2F2F2"/>
            <w:vAlign w:val="center"/>
            <w:hideMark/>
          </w:tcPr>
          <w:p w14:paraId="30922C26" w14:textId="67DF76D5" w:rsidR="003E3705" w:rsidRPr="00BB7A86" w:rsidRDefault="00031507"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val="de-CH" w:eastAsia="en-GB"/>
              </w:rPr>
            </w:pPr>
            <w:r>
              <w:rPr>
                <w:rFonts w:cs="Helvetica"/>
                <w:color w:val="595959"/>
                <w:szCs w:val="20"/>
                <w:lang w:eastAsia="en-GB"/>
              </w:rPr>
              <w:t>6</w:t>
            </w:r>
          </w:p>
        </w:tc>
        <w:tc>
          <w:tcPr>
            <w:tcW w:w="0" w:type="auto"/>
            <w:tcBorders>
              <w:right w:val="triple" w:sz="4" w:space="0" w:color="BFBFBF" w:themeColor="background1" w:themeShade="BF"/>
            </w:tcBorders>
            <w:vAlign w:val="center"/>
            <w:hideMark/>
          </w:tcPr>
          <w:p w14:paraId="72B46E51" w14:textId="5C3895C3" w:rsidR="003E3705" w:rsidRPr="00BB7A86" w:rsidRDefault="00031507"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val="de-CH" w:eastAsia="en-GB"/>
              </w:rPr>
            </w:pPr>
            <w:r>
              <w:rPr>
                <w:rFonts w:cs="Helvetica"/>
                <w:color w:val="595959"/>
                <w:szCs w:val="20"/>
                <w:lang w:eastAsia="en-GB"/>
              </w:rPr>
              <w:t>1.07</w:t>
            </w:r>
          </w:p>
        </w:tc>
        <w:tc>
          <w:tcPr>
            <w:tcW w:w="0" w:type="auto"/>
            <w:tcBorders>
              <w:left w:val="triple" w:sz="4" w:space="0" w:color="BFBFBF" w:themeColor="background1" w:themeShade="BF"/>
            </w:tcBorders>
            <w:vAlign w:val="center"/>
            <w:hideMark/>
          </w:tcPr>
          <w:p w14:paraId="0EF90254" w14:textId="09DC9F7C" w:rsidR="003E3705" w:rsidRPr="00BB7A86" w:rsidRDefault="008070E1"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Pr>
                <w:rFonts w:cs="Helvetica"/>
                <w:color w:val="595959"/>
                <w:szCs w:val="20"/>
                <w:lang w:val="de-CH" w:eastAsia="en-GB"/>
              </w:rPr>
              <w:t>4</w:t>
            </w:r>
          </w:p>
        </w:tc>
        <w:tc>
          <w:tcPr>
            <w:tcW w:w="0" w:type="auto"/>
            <w:vAlign w:val="center"/>
            <w:hideMark/>
          </w:tcPr>
          <w:p w14:paraId="01DB0F62" w14:textId="37881984"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val="de-CH" w:eastAsia="en-GB"/>
              </w:rPr>
            </w:pPr>
            <w:r w:rsidRPr="00BB7A86">
              <w:rPr>
                <w:rFonts w:cs="Helvetica"/>
                <w:color w:val="595959"/>
                <w:szCs w:val="20"/>
                <w:lang w:val="de-CH" w:eastAsia="en-GB"/>
              </w:rPr>
              <w:t>1</w:t>
            </w:r>
            <w:r w:rsidR="008070E1">
              <w:rPr>
                <w:rFonts w:cs="Helvetica"/>
                <w:color w:val="595959"/>
                <w:szCs w:val="20"/>
                <w:lang w:val="de-CH" w:eastAsia="en-GB"/>
              </w:rPr>
              <w:t>36</w:t>
            </w:r>
          </w:p>
        </w:tc>
        <w:tc>
          <w:tcPr>
            <w:tcW w:w="0" w:type="auto"/>
            <w:tcBorders>
              <w:right w:val="triple" w:sz="4" w:space="0" w:color="BFBFBF" w:themeColor="background1" w:themeShade="BF"/>
            </w:tcBorders>
            <w:vAlign w:val="center"/>
            <w:hideMark/>
          </w:tcPr>
          <w:p w14:paraId="4BE9E54A" w14:textId="33EDF3D2" w:rsidR="003E3705" w:rsidRPr="00BB7A86" w:rsidRDefault="008070E1"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val="de-CH" w:eastAsia="en-GB"/>
              </w:rPr>
            </w:pPr>
            <w:r>
              <w:rPr>
                <w:rFonts w:cs="Helvetica"/>
                <w:color w:val="595959"/>
                <w:szCs w:val="20"/>
                <w:lang w:val="de-CH" w:eastAsia="en-GB"/>
              </w:rPr>
              <w:t>30.5</w:t>
            </w:r>
          </w:p>
        </w:tc>
        <w:tc>
          <w:tcPr>
            <w:tcW w:w="0" w:type="auto"/>
            <w:tcBorders>
              <w:left w:val="triple" w:sz="4" w:space="0" w:color="BFBFBF" w:themeColor="background1" w:themeShade="BF"/>
            </w:tcBorders>
            <w:noWrap/>
            <w:vAlign w:val="center"/>
          </w:tcPr>
          <w:p w14:paraId="670E14AF" w14:textId="0D80B3FF"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4.4</w:t>
            </w:r>
          </w:p>
        </w:tc>
        <w:tc>
          <w:tcPr>
            <w:tcW w:w="0" w:type="auto"/>
            <w:vAlign w:val="center"/>
          </w:tcPr>
          <w:p w14:paraId="223C7563" w14:textId="48D792D8" w:rsidR="003E3705" w:rsidRPr="00BB7A86" w:rsidRDefault="008070E1"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Pr>
                <w:rFonts w:cs="Helvetica"/>
                <w:color w:val="595959"/>
                <w:szCs w:val="20"/>
                <w:lang w:eastAsia="en-GB"/>
              </w:rPr>
              <w:t>2284</w:t>
            </w:r>
          </w:p>
        </w:tc>
        <w:tc>
          <w:tcPr>
            <w:tcW w:w="1064" w:type="dxa"/>
          </w:tcPr>
          <w:p w14:paraId="3BCC9A05" w14:textId="31F548B7" w:rsidR="003E3705" w:rsidRPr="00BB7A86" w:rsidRDefault="008070E1"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Pr>
                <w:rFonts w:cs="Helvetica"/>
                <w:color w:val="595959"/>
                <w:szCs w:val="20"/>
                <w:lang w:eastAsia="en-GB"/>
              </w:rPr>
              <w:t>11.9</w:t>
            </w:r>
          </w:p>
        </w:tc>
        <w:tc>
          <w:tcPr>
            <w:tcW w:w="1064" w:type="dxa"/>
            <w:tcBorders>
              <w:right w:val="triple" w:sz="4" w:space="0" w:color="BFBFBF" w:themeColor="background1" w:themeShade="BF"/>
            </w:tcBorders>
            <w:vAlign w:val="center"/>
          </w:tcPr>
          <w:p w14:paraId="04701B74" w14:textId="42990417" w:rsidR="003E3705" w:rsidRPr="00BB7A86" w:rsidRDefault="008070E1" w:rsidP="00745F1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20"/>
                <w:lang w:eastAsia="en-GB"/>
              </w:rPr>
            </w:pPr>
            <w:r>
              <w:rPr>
                <w:rFonts w:cs="Helvetica"/>
                <w:color w:val="595959"/>
                <w:szCs w:val="20"/>
                <w:lang w:eastAsia="en-GB"/>
              </w:rPr>
              <w:t>505</w:t>
            </w:r>
          </w:p>
        </w:tc>
      </w:tr>
      <w:tr w:rsidR="00B63273" w:rsidRPr="00BB7A86" w14:paraId="4FBC16F5" w14:textId="46F9E48C" w:rsidTr="003E3705">
        <w:trPr>
          <w:trHeight w:val="249"/>
        </w:trPr>
        <w:tc>
          <w:tcPr>
            <w:cnfStyle w:val="001000000000" w:firstRow="0" w:lastRow="0" w:firstColumn="1" w:lastColumn="0" w:oddVBand="0" w:evenVBand="0" w:oddHBand="0" w:evenHBand="0" w:firstRowFirstColumn="0" w:firstRowLastColumn="0" w:lastRowFirstColumn="0" w:lastRowLastColumn="0"/>
            <w:tcW w:w="3141" w:type="dxa"/>
            <w:tcBorders>
              <w:bottom w:val="single" w:sz="24" w:space="0" w:color="BFBFBF" w:themeColor="background1" w:themeShade="BF"/>
            </w:tcBorders>
            <w:noWrap/>
            <w:vAlign w:val="center"/>
            <w:hideMark/>
          </w:tcPr>
          <w:p w14:paraId="533F44B7" w14:textId="4031A437" w:rsidR="003E3705" w:rsidRPr="00BB7A86" w:rsidRDefault="003E3705" w:rsidP="00CE6737">
            <w:pPr>
              <w:spacing w:after="0" w:line="312" w:lineRule="auto"/>
              <w:rPr>
                <w:rFonts w:cs="Helvetica"/>
                <w:color w:val="595959"/>
                <w:szCs w:val="20"/>
                <w:lang w:eastAsia="en-GB"/>
              </w:rPr>
            </w:pPr>
            <w:r w:rsidRPr="00BB7A86">
              <w:rPr>
                <w:rFonts w:cs="Helvetica"/>
                <w:color w:val="595959"/>
                <w:szCs w:val="20"/>
                <w:lang w:val="de-CH" w:eastAsia="en-GB"/>
              </w:rPr>
              <w:t>South America</w:t>
            </w:r>
          </w:p>
        </w:tc>
        <w:tc>
          <w:tcPr>
            <w:tcW w:w="1561" w:type="dxa"/>
            <w:tcBorders>
              <w:bottom w:val="single" w:sz="24" w:space="0" w:color="BFBFBF" w:themeColor="background1" w:themeShade="BF"/>
            </w:tcBorders>
            <w:vAlign w:val="center"/>
            <w:hideMark/>
          </w:tcPr>
          <w:p w14:paraId="3D3BEF61" w14:textId="6D5D4CFA" w:rsidR="003E3705" w:rsidRPr="00BB7A86" w:rsidRDefault="003E3705"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val="de-CH" w:eastAsia="en-GB"/>
              </w:rPr>
              <w:t>43</w:t>
            </w:r>
          </w:p>
        </w:tc>
        <w:tc>
          <w:tcPr>
            <w:tcW w:w="0" w:type="auto"/>
            <w:tcBorders>
              <w:top w:val="single" w:sz="8" w:space="0" w:color="BFBFBF"/>
              <w:left w:val="nil"/>
              <w:bottom w:val="single" w:sz="24" w:space="0" w:color="BFBFBF" w:themeColor="background1" w:themeShade="BF"/>
              <w:right w:val="single" w:sz="8" w:space="0" w:color="BFBFBF"/>
            </w:tcBorders>
            <w:shd w:val="clear" w:color="auto" w:fill="FFFFFF" w:themeFill="background1"/>
            <w:vAlign w:val="center"/>
            <w:hideMark/>
          </w:tcPr>
          <w:p w14:paraId="3F5B4058" w14:textId="4411DC76" w:rsidR="003E3705" w:rsidRPr="00BB7A86" w:rsidRDefault="003E3705"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val="de-CH" w:eastAsia="en-GB"/>
              </w:rPr>
            </w:pPr>
            <w:r w:rsidRPr="00BB7A86">
              <w:rPr>
                <w:rFonts w:cs="Helvetica"/>
                <w:color w:val="595959"/>
                <w:szCs w:val="20"/>
                <w:lang w:val="de-CH" w:eastAsia="en-GB"/>
              </w:rPr>
              <w:t>13</w:t>
            </w:r>
          </w:p>
        </w:tc>
        <w:tc>
          <w:tcPr>
            <w:tcW w:w="0" w:type="auto"/>
            <w:tcBorders>
              <w:bottom w:val="single" w:sz="24" w:space="0" w:color="BFBFBF" w:themeColor="background1" w:themeShade="BF"/>
              <w:right w:val="triple" w:sz="4" w:space="0" w:color="BFBFBF" w:themeColor="background1" w:themeShade="BF"/>
            </w:tcBorders>
            <w:vAlign w:val="center"/>
            <w:hideMark/>
          </w:tcPr>
          <w:p w14:paraId="2AC03D39" w14:textId="049BF823" w:rsidR="003E3705" w:rsidRPr="00BB7A86" w:rsidRDefault="003E3705"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val="de-CH" w:eastAsia="en-GB"/>
              </w:rPr>
            </w:pPr>
            <w:r w:rsidRPr="00BB7A86">
              <w:rPr>
                <w:rFonts w:cs="Helvetica"/>
                <w:color w:val="595959"/>
                <w:szCs w:val="20"/>
                <w:lang w:val="de-CH" w:eastAsia="en-GB"/>
              </w:rPr>
              <w:t>0.</w:t>
            </w:r>
            <w:r w:rsidR="00031507">
              <w:rPr>
                <w:rFonts w:cs="Helvetica"/>
                <w:color w:val="595959"/>
                <w:szCs w:val="20"/>
                <w:lang w:val="de-CH" w:eastAsia="en-GB"/>
              </w:rPr>
              <w:t>30</w:t>
            </w:r>
          </w:p>
        </w:tc>
        <w:tc>
          <w:tcPr>
            <w:tcW w:w="0" w:type="auto"/>
            <w:tcBorders>
              <w:left w:val="triple" w:sz="4" w:space="0" w:color="BFBFBF" w:themeColor="background1" w:themeShade="BF"/>
              <w:bottom w:val="single" w:sz="24" w:space="0" w:color="BFBFBF" w:themeColor="background1" w:themeShade="BF"/>
            </w:tcBorders>
            <w:vAlign w:val="center"/>
            <w:hideMark/>
          </w:tcPr>
          <w:p w14:paraId="2BF97199" w14:textId="51AC9D15" w:rsidR="003E3705" w:rsidRPr="00BB7A86" w:rsidRDefault="003E3705"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val="de-CH" w:eastAsia="en-GB"/>
              </w:rPr>
              <w:t>10</w:t>
            </w:r>
          </w:p>
        </w:tc>
        <w:tc>
          <w:tcPr>
            <w:tcW w:w="0" w:type="auto"/>
            <w:tcBorders>
              <w:bottom w:val="single" w:sz="24" w:space="0" w:color="BFBFBF" w:themeColor="background1" w:themeShade="BF"/>
            </w:tcBorders>
            <w:vAlign w:val="center"/>
            <w:hideMark/>
          </w:tcPr>
          <w:p w14:paraId="1B87D5C6" w14:textId="1F4E4408" w:rsidR="003E3705" w:rsidRPr="00BB7A86" w:rsidRDefault="003E3705"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val="de-CH" w:eastAsia="en-GB"/>
              </w:rPr>
            </w:pPr>
            <w:r w:rsidRPr="00BB7A86">
              <w:rPr>
                <w:rFonts w:cs="Helvetica"/>
                <w:color w:val="595959"/>
                <w:szCs w:val="20"/>
                <w:lang w:val="de-CH" w:eastAsia="en-GB"/>
              </w:rPr>
              <w:t>1</w:t>
            </w:r>
            <w:r w:rsidR="008070E1">
              <w:rPr>
                <w:rFonts w:cs="Helvetica"/>
                <w:color w:val="595959"/>
                <w:szCs w:val="20"/>
                <w:lang w:val="de-CH" w:eastAsia="en-GB"/>
              </w:rPr>
              <w:t>71</w:t>
            </w:r>
          </w:p>
        </w:tc>
        <w:tc>
          <w:tcPr>
            <w:tcW w:w="0" w:type="auto"/>
            <w:tcBorders>
              <w:bottom w:val="single" w:sz="24" w:space="0" w:color="BFBFBF" w:themeColor="background1" w:themeShade="BF"/>
              <w:right w:val="triple" w:sz="4" w:space="0" w:color="BFBFBF" w:themeColor="background1" w:themeShade="BF"/>
            </w:tcBorders>
            <w:vAlign w:val="center"/>
            <w:hideMark/>
          </w:tcPr>
          <w:p w14:paraId="4520C294" w14:textId="32A1A1DE" w:rsidR="003E3705" w:rsidRPr="00BB7A86" w:rsidRDefault="008070E1"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val="de-CH" w:eastAsia="en-GB"/>
              </w:rPr>
            </w:pPr>
            <w:r>
              <w:rPr>
                <w:rFonts w:cs="Helvetica"/>
                <w:color w:val="595959"/>
                <w:szCs w:val="20"/>
                <w:lang w:val="de-CH" w:eastAsia="en-GB"/>
              </w:rPr>
              <w:t>17.0</w:t>
            </w:r>
          </w:p>
        </w:tc>
        <w:tc>
          <w:tcPr>
            <w:tcW w:w="0" w:type="auto"/>
            <w:tcBorders>
              <w:left w:val="triple" w:sz="4" w:space="0" w:color="BFBFBF" w:themeColor="background1" w:themeShade="BF"/>
              <w:bottom w:val="single" w:sz="24" w:space="0" w:color="BFBFBF" w:themeColor="background1" w:themeShade="BF"/>
            </w:tcBorders>
            <w:noWrap/>
            <w:vAlign w:val="center"/>
          </w:tcPr>
          <w:p w14:paraId="14D583B5" w14:textId="53790B7E" w:rsidR="003E3705" w:rsidRPr="00BB7A86" w:rsidRDefault="003E3705"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sidRPr="00BB7A86">
              <w:rPr>
                <w:rFonts w:cs="Helvetica"/>
                <w:color w:val="595959"/>
                <w:szCs w:val="20"/>
                <w:lang w:eastAsia="en-GB"/>
              </w:rPr>
              <w:t>1.1</w:t>
            </w:r>
          </w:p>
        </w:tc>
        <w:tc>
          <w:tcPr>
            <w:tcW w:w="0" w:type="auto"/>
            <w:tcBorders>
              <w:bottom w:val="single" w:sz="24" w:space="0" w:color="BFBFBF" w:themeColor="background1" w:themeShade="BF"/>
            </w:tcBorders>
            <w:vAlign w:val="center"/>
          </w:tcPr>
          <w:p w14:paraId="5E2A655C" w14:textId="2718151E" w:rsidR="003E3705" w:rsidRPr="00BB7A86" w:rsidRDefault="008070E1"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Pr>
                <w:rFonts w:cs="Helvetica"/>
                <w:color w:val="595959"/>
                <w:szCs w:val="20"/>
                <w:lang w:eastAsia="en-GB"/>
              </w:rPr>
              <w:t>222</w:t>
            </w:r>
          </w:p>
        </w:tc>
        <w:tc>
          <w:tcPr>
            <w:tcW w:w="1064" w:type="dxa"/>
            <w:tcBorders>
              <w:bottom w:val="single" w:sz="24" w:space="0" w:color="BFBFBF" w:themeColor="background1" w:themeShade="BF"/>
            </w:tcBorders>
          </w:tcPr>
          <w:p w14:paraId="4584149C" w14:textId="23AB0786" w:rsidR="003E3705" w:rsidRPr="00BB7A86" w:rsidRDefault="003E3705" w:rsidP="00CE673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Pr>
                <w:rFonts w:cs="Helvetica"/>
                <w:color w:val="595959"/>
                <w:szCs w:val="20"/>
                <w:lang w:eastAsia="en-GB"/>
              </w:rPr>
              <w:t>52.8</w:t>
            </w:r>
          </w:p>
        </w:tc>
        <w:tc>
          <w:tcPr>
            <w:tcW w:w="1064" w:type="dxa"/>
            <w:tcBorders>
              <w:bottom w:val="single" w:sz="24" w:space="0" w:color="BFBFBF" w:themeColor="background1" w:themeShade="BF"/>
              <w:right w:val="triple" w:sz="4" w:space="0" w:color="BFBFBF" w:themeColor="background1" w:themeShade="BF"/>
            </w:tcBorders>
          </w:tcPr>
          <w:p w14:paraId="1B7F5384" w14:textId="5D1D848D" w:rsidR="003E3705" w:rsidRPr="00BB7A86" w:rsidRDefault="008070E1" w:rsidP="00745F1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20"/>
                <w:lang w:eastAsia="en-GB"/>
              </w:rPr>
            </w:pPr>
            <w:r>
              <w:rPr>
                <w:rFonts w:cs="Helvetica"/>
                <w:color w:val="595959"/>
                <w:szCs w:val="20"/>
                <w:lang w:eastAsia="en-GB"/>
              </w:rPr>
              <w:t>150</w:t>
            </w:r>
          </w:p>
        </w:tc>
      </w:tr>
      <w:tr w:rsidR="00B63273" w:rsidRPr="00BB7A86" w14:paraId="7B1C4918" w14:textId="4E803790" w:rsidTr="003E3705">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141" w:type="dxa"/>
            <w:tcBorders>
              <w:top w:val="single" w:sz="24" w:space="0" w:color="BFBFBF" w:themeColor="background1" w:themeShade="BF"/>
            </w:tcBorders>
            <w:noWrap/>
            <w:vAlign w:val="center"/>
            <w:hideMark/>
          </w:tcPr>
          <w:p w14:paraId="7DC98493" w14:textId="77777777" w:rsidR="003E3705" w:rsidRPr="00BB7A86" w:rsidRDefault="003E3705" w:rsidP="00CE6737">
            <w:pPr>
              <w:spacing w:after="0" w:line="312" w:lineRule="auto"/>
              <w:jc w:val="center"/>
              <w:rPr>
                <w:rFonts w:cs="Helvetica"/>
                <w:b w:val="0"/>
                <w:bCs w:val="0"/>
                <w:color w:val="595959"/>
                <w:szCs w:val="20"/>
                <w:lang w:eastAsia="en-GB"/>
              </w:rPr>
            </w:pPr>
            <w:r w:rsidRPr="00BB7A86">
              <w:rPr>
                <w:rFonts w:cs="Helvetica"/>
                <w:color w:val="595959"/>
                <w:szCs w:val="20"/>
                <w:lang w:val="de-CH" w:eastAsia="en-GB"/>
              </w:rPr>
              <w:t>Global</w:t>
            </w:r>
          </w:p>
        </w:tc>
        <w:tc>
          <w:tcPr>
            <w:tcW w:w="1561" w:type="dxa"/>
            <w:tcBorders>
              <w:top w:val="single" w:sz="24" w:space="0" w:color="BFBFBF" w:themeColor="background1" w:themeShade="BF"/>
            </w:tcBorders>
            <w:vAlign w:val="center"/>
            <w:hideMark/>
          </w:tcPr>
          <w:p w14:paraId="36EFF7DC" w14:textId="2963F018"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bCs/>
                <w:color w:val="595959"/>
                <w:szCs w:val="20"/>
                <w:lang w:eastAsia="en-GB"/>
              </w:rPr>
            </w:pPr>
            <w:r w:rsidRPr="00BB7A86">
              <w:rPr>
                <w:rFonts w:cs="Helvetica"/>
                <w:b/>
                <w:bCs/>
                <w:color w:val="595959"/>
                <w:szCs w:val="20"/>
                <w:lang w:val="de-CH" w:eastAsia="en-GB"/>
              </w:rPr>
              <w:t>35</w:t>
            </w:r>
            <w:r w:rsidR="00031507">
              <w:rPr>
                <w:rFonts w:cs="Helvetica"/>
                <w:b/>
                <w:bCs/>
                <w:color w:val="595959"/>
                <w:szCs w:val="20"/>
                <w:lang w:val="de-CH" w:eastAsia="en-GB"/>
              </w:rPr>
              <w:t>8</w:t>
            </w:r>
          </w:p>
        </w:tc>
        <w:tc>
          <w:tcPr>
            <w:tcW w:w="0" w:type="auto"/>
            <w:tcBorders>
              <w:top w:val="single" w:sz="24" w:space="0" w:color="BFBFBF" w:themeColor="background1" w:themeShade="BF"/>
              <w:left w:val="nil"/>
              <w:bottom w:val="single" w:sz="4" w:space="0" w:color="BFBFBF"/>
              <w:right w:val="single" w:sz="8" w:space="0" w:color="BFBFBF"/>
            </w:tcBorders>
            <w:shd w:val="clear" w:color="000000" w:fill="F2F2F2"/>
            <w:vAlign w:val="center"/>
            <w:hideMark/>
          </w:tcPr>
          <w:p w14:paraId="2F048186" w14:textId="5F929E71"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bCs/>
                <w:color w:val="595959"/>
                <w:szCs w:val="20"/>
                <w:lang w:val="de-CH" w:eastAsia="en-GB"/>
              </w:rPr>
            </w:pPr>
            <w:r w:rsidRPr="00BB7A86">
              <w:rPr>
                <w:rFonts w:cs="Helvetica"/>
                <w:b/>
                <w:bCs/>
                <w:color w:val="595959"/>
                <w:szCs w:val="20"/>
                <w:lang w:val="de-CH" w:eastAsia="en-GB"/>
              </w:rPr>
              <w:t>2</w:t>
            </w:r>
            <w:r w:rsidR="00031507">
              <w:rPr>
                <w:rFonts w:cs="Helvetica"/>
                <w:b/>
                <w:bCs/>
                <w:color w:val="595959"/>
                <w:szCs w:val="20"/>
                <w:lang w:val="de-CH" w:eastAsia="en-GB"/>
              </w:rPr>
              <w:t>18</w:t>
            </w:r>
          </w:p>
        </w:tc>
        <w:tc>
          <w:tcPr>
            <w:tcW w:w="0" w:type="auto"/>
            <w:tcBorders>
              <w:top w:val="single" w:sz="24" w:space="0" w:color="BFBFBF" w:themeColor="background1" w:themeShade="BF"/>
              <w:right w:val="triple" w:sz="4" w:space="0" w:color="BFBFBF" w:themeColor="background1" w:themeShade="BF"/>
            </w:tcBorders>
            <w:vAlign w:val="center"/>
            <w:hideMark/>
          </w:tcPr>
          <w:p w14:paraId="5AE9B9E9" w14:textId="54B16201"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bCs/>
                <w:iCs/>
                <w:color w:val="595959"/>
                <w:szCs w:val="20"/>
                <w:lang w:eastAsia="en-GB"/>
              </w:rPr>
            </w:pPr>
            <w:r w:rsidRPr="00BB7A86">
              <w:rPr>
                <w:rFonts w:cs="Helvetica"/>
                <w:b/>
                <w:bCs/>
                <w:iCs/>
                <w:color w:val="595959"/>
                <w:szCs w:val="20"/>
                <w:lang w:val="de-CH" w:eastAsia="en-GB"/>
              </w:rPr>
              <w:t>0.</w:t>
            </w:r>
            <w:r w:rsidR="00031507">
              <w:rPr>
                <w:rFonts w:cs="Helvetica"/>
                <w:b/>
                <w:bCs/>
                <w:iCs/>
                <w:color w:val="595959"/>
                <w:szCs w:val="20"/>
                <w:lang w:val="de-CH" w:eastAsia="en-GB"/>
              </w:rPr>
              <w:t>61</w:t>
            </w:r>
          </w:p>
        </w:tc>
        <w:tc>
          <w:tcPr>
            <w:tcW w:w="0" w:type="auto"/>
            <w:tcBorders>
              <w:top w:val="single" w:sz="24" w:space="0" w:color="BFBFBF" w:themeColor="background1" w:themeShade="BF"/>
              <w:left w:val="triple" w:sz="4" w:space="0" w:color="BFBFBF" w:themeColor="background1" w:themeShade="BF"/>
            </w:tcBorders>
            <w:vAlign w:val="center"/>
            <w:hideMark/>
          </w:tcPr>
          <w:p w14:paraId="538DFD61" w14:textId="618C0982"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bCs/>
                <w:color w:val="595959"/>
                <w:szCs w:val="20"/>
                <w:lang w:eastAsia="en-GB"/>
              </w:rPr>
            </w:pPr>
            <w:r w:rsidRPr="00BB7A86">
              <w:rPr>
                <w:rFonts w:cs="Helvetica"/>
                <w:b/>
                <w:bCs/>
                <w:color w:val="595959"/>
                <w:szCs w:val="20"/>
                <w:lang w:val="de-CH" w:eastAsia="en-GB"/>
              </w:rPr>
              <w:t>124</w:t>
            </w:r>
          </w:p>
        </w:tc>
        <w:tc>
          <w:tcPr>
            <w:tcW w:w="0" w:type="auto"/>
            <w:tcBorders>
              <w:top w:val="single" w:sz="24" w:space="0" w:color="BFBFBF" w:themeColor="background1" w:themeShade="BF"/>
            </w:tcBorders>
            <w:vAlign w:val="center"/>
            <w:hideMark/>
          </w:tcPr>
          <w:p w14:paraId="093E54FF" w14:textId="1DD21BF6" w:rsidR="003E3705" w:rsidRPr="00BB7A86" w:rsidRDefault="008070E1"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bCs/>
                <w:color w:val="595959"/>
                <w:szCs w:val="20"/>
                <w:lang w:val="de-CH" w:eastAsia="en-GB"/>
              </w:rPr>
            </w:pPr>
            <w:r>
              <w:rPr>
                <w:rFonts w:cs="Helvetica"/>
                <w:b/>
                <w:bCs/>
                <w:color w:val="595959"/>
                <w:szCs w:val="20"/>
                <w:lang w:val="de-CH" w:eastAsia="en-GB"/>
              </w:rPr>
              <w:t>3520</w:t>
            </w:r>
          </w:p>
        </w:tc>
        <w:tc>
          <w:tcPr>
            <w:tcW w:w="0" w:type="auto"/>
            <w:tcBorders>
              <w:top w:val="single" w:sz="24" w:space="0" w:color="BFBFBF" w:themeColor="background1" w:themeShade="BF"/>
              <w:right w:val="triple" w:sz="4" w:space="0" w:color="BFBFBF" w:themeColor="background1" w:themeShade="BF"/>
            </w:tcBorders>
            <w:vAlign w:val="center"/>
            <w:hideMark/>
          </w:tcPr>
          <w:p w14:paraId="374F7D8C" w14:textId="0BF69476" w:rsidR="003E3705" w:rsidRPr="00BB7A86" w:rsidRDefault="008070E1"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bCs/>
                <w:iCs/>
                <w:color w:val="595959"/>
                <w:szCs w:val="20"/>
                <w:lang w:eastAsia="en-GB"/>
              </w:rPr>
            </w:pPr>
            <w:r>
              <w:rPr>
                <w:rFonts w:cs="Helvetica"/>
                <w:b/>
                <w:bCs/>
                <w:iCs/>
                <w:color w:val="595959"/>
                <w:szCs w:val="20"/>
                <w:lang w:eastAsia="en-GB"/>
              </w:rPr>
              <w:t>28.5</w:t>
            </w:r>
          </w:p>
        </w:tc>
        <w:tc>
          <w:tcPr>
            <w:tcW w:w="0" w:type="auto"/>
            <w:tcBorders>
              <w:top w:val="single" w:sz="24" w:space="0" w:color="BFBFBF" w:themeColor="background1" w:themeShade="BF"/>
              <w:left w:val="triple" w:sz="4" w:space="0" w:color="BFBFBF" w:themeColor="background1" w:themeShade="BF"/>
            </w:tcBorders>
            <w:noWrap/>
            <w:vAlign w:val="center"/>
            <w:hideMark/>
          </w:tcPr>
          <w:p w14:paraId="7F904590" w14:textId="047D6C8A" w:rsidR="003E3705" w:rsidRPr="00BB7A86" w:rsidRDefault="003E3705"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bCs/>
                <w:color w:val="595959"/>
                <w:szCs w:val="20"/>
                <w:lang w:eastAsia="en-GB"/>
              </w:rPr>
            </w:pPr>
            <w:r w:rsidRPr="00BB7A86">
              <w:rPr>
                <w:rFonts w:cs="Helvetica"/>
                <w:b/>
                <w:bCs/>
                <w:color w:val="595959"/>
                <w:szCs w:val="20"/>
                <w:lang w:eastAsia="en-GB"/>
              </w:rPr>
              <w:t>63.7</w:t>
            </w:r>
          </w:p>
        </w:tc>
        <w:tc>
          <w:tcPr>
            <w:tcW w:w="0" w:type="auto"/>
            <w:tcBorders>
              <w:top w:val="single" w:sz="24" w:space="0" w:color="BFBFBF" w:themeColor="background1" w:themeShade="BF"/>
            </w:tcBorders>
            <w:vAlign w:val="center"/>
          </w:tcPr>
          <w:p w14:paraId="5CC9A01E" w14:textId="5616A0BF" w:rsidR="003E3705" w:rsidRPr="008B5595" w:rsidRDefault="008070E1"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bCs/>
                <w:color w:val="595959"/>
                <w:szCs w:val="20"/>
                <w:lang w:eastAsia="en-GB"/>
              </w:rPr>
            </w:pPr>
            <w:r>
              <w:rPr>
                <w:rFonts w:cs="Helvetica"/>
                <w:b/>
                <w:bCs/>
                <w:color w:val="595959"/>
                <w:szCs w:val="20"/>
                <w:lang w:eastAsia="en-GB"/>
              </w:rPr>
              <w:t>45705</w:t>
            </w:r>
          </w:p>
        </w:tc>
        <w:tc>
          <w:tcPr>
            <w:tcW w:w="1064" w:type="dxa"/>
            <w:tcBorders>
              <w:top w:val="single" w:sz="24" w:space="0" w:color="BFBFBF" w:themeColor="background1" w:themeShade="BF"/>
            </w:tcBorders>
          </w:tcPr>
          <w:p w14:paraId="083735BF" w14:textId="05375D81" w:rsidR="003E3705" w:rsidRPr="008B5595" w:rsidRDefault="008070E1" w:rsidP="00CE673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bCs/>
                <w:color w:val="595959"/>
                <w:szCs w:val="20"/>
                <w:lang w:eastAsia="en-GB"/>
              </w:rPr>
            </w:pPr>
            <w:r>
              <w:rPr>
                <w:rFonts w:cs="Helvetica"/>
                <w:b/>
                <w:bCs/>
                <w:color w:val="595959"/>
                <w:szCs w:val="20"/>
                <w:lang w:eastAsia="en-GB"/>
              </w:rPr>
              <w:t>11.7</w:t>
            </w:r>
          </w:p>
        </w:tc>
        <w:tc>
          <w:tcPr>
            <w:tcW w:w="1064" w:type="dxa"/>
            <w:tcBorders>
              <w:top w:val="single" w:sz="24" w:space="0" w:color="BFBFBF" w:themeColor="background1" w:themeShade="BF"/>
              <w:right w:val="triple" w:sz="4" w:space="0" w:color="BFBFBF" w:themeColor="background1" w:themeShade="BF"/>
            </w:tcBorders>
            <w:vAlign w:val="center"/>
          </w:tcPr>
          <w:p w14:paraId="3E109403" w14:textId="424C89D8" w:rsidR="003E3705" w:rsidRPr="008B5595" w:rsidRDefault="008070E1" w:rsidP="00745F1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bCs/>
                <w:color w:val="595959"/>
                <w:szCs w:val="20"/>
                <w:lang w:eastAsia="en-GB"/>
              </w:rPr>
            </w:pPr>
            <w:r>
              <w:rPr>
                <w:rFonts w:cs="Helvetica"/>
                <w:b/>
                <w:bCs/>
                <w:color w:val="595959"/>
                <w:szCs w:val="20"/>
                <w:lang w:eastAsia="en-GB"/>
              </w:rPr>
              <w:t>706</w:t>
            </w:r>
          </w:p>
        </w:tc>
      </w:tr>
    </w:tbl>
    <w:p w14:paraId="44E11BD6" w14:textId="551A757A" w:rsidR="00E55AFF" w:rsidRPr="00272C8E" w:rsidRDefault="001D5C93" w:rsidP="00272C8E">
      <w:pPr>
        <w:pStyle w:val="ListParagraph"/>
        <w:spacing w:before="120" w:after="0"/>
        <w:ind w:left="2135" w:right="100"/>
        <w:jc w:val="right"/>
        <w:rPr>
          <w:rFonts w:cs="Helvetica"/>
          <w:b/>
          <w:color w:val="595959"/>
          <w:szCs w:val="20"/>
          <w:lang w:eastAsia="en-GB"/>
        </w:rPr>
      </w:pPr>
      <w:r w:rsidRPr="00BB7A86">
        <w:rPr>
          <w:rFonts w:cs="Helvetica"/>
          <w:bCs/>
          <w:color w:val="595959"/>
          <w:sz w:val="18"/>
          <w:szCs w:val="18"/>
          <w:lang w:eastAsia="en-GB"/>
        </w:rPr>
        <w:t xml:space="preserve">*source: </w:t>
      </w:r>
      <w:r w:rsidR="000C7962" w:rsidRPr="00BB7A86">
        <w:rPr>
          <w:rFonts w:cs="Helvetica"/>
          <w:bCs/>
          <w:color w:val="595959"/>
          <w:sz w:val="18"/>
          <w:szCs w:val="18"/>
          <w:lang w:eastAsia="en-GB"/>
        </w:rPr>
        <w:t>U.S. Geological Survey</w:t>
      </w:r>
      <w:r w:rsidR="008E2BE4" w:rsidRPr="00BB7A86">
        <w:rPr>
          <w:rFonts w:cs="Helvetica"/>
          <w:b/>
          <w:color w:val="595959"/>
          <w:sz w:val="18"/>
          <w:szCs w:val="18"/>
          <w:lang w:eastAsia="en-GB"/>
        </w:rPr>
        <w:t xml:space="preserve"> </w:t>
      </w:r>
      <w:r w:rsidR="009E15D0" w:rsidRPr="00BB7A86">
        <w:rPr>
          <w:rFonts w:cs="Helvetica"/>
          <w:b/>
          <w:color w:val="595959"/>
          <w:szCs w:val="20"/>
          <w:lang w:eastAsia="en-GB"/>
        </w:rPr>
        <w:br w:type="textWrapping" w:clear="all"/>
      </w:r>
      <w:r w:rsidR="00E55AFF" w:rsidRPr="00BB7A86">
        <w:rPr>
          <w:rFonts w:cs="Helvetica"/>
          <w:b/>
          <w:color w:val="595959"/>
          <w:szCs w:val="20"/>
          <w:lang w:eastAsia="en-GB"/>
        </w:rPr>
        <w:t>Table 9:</w:t>
      </w:r>
      <w:r w:rsidR="00E55AFF" w:rsidRPr="00BB7A86">
        <w:rPr>
          <w:rFonts w:cs="Helvetica"/>
          <w:b/>
          <w:color w:val="595959"/>
          <w:szCs w:val="20"/>
          <w:lang w:eastAsia="en-GB"/>
        </w:rPr>
        <w:tab/>
      </w:r>
      <w:r w:rsidR="00751EE1" w:rsidRPr="00BB7A86">
        <w:rPr>
          <w:rFonts w:cs="Helvetica"/>
          <w:b/>
          <w:color w:val="595959"/>
          <w:szCs w:val="20"/>
          <w:lang w:eastAsia="en-GB"/>
        </w:rPr>
        <w:t>Regionalised</w:t>
      </w:r>
      <w:r w:rsidR="00D37025" w:rsidRPr="00BB7A86">
        <w:rPr>
          <w:rFonts w:cs="Helvetica"/>
          <w:b/>
          <w:color w:val="595959"/>
          <w:szCs w:val="20"/>
          <w:lang w:eastAsia="en-GB"/>
        </w:rPr>
        <w:t xml:space="preserve"> </w:t>
      </w:r>
      <w:r w:rsidR="00E55AFF" w:rsidRPr="00BB7A86">
        <w:rPr>
          <w:rFonts w:cs="Helvetica"/>
          <w:b/>
          <w:color w:val="595959"/>
          <w:szCs w:val="20"/>
          <w:lang w:eastAsia="en-GB"/>
        </w:rPr>
        <w:t>Water Scarcity Footprint (WSFP) per unit process</w:t>
      </w:r>
      <w:r w:rsidR="0023272E" w:rsidRPr="00BB7A86">
        <w:rPr>
          <w:rFonts w:cs="Helvetica"/>
          <w:b/>
          <w:color w:val="595959"/>
          <w:szCs w:val="20"/>
          <w:lang w:eastAsia="en-GB"/>
        </w:rPr>
        <w:t xml:space="preserve"> (differences due to rounding)</w:t>
      </w:r>
      <w:r w:rsidR="00D37025" w:rsidRPr="00B94CD7" w:rsidDel="00D37025">
        <w:rPr>
          <w:rFonts w:cs="Helvetica"/>
          <w:b/>
          <w:color w:val="595959"/>
          <w:szCs w:val="20"/>
          <w:lang w:eastAsia="en-GB"/>
        </w:rPr>
        <w:t xml:space="preserve"> </w:t>
      </w:r>
      <w:r w:rsidR="00E55AFF" w:rsidRPr="00272C8E">
        <w:rPr>
          <w:b/>
          <w:bCs/>
        </w:rPr>
        <w:br w:type="page"/>
      </w:r>
    </w:p>
    <w:tbl>
      <w:tblPr>
        <w:tblStyle w:val="PlainTable11"/>
        <w:tblW w:w="0" w:type="auto"/>
        <w:tblCellMar>
          <w:top w:w="113" w:type="dxa"/>
          <w:bottom w:w="113" w:type="dxa"/>
        </w:tblCellMar>
        <w:tblLook w:val="04A0" w:firstRow="1" w:lastRow="0" w:firstColumn="1" w:lastColumn="0" w:noHBand="0" w:noVBand="1"/>
      </w:tblPr>
      <w:tblGrid>
        <w:gridCol w:w="650"/>
        <w:gridCol w:w="1285"/>
        <w:gridCol w:w="1220"/>
        <w:gridCol w:w="1087"/>
        <w:gridCol w:w="1171"/>
        <w:gridCol w:w="932"/>
        <w:gridCol w:w="1258"/>
        <w:gridCol w:w="1239"/>
        <w:gridCol w:w="1240"/>
        <w:gridCol w:w="827"/>
        <w:gridCol w:w="1260"/>
        <w:gridCol w:w="1263"/>
        <w:gridCol w:w="1957"/>
      </w:tblGrid>
      <w:tr w:rsidR="00791361" w:rsidRPr="004F10D0" w14:paraId="5B0C71B9" w14:textId="77777777" w:rsidTr="00791361">
        <w:trPr>
          <w:cnfStyle w:val="100000000000" w:firstRow="1" w:lastRow="0" w:firstColumn="0" w:lastColumn="0" w:oddVBand="0" w:evenVBand="0" w:oddHBand="0" w:evenHBand="0" w:firstRowFirstColumn="0" w:firstRowLastColumn="0" w:lastRowFirstColumn="0" w:lastRowLastColumn="0"/>
          <w:cantSplit/>
          <w:trHeight w:val="81"/>
        </w:trPr>
        <w:tc>
          <w:tcPr>
            <w:cnfStyle w:val="001000000000" w:firstRow="0" w:lastRow="0" w:firstColumn="1" w:lastColumn="0" w:oddVBand="0" w:evenVBand="0" w:oddHBand="0" w:evenHBand="0" w:firstRowFirstColumn="0" w:firstRowLastColumn="0" w:lastRowFirstColumn="0" w:lastRowLastColumn="0"/>
            <w:tcW w:w="0" w:type="auto"/>
            <w:textDirection w:val="btLr"/>
            <w:vAlign w:val="center"/>
          </w:tcPr>
          <w:p w14:paraId="6E24E712" w14:textId="77777777" w:rsidR="00791361" w:rsidRPr="004F10D0" w:rsidRDefault="00791361" w:rsidP="00FA5F7C">
            <w:pPr>
              <w:spacing w:after="0" w:line="312" w:lineRule="auto"/>
              <w:jc w:val="center"/>
              <w:rPr>
                <w:rFonts w:cs="Helvetica"/>
                <w:color w:val="595959"/>
                <w:sz w:val="18"/>
                <w:szCs w:val="18"/>
              </w:rPr>
            </w:pPr>
          </w:p>
        </w:tc>
        <w:tc>
          <w:tcPr>
            <w:tcW w:w="2505" w:type="dxa"/>
            <w:gridSpan w:val="2"/>
            <w:vAlign w:val="center"/>
          </w:tcPr>
          <w:p w14:paraId="533E1CD7" w14:textId="391FBBEB" w:rsidR="00791361" w:rsidRPr="004F10D0" w:rsidRDefault="00791361" w:rsidP="00FA5F7C">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 w:val="18"/>
                <w:szCs w:val="18"/>
              </w:rPr>
            </w:pPr>
            <w:r>
              <w:rPr>
                <w:rFonts w:cs="Helvetica"/>
                <w:color w:val="595959"/>
                <w:sz w:val="18"/>
                <w:szCs w:val="18"/>
              </w:rPr>
              <w:t>Bauxite</w:t>
            </w:r>
          </w:p>
        </w:tc>
        <w:tc>
          <w:tcPr>
            <w:tcW w:w="4448" w:type="dxa"/>
            <w:gridSpan w:val="4"/>
            <w:vAlign w:val="center"/>
          </w:tcPr>
          <w:p w14:paraId="54375B4C" w14:textId="6AA20CEC" w:rsidR="00791361" w:rsidRPr="004F10D0" w:rsidRDefault="00791361" w:rsidP="00FA5F7C">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 w:val="18"/>
                <w:szCs w:val="18"/>
              </w:rPr>
            </w:pPr>
            <w:r>
              <w:rPr>
                <w:rFonts w:cs="Helvetica"/>
                <w:color w:val="595959"/>
                <w:sz w:val="18"/>
                <w:szCs w:val="18"/>
              </w:rPr>
              <w:t>Alumina</w:t>
            </w:r>
          </w:p>
        </w:tc>
        <w:tc>
          <w:tcPr>
            <w:tcW w:w="5829" w:type="dxa"/>
            <w:gridSpan w:val="5"/>
            <w:vAlign w:val="center"/>
          </w:tcPr>
          <w:p w14:paraId="1B2476A0" w14:textId="421D8338" w:rsidR="00791361" w:rsidRPr="004F10D0" w:rsidRDefault="00791361" w:rsidP="00FA5F7C">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b w:val="0"/>
                <w:bCs w:val="0"/>
                <w:color w:val="595959"/>
                <w:sz w:val="18"/>
                <w:szCs w:val="18"/>
              </w:rPr>
            </w:pPr>
            <w:r>
              <w:rPr>
                <w:rFonts w:cs="Helvetica"/>
                <w:color w:val="595959"/>
                <w:sz w:val="18"/>
                <w:szCs w:val="18"/>
              </w:rPr>
              <w:t>Aluminium</w:t>
            </w:r>
          </w:p>
        </w:tc>
        <w:tc>
          <w:tcPr>
            <w:tcW w:w="1957" w:type="dxa"/>
            <w:vAlign w:val="center"/>
          </w:tcPr>
          <w:p w14:paraId="4122470C" w14:textId="728EEF19" w:rsidR="00791361" w:rsidRPr="004F10D0" w:rsidRDefault="00791361" w:rsidP="00FA5F7C">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 w:val="18"/>
                <w:szCs w:val="18"/>
              </w:rPr>
            </w:pPr>
            <w:r>
              <w:rPr>
                <w:rFonts w:cs="Helvetica"/>
                <w:color w:val="595959"/>
                <w:sz w:val="18"/>
                <w:szCs w:val="18"/>
              </w:rPr>
              <w:t>Mine to Ingot</w:t>
            </w:r>
          </w:p>
        </w:tc>
      </w:tr>
      <w:tr w:rsidR="00791361" w:rsidRPr="004F10D0" w14:paraId="5AF6A3DD" w14:textId="77777777" w:rsidTr="00791361">
        <w:trPr>
          <w:cnfStyle w:val="000000100000" w:firstRow="0" w:lastRow="0" w:firstColumn="0" w:lastColumn="0" w:oddVBand="0" w:evenVBand="0" w:oddHBand="1" w:evenHBand="0" w:firstRowFirstColumn="0" w:firstRowLastColumn="0" w:lastRowFirstColumn="0" w:lastRowLastColumn="0"/>
          <w:cantSplit/>
          <w:trHeight w:val="81"/>
        </w:trPr>
        <w:tc>
          <w:tcPr>
            <w:cnfStyle w:val="001000000000" w:firstRow="0" w:lastRow="0" w:firstColumn="1" w:lastColumn="0" w:oddVBand="0" w:evenVBand="0" w:oddHBand="0" w:evenHBand="0" w:firstRowFirstColumn="0" w:firstRowLastColumn="0" w:lastRowFirstColumn="0" w:lastRowLastColumn="0"/>
            <w:tcW w:w="0" w:type="auto"/>
            <w:vMerge w:val="restart"/>
            <w:textDirection w:val="btLr"/>
            <w:vAlign w:val="center"/>
          </w:tcPr>
          <w:p w14:paraId="57209867" w14:textId="7A25FA26" w:rsidR="00FA5F7C" w:rsidRPr="00076B66" w:rsidRDefault="004F10D0" w:rsidP="00FA5F7C">
            <w:pPr>
              <w:spacing w:after="0" w:line="312" w:lineRule="auto"/>
              <w:jc w:val="center"/>
              <w:rPr>
                <w:rFonts w:cs="Helvetica"/>
                <w:color w:val="595959"/>
                <w:sz w:val="18"/>
                <w:szCs w:val="18"/>
              </w:rPr>
            </w:pPr>
            <w:bookmarkStart w:id="180" w:name="_Toc480555238"/>
            <w:bookmarkStart w:id="181" w:name="_Toc480555324"/>
            <w:bookmarkStart w:id="182" w:name="_Toc480555410"/>
            <w:bookmarkStart w:id="183" w:name="_Toc480555492"/>
            <w:bookmarkStart w:id="184" w:name="_Toc480971447"/>
            <w:bookmarkStart w:id="185" w:name="_Toc480555239"/>
            <w:bookmarkStart w:id="186" w:name="_Toc480555325"/>
            <w:bookmarkStart w:id="187" w:name="_Toc480555411"/>
            <w:bookmarkStart w:id="188" w:name="_Toc480555493"/>
            <w:bookmarkStart w:id="189" w:name="_Toc480971448"/>
            <w:bookmarkEnd w:id="180"/>
            <w:bookmarkEnd w:id="181"/>
            <w:bookmarkEnd w:id="182"/>
            <w:bookmarkEnd w:id="183"/>
            <w:bookmarkEnd w:id="184"/>
            <w:bookmarkEnd w:id="185"/>
            <w:bookmarkEnd w:id="186"/>
            <w:bookmarkEnd w:id="187"/>
            <w:bookmarkEnd w:id="188"/>
            <w:bookmarkEnd w:id="189"/>
            <w:r w:rsidRPr="00076B66">
              <w:rPr>
                <w:rFonts w:cs="Helvetica"/>
                <w:color w:val="595959"/>
                <w:sz w:val="18"/>
                <w:szCs w:val="18"/>
              </w:rPr>
              <w:t>Scenario</w:t>
            </w:r>
          </w:p>
        </w:tc>
        <w:tc>
          <w:tcPr>
            <w:tcW w:w="1285" w:type="dxa"/>
            <w:vAlign w:val="center"/>
          </w:tcPr>
          <w:p w14:paraId="18837A37" w14:textId="3D2935AE" w:rsidR="00FA5F7C" w:rsidRPr="00076B66" w:rsidDel="0026168E" w:rsidRDefault="00FA5F7C"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color w:val="595959"/>
                <w:sz w:val="18"/>
                <w:szCs w:val="18"/>
              </w:rPr>
            </w:pPr>
            <w:r w:rsidRPr="00076B66">
              <w:rPr>
                <w:rFonts w:cs="Helvetica"/>
                <w:color w:val="595959"/>
                <w:sz w:val="18"/>
                <w:szCs w:val="18"/>
              </w:rPr>
              <w:t>A</w:t>
            </w:r>
          </w:p>
        </w:tc>
        <w:tc>
          <w:tcPr>
            <w:tcW w:w="1220" w:type="dxa"/>
            <w:vAlign w:val="center"/>
          </w:tcPr>
          <w:p w14:paraId="06F45ECF" w14:textId="77777777" w:rsidR="00FA5F7C" w:rsidRPr="00076B66" w:rsidRDefault="00FA5F7C"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color w:val="595959"/>
                <w:sz w:val="18"/>
                <w:szCs w:val="18"/>
              </w:rPr>
            </w:pPr>
            <w:r w:rsidRPr="00076B66">
              <w:rPr>
                <w:rFonts w:cs="Helvetica"/>
                <w:color w:val="595959"/>
                <w:sz w:val="18"/>
                <w:szCs w:val="18"/>
              </w:rPr>
              <w:t>B</w:t>
            </w:r>
          </w:p>
        </w:tc>
        <w:tc>
          <w:tcPr>
            <w:tcW w:w="1087" w:type="dxa"/>
            <w:vAlign w:val="center"/>
          </w:tcPr>
          <w:p w14:paraId="67E5E1F8" w14:textId="77777777" w:rsidR="00FA5F7C" w:rsidRPr="00076B66" w:rsidRDefault="00FA5F7C"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color w:val="595959"/>
                <w:sz w:val="18"/>
                <w:szCs w:val="18"/>
              </w:rPr>
            </w:pPr>
            <w:r w:rsidRPr="00076B66">
              <w:rPr>
                <w:rFonts w:cs="Helvetica"/>
                <w:color w:val="595959"/>
                <w:sz w:val="18"/>
                <w:szCs w:val="18"/>
              </w:rPr>
              <w:t>C</w:t>
            </w:r>
          </w:p>
        </w:tc>
        <w:tc>
          <w:tcPr>
            <w:tcW w:w="1171" w:type="dxa"/>
            <w:vAlign w:val="center"/>
          </w:tcPr>
          <w:p w14:paraId="608BE2A0" w14:textId="6A95E8A4" w:rsidR="00FA5F7C" w:rsidRPr="00076B66" w:rsidRDefault="00FA5F7C"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color w:val="595959"/>
                <w:sz w:val="18"/>
                <w:szCs w:val="18"/>
              </w:rPr>
            </w:pPr>
            <w:r w:rsidRPr="00076B66">
              <w:rPr>
                <w:rFonts w:cs="Helvetica"/>
                <w:color w:val="595959"/>
                <w:sz w:val="18"/>
                <w:szCs w:val="18"/>
              </w:rPr>
              <w:t>D</w:t>
            </w:r>
          </w:p>
        </w:tc>
        <w:tc>
          <w:tcPr>
            <w:tcW w:w="932" w:type="dxa"/>
            <w:vAlign w:val="center"/>
          </w:tcPr>
          <w:p w14:paraId="791ADED3" w14:textId="4DE1C9F6" w:rsidR="00FA5F7C" w:rsidRPr="00076B66" w:rsidDel="00EE3C53" w:rsidRDefault="00FA5F7C"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color w:val="595959"/>
                <w:sz w:val="18"/>
                <w:szCs w:val="18"/>
              </w:rPr>
            </w:pPr>
            <w:r w:rsidRPr="00076B66">
              <w:rPr>
                <w:rFonts w:cs="Helvetica"/>
                <w:color w:val="595959"/>
                <w:sz w:val="18"/>
                <w:szCs w:val="18"/>
              </w:rPr>
              <w:t>E</w:t>
            </w:r>
          </w:p>
        </w:tc>
        <w:tc>
          <w:tcPr>
            <w:tcW w:w="1258" w:type="dxa"/>
            <w:vAlign w:val="center"/>
          </w:tcPr>
          <w:p w14:paraId="295685FA" w14:textId="77777777" w:rsidR="00FA5F7C" w:rsidRPr="00076B66" w:rsidRDefault="00FA5F7C"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color w:val="595959"/>
                <w:sz w:val="18"/>
                <w:szCs w:val="18"/>
              </w:rPr>
            </w:pPr>
            <w:r w:rsidRPr="00076B66">
              <w:rPr>
                <w:rFonts w:cs="Helvetica"/>
                <w:color w:val="595959"/>
                <w:sz w:val="18"/>
                <w:szCs w:val="18"/>
              </w:rPr>
              <w:t>F</w:t>
            </w:r>
          </w:p>
        </w:tc>
        <w:tc>
          <w:tcPr>
            <w:tcW w:w="1239" w:type="dxa"/>
            <w:vAlign w:val="center"/>
          </w:tcPr>
          <w:p w14:paraId="775E990A" w14:textId="77777777" w:rsidR="00FA5F7C" w:rsidRPr="00076B66" w:rsidRDefault="00FA5F7C"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color w:val="595959"/>
                <w:sz w:val="18"/>
                <w:szCs w:val="18"/>
              </w:rPr>
            </w:pPr>
            <w:r w:rsidRPr="00076B66">
              <w:rPr>
                <w:rFonts w:cs="Helvetica"/>
                <w:color w:val="595959"/>
                <w:sz w:val="18"/>
                <w:szCs w:val="18"/>
              </w:rPr>
              <w:t>G</w:t>
            </w:r>
          </w:p>
        </w:tc>
        <w:tc>
          <w:tcPr>
            <w:tcW w:w="1240" w:type="dxa"/>
            <w:vAlign w:val="center"/>
          </w:tcPr>
          <w:p w14:paraId="3B2B67E8" w14:textId="6A9C9161" w:rsidR="00FA5F7C" w:rsidRPr="00076B66" w:rsidRDefault="00FA5F7C"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color w:val="595959"/>
                <w:sz w:val="18"/>
                <w:szCs w:val="18"/>
              </w:rPr>
            </w:pPr>
            <w:r w:rsidRPr="00076B66">
              <w:rPr>
                <w:rFonts w:cs="Helvetica"/>
                <w:color w:val="595959"/>
                <w:sz w:val="18"/>
                <w:szCs w:val="18"/>
              </w:rPr>
              <w:t>H</w:t>
            </w:r>
          </w:p>
        </w:tc>
        <w:tc>
          <w:tcPr>
            <w:tcW w:w="827" w:type="dxa"/>
            <w:vAlign w:val="center"/>
          </w:tcPr>
          <w:p w14:paraId="032210F1" w14:textId="6A0DBF20" w:rsidR="00FA5F7C" w:rsidRPr="00076B66" w:rsidRDefault="00FA5F7C"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color w:val="595959"/>
                <w:sz w:val="18"/>
                <w:szCs w:val="18"/>
              </w:rPr>
            </w:pPr>
            <w:r w:rsidRPr="00076B66">
              <w:rPr>
                <w:rFonts w:cs="Helvetica"/>
                <w:color w:val="595959"/>
                <w:sz w:val="18"/>
                <w:szCs w:val="18"/>
              </w:rPr>
              <w:t>I</w:t>
            </w:r>
          </w:p>
        </w:tc>
        <w:tc>
          <w:tcPr>
            <w:tcW w:w="1260" w:type="dxa"/>
            <w:vAlign w:val="center"/>
          </w:tcPr>
          <w:p w14:paraId="48584475" w14:textId="77777777" w:rsidR="00FA5F7C" w:rsidRPr="00076B66" w:rsidRDefault="00FA5F7C"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color w:val="595959"/>
                <w:sz w:val="18"/>
                <w:szCs w:val="18"/>
              </w:rPr>
            </w:pPr>
            <w:r w:rsidRPr="00076B66">
              <w:rPr>
                <w:rFonts w:cs="Helvetica"/>
                <w:color w:val="595959"/>
                <w:sz w:val="18"/>
                <w:szCs w:val="18"/>
              </w:rPr>
              <w:t>J</w:t>
            </w:r>
          </w:p>
        </w:tc>
        <w:tc>
          <w:tcPr>
            <w:tcW w:w="1263" w:type="dxa"/>
            <w:vAlign w:val="center"/>
          </w:tcPr>
          <w:p w14:paraId="7D470A20" w14:textId="77777777" w:rsidR="00FA5F7C" w:rsidRPr="00076B66" w:rsidRDefault="00FA5F7C"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color w:val="595959"/>
                <w:sz w:val="18"/>
                <w:szCs w:val="18"/>
              </w:rPr>
            </w:pPr>
            <w:r w:rsidRPr="00076B66">
              <w:rPr>
                <w:rFonts w:cs="Helvetica"/>
                <w:color w:val="595959"/>
                <w:sz w:val="18"/>
                <w:szCs w:val="18"/>
              </w:rPr>
              <w:t>K</w:t>
            </w:r>
          </w:p>
        </w:tc>
        <w:tc>
          <w:tcPr>
            <w:tcW w:w="0" w:type="auto"/>
            <w:vAlign w:val="center"/>
          </w:tcPr>
          <w:p w14:paraId="295C74B9" w14:textId="1C3B7D8B" w:rsidR="00FA5F7C" w:rsidRPr="00076B66" w:rsidRDefault="00FA5F7C"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color w:val="595959"/>
                <w:sz w:val="18"/>
                <w:szCs w:val="18"/>
              </w:rPr>
            </w:pPr>
            <w:r w:rsidRPr="00076B66">
              <w:rPr>
                <w:rFonts w:cs="Helvetica"/>
                <w:color w:val="595959"/>
                <w:sz w:val="18"/>
                <w:szCs w:val="18"/>
              </w:rPr>
              <w:t>L</w:t>
            </w:r>
          </w:p>
        </w:tc>
      </w:tr>
      <w:tr w:rsidR="00460AAA" w:rsidRPr="004F10D0" w14:paraId="09B6CF4A" w14:textId="77777777" w:rsidTr="00791361">
        <w:trPr>
          <w:cantSplit/>
          <w:trHeight w:val="589"/>
        </w:trPr>
        <w:tc>
          <w:tcPr>
            <w:cnfStyle w:val="001000000000" w:firstRow="0" w:lastRow="0" w:firstColumn="1" w:lastColumn="0" w:oddVBand="0" w:evenVBand="0" w:oddHBand="0" w:evenHBand="0" w:firstRowFirstColumn="0" w:firstRowLastColumn="0" w:lastRowFirstColumn="0" w:lastRowLastColumn="0"/>
            <w:tcW w:w="0" w:type="auto"/>
            <w:vMerge/>
            <w:textDirection w:val="btLr"/>
            <w:vAlign w:val="center"/>
          </w:tcPr>
          <w:p w14:paraId="42F93A24" w14:textId="2531C252" w:rsidR="004F10D0" w:rsidRPr="00076B66" w:rsidDel="0026168E" w:rsidRDefault="004F10D0" w:rsidP="00FA5F7C">
            <w:pPr>
              <w:spacing w:after="0" w:line="312" w:lineRule="auto"/>
              <w:jc w:val="center"/>
              <w:rPr>
                <w:rFonts w:cs="Helvetica"/>
                <w:color w:val="595959"/>
                <w:sz w:val="18"/>
                <w:szCs w:val="18"/>
              </w:rPr>
            </w:pPr>
          </w:p>
        </w:tc>
        <w:tc>
          <w:tcPr>
            <w:tcW w:w="1285" w:type="dxa"/>
            <w:vMerge w:val="restart"/>
            <w:vAlign w:val="center"/>
            <w:hideMark/>
          </w:tcPr>
          <w:p w14:paraId="6E383D49" w14:textId="3BA74CD6" w:rsidR="004F10D0" w:rsidRPr="00076B66" w:rsidRDefault="004F10D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bCs/>
                <w:color w:val="595959"/>
                <w:sz w:val="18"/>
                <w:szCs w:val="18"/>
              </w:rPr>
            </w:pPr>
            <w:r w:rsidRPr="00076B66">
              <w:rPr>
                <w:rFonts w:cs="Helvetica"/>
                <w:b/>
                <w:color w:val="595959"/>
                <w:sz w:val="18"/>
                <w:szCs w:val="18"/>
              </w:rPr>
              <w:t>Source</w:t>
            </w:r>
          </w:p>
        </w:tc>
        <w:tc>
          <w:tcPr>
            <w:tcW w:w="1220" w:type="dxa"/>
            <w:vAlign w:val="center"/>
            <w:hideMark/>
          </w:tcPr>
          <w:p w14:paraId="7E93FAEC" w14:textId="0EE03A8E" w:rsidR="004F10D0" w:rsidRPr="00076B66" w:rsidRDefault="004F10D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bCs/>
                <w:color w:val="595959"/>
                <w:sz w:val="18"/>
                <w:szCs w:val="18"/>
              </w:rPr>
            </w:pPr>
            <w:r w:rsidRPr="00076B66">
              <w:rPr>
                <w:rFonts w:cs="Helvetica"/>
                <w:b/>
                <w:color w:val="595959"/>
                <w:sz w:val="18"/>
                <w:szCs w:val="18"/>
              </w:rPr>
              <w:t>Specific WSFP</w:t>
            </w:r>
          </w:p>
        </w:tc>
        <w:tc>
          <w:tcPr>
            <w:tcW w:w="1087" w:type="dxa"/>
            <w:vAlign w:val="center"/>
          </w:tcPr>
          <w:p w14:paraId="0E0E3509" w14:textId="77777777" w:rsidR="004F10D0" w:rsidRPr="00076B66" w:rsidDel="00EE3C53" w:rsidRDefault="004F10D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 w:val="18"/>
                <w:szCs w:val="18"/>
              </w:rPr>
            </w:pPr>
            <w:r w:rsidRPr="00076B66">
              <w:rPr>
                <w:rFonts w:cs="Helvetica"/>
                <w:b/>
                <w:color w:val="595959"/>
                <w:sz w:val="18"/>
                <w:szCs w:val="18"/>
              </w:rPr>
              <w:t>Reference flow</w:t>
            </w:r>
          </w:p>
        </w:tc>
        <w:tc>
          <w:tcPr>
            <w:tcW w:w="1171" w:type="dxa"/>
            <w:vAlign w:val="center"/>
          </w:tcPr>
          <w:p w14:paraId="5F0ED7FE" w14:textId="3A4F850C" w:rsidR="00897F32" w:rsidRDefault="004F10D0">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 w:val="18"/>
                <w:szCs w:val="18"/>
              </w:rPr>
            </w:pPr>
            <w:r>
              <w:rPr>
                <w:rFonts w:cs="Helvetica"/>
                <w:b/>
                <w:color w:val="595959"/>
                <w:sz w:val="18"/>
                <w:szCs w:val="18"/>
              </w:rPr>
              <w:t>Specific WSFP</w:t>
            </w:r>
          </w:p>
          <w:p w14:paraId="114E04D9" w14:textId="6AFF4BE1" w:rsidR="004F10D0" w:rsidRPr="00076B66" w:rsidRDefault="004F10D0">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 w:val="18"/>
                <w:szCs w:val="18"/>
              </w:rPr>
            </w:pPr>
            <w:r>
              <w:rPr>
                <w:rFonts w:cs="Helvetica"/>
                <w:b/>
                <w:color w:val="595959"/>
                <w:sz w:val="18"/>
                <w:szCs w:val="18"/>
              </w:rPr>
              <w:t>(bauxite)</w:t>
            </w:r>
          </w:p>
          <w:p w14:paraId="10AB23DD" w14:textId="77777777" w:rsidR="004F10D0" w:rsidRPr="00076B66" w:rsidRDefault="004F10D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 w:val="18"/>
                <w:szCs w:val="18"/>
              </w:rPr>
            </w:pPr>
          </w:p>
          <w:p w14:paraId="609D1AC9" w14:textId="108B81DF" w:rsidR="004F10D0" w:rsidRPr="00076B66" w:rsidRDefault="004F10D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 w:val="18"/>
                <w:szCs w:val="18"/>
              </w:rPr>
            </w:pPr>
            <w:r w:rsidRPr="00076B66">
              <w:rPr>
                <w:rFonts w:cs="Helvetica"/>
                <w:b/>
                <w:color w:val="595959"/>
                <w:sz w:val="18"/>
                <w:szCs w:val="18"/>
              </w:rPr>
              <w:t>= B x C</w:t>
            </w:r>
          </w:p>
        </w:tc>
        <w:tc>
          <w:tcPr>
            <w:tcW w:w="932" w:type="dxa"/>
            <w:vMerge w:val="restart"/>
            <w:vAlign w:val="center"/>
            <w:hideMark/>
          </w:tcPr>
          <w:p w14:paraId="52155324" w14:textId="32040E15" w:rsidR="004F10D0" w:rsidRPr="00076B66" w:rsidRDefault="004F10D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bCs/>
                <w:color w:val="595959"/>
                <w:sz w:val="18"/>
                <w:szCs w:val="18"/>
              </w:rPr>
            </w:pPr>
            <w:r w:rsidRPr="00076B66">
              <w:rPr>
                <w:rFonts w:cs="Helvetica"/>
                <w:b/>
                <w:color w:val="595959"/>
                <w:sz w:val="18"/>
                <w:szCs w:val="18"/>
              </w:rPr>
              <w:t>Source</w:t>
            </w:r>
          </w:p>
        </w:tc>
        <w:tc>
          <w:tcPr>
            <w:tcW w:w="1258" w:type="dxa"/>
            <w:vAlign w:val="center"/>
            <w:hideMark/>
          </w:tcPr>
          <w:p w14:paraId="37584EB1" w14:textId="640DEEEA" w:rsidR="004F10D0" w:rsidRDefault="004F10D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 w:val="18"/>
                <w:szCs w:val="18"/>
              </w:rPr>
            </w:pPr>
            <w:r w:rsidRPr="00076B66">
              <w:rPr>
                <w:rFonts w:cs="Helvetica"/>
                <w:b/>
                <w:color w:val="595959"/>
                <w:sz w:val="18"/>
                <w:szCs w:val="18"/>
              </w:rPr>
              <w:t>Specific WSFP</w:t>
            </w:r>
          </w:p>
          <w:p w14:paraId="129D3334" w14:textId="3FCA888B" w:rsidR="004F10D0" w:rsidRPr="00076B66" w:rsidRDefault="004F10D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bCs/>
                <w:color w:val="595959"/>
                <w:sz w:val="18"/>
                <w:szCs w:val="18"/>
              </w:rPr>
            </w:pPr>
            <w:r w:rsidRPr="00076B66">
              <w:rPr>
                <w:rFonts w:cs="Helvetica"/>
                <w:b/>
                <w:color w:val="595959"/>
                <w:sz w:val="18"/>
                <w:szCs w:val="18"/>
              </w:rPr>
              <w:t>(ex. bauxite)</w:t>
            </w:r>
          </w:p>
        </w:tc>
        <w:tc>
          <w:tcPr>
            <w:tcW w:w="1239" w:type="dxa"/>
            <w:vAlign w:val="center"/>
          </w:tcPr>
          <w:p w14:paraId="33C20418" w14:textId="77777777" w:rsidR="004F10D0" w:rsidRPr="00076B66" w:rsidRDefault="004F10D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 w:val="18"/>
                <w:szCs w:val="18"/>
              </w:rPr>
            </w:pPr>
            <w:r w:rsidRPr="00076B66">
              <w:rPr>
                <w:rFonts w:cs="Helvetica"/>
                <w:b/>
                <w:color w:val="595959"/>
                <w:sz w:val="18"/>
                <w:szCs w:val="18"/>
              </w:rPr>
              <w:t>Reference flow</w:t>
            </w:r>
          </w:p>
        </w:tc>
        <w:tc>
          <w:tcPr>
            <w:tcW w:w="1240" w:type="dxa"/>
            <w:vAlign w:val="center"/>
          </w:tcPr>
          <w:p w14:paraId="1974E6F8" w14:textId="5BBE9540" w:rsidR="004F10D0" w:rsidRPr="00076B66" w:rsidRDefault="004F10D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 w:val="18"/>
                <w:szCs w:val="18"/>
              </w:rPr>
            </w:pPr>
            <w:r w:rsidRPr="00076B66">
              <w:rPr>
                <w:rFonts w:cs="Helvetica"/>
                <w:b/>
                <w:color w:val="595959"/>
                <w:sz w:val="18"/>
                <w:szCs w:val="18"/>
              </w:rPr>
              <w:t>Specific WSFP</w:t>
            </w:r>
          </w:p>
          <w:p w14:paraId="34CD8A5E" w14:textId="1DEB5F57" w:rsidR="004F10D0" w:rsidRPr="00076B66" w:rsidRDefault="004F10D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 w:val="18"/>
                <w:szCs w:val="18"/>
              </w:rPr>
            </w:pPr>
            <w:r w:rsidRPr="00076B66">
              <w:rPr>
                <w:rFonts w:cs="Helvetica"/>
                <w:b/>
                <w:color w:val="595959"/>
                <w:sz w:val="18"/>
                <w:szCs w:val="18"/>
              </w:rPr>
              <w:t>(alumina)</w:t>
            </w:r>
          </w:p>
          <w:p w14:paraId="4C41FC8F" w14:textId="77777777" w:rsidR="004F10D0" w:rsidRPr="00076B66" w:rsidRDefault="004F10D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 w:val="18"/>
                <w:szCs w:val="18"/>
              </w:rPr>
            </w:pPr>
          </w:p>
          <w:p w14:paraId="5CA07FEF" w14:textId="5AA0A343" w:rsidR="004F10D0" w:rsidRPr="00076B66" w:rsidRDefault="004F10D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 w:val="18"/>
                <w:szCs w:val="18"/>
              </w:rPr>
            </w:pPr>
            <w:r w:rsidRPr="00076B66">
              <w:rPr>
                <w:rFonts w:cs="Helvetica"/>
                <w:b/>
                <w:color w:val="595959"/>
                <w:sz w:val="18"/>
                <w:szCs w:val="18"/>
              </w:rPr>
              <w:t>= (D + F) x G</w:t>
            </w:r>
          </w:p>
        </w:tc>
        <w:tc>
          <w:tcPr>
            <w:tcW w:w="827" w:type="dxa"/>
            <w:vMerge w:val="restart"/>
            <w:vAlign w:val="center"/>
          </w:tcPr>
          <w:p w14:paraId="3523DB05" w14:textId="73FD7372" w:rsidR="004F10D0" w:rsidRPr="00076B66" w:rsidRDefault="004F10D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 w:val="18"/>
                <w:szCs w:val="18"/>
              </w:rPr>
            </w:pPr>
            <w:r w:rsidRPr="00076B66">
              <w:rPr>
                <w:rFonts w:cs="Helvetica"/>
                <w:b/>
                <w:color w:val="595959"/>
                <w:sz w:val="18"/>
                <w:szCs w:val="18"/>
              </w:rPr>
              <w:t>Source</w:t>
            </w:r>
          </w:p>
        </w:tc>
        <w:tc>
          <w:tcPr>
            <w:tcW w:w="1260" w:type="dxa"/>
            <w:vAlign w:val="center"/>
          </w:tcPr>
          <w:p w14:paraId="7D0ADFEC" w14:textId="28A4288B" w:rsidR="004F10D0" w:rsidRPr="00076B66" w:rsidRDefault="00460AAA"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 w:val="18"/>
                <w:szCs w:val="18"/>
              </w:rPr>
            </w:pPr>
            <w:r>
              <w:rPr>
                <w:rFonts w:cs="Helvetica"/>
                <w:b/>
                <w:color w:val="595959"/>
                <w:sz w:val="18"/>
                <w:szCs w:val="18"/>
              </w:rPr>
              <w:t xml:space="preserve">Direct </w:t>
            </w:r>
            <w:r w:rsidR="004F10D0" w:rsidRPr="00076B66">
              <w:rPr>
                <w:rFonts w:cs="Helvetica"/>
                <w:b/>
                <w:color w:val="595959"/>
                <w:sz w:val="18"/>
                <w:szCs w:val="18"/>
              </w:rPr>
              <w:t>Specific WSFP</w:t>
            </w:r>
          </w:p>
          <w:p w14:paraId="7905839E" w14:textId="7534937C" w:rsidR="004F10D0" w:rsidRPr="00076B66" w:rsidRDefault="004F10D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 w:val="18"/>
                <w:szCs w:val="18"/>
              </w:rPr>
            </w:pPr>
          </w:p>
        </w:tc>
        <w:tc>
          <w:tcPr>
            <w:tcW w:w="1263" w:type="dxa"/>
            <w:vAlign w:val="center"/>
          </w:tcPr>
          <w:p w14:paraId="57C68023" w14:textId="4E05E1DB" w:rsidR="004F10D0" w:rsidRPr="00076B66" w:rsidRDefault="00460AAA"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 w:val="18"/>
                <w:szCs w:val="18"/>
              </w:rPr>
            </w:pPr>
            <w:r>
              <w:rPr>
                <w:rFonts w:cs="Helvetica"/>
                <w:b/>
                <w:color w:val="595959"/>
                <w:sz w:val="18"/>
                <w:szCs w:val="18"/>
              </w:rPr>
              <w:t xml:space="preserve">Indirect </w:t>
            </w:r>
            <w:r w:rsidR="004F10D0" w:rsidRPr="00076B66">
              <w:rPr>
                <w:rFonts w:cs="Helvetica"/>
                <w:b/>
                <w:color w:val="595959"/>
                <w:sz w:val="18"/>
                <w:szCs w:val="18"/>
              </w:rPr>
              <w:t>Specific WSFP</w:t>
            </w:r>
          </w:p>
          <w:p w14:paraId="63972BCC" w14:textId="5760C5DF" w:rsidR="004F10D0" w:rsidRPr="00076B66" w:rsidRDefault="004F10D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 w:val="18"/>
                <w:szCs w:val="18"/>
              </w:rPr>
            </w:pPr>
          </w:p>
        </w:tc>
        <w:tc>
          <w:tcPr>
            <w:tcW w:w="0" w:type="auto"/>
            <w:vAlign w:val="center"/>
            <w:hideMark/>
          </w:tcPr>
          <w:p w14:paraId="3978246D" w14:textId="6F3AD23A" w:rsidR="004F10D0" w:rsidRDefault="004F10D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 w:val="18"/>
                <w:szCs w:val="18"/>
              </w:rPr>
            </w:pPr>
            <w:r w:rsidRPr="00076B66">
              <w:rPr>
                <w:rFonts w:cs="Helvetica"/>
                <w:b/>
                <w:color w:val="595959"/>
                <w:sz w:val="18"/>
                <w:szCs w:val="18"/>
              </w:rPr>
              <w:t>Specific Total WSFP</w:t>
            </w:r>
          </w:p>
          <w:p w14:paraId="3E9FE146" w14:textId="77777777" w:rsidR="004F10D0" w:rsidRPr="00076B66" w:rsidRDefault="004F10D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 w:val="18"/>
                <w:szCs w:val="18"/>
              </w:rPr>
            </w:pPr>
          </w:p>
          <w:p w14:paraId="511A31FA" w14:textId="77777777" w:rsidR="004F10D0" w:rsidRPr="00076B66" w:rsidRDefault="004F10D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 w:val="18"/>
                <w:szCs w:val="18"/>
              </w:rPr>
            </w:pPr>
          </w:p>
          <w:p w14:paraId="74FC2F7D" w14:textId="0AE72F4C" w:rsidR="004F10D0" w:rsidRPr="00076B66" w:rsidRDefault="004F10D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bCs/>
                <w:color w:val="595959"/>
                <w:sz w:val="18"/>
                <w:szCs w:val="18"/>
              </w:rPr>
            </w:pPr>
            <w:r w:rsidRPr="00076B66">
              <w:rPr>
                <w:rFonts w:cs="Helvetica"/>
                <w:b/>
                <w:color w:val="595959"/>
                <w:sz w:val="18"/>
                <w:szCs w:val="18"/>
              </w:rPr>
              <w:t>= H + J + K</w:t>
            </w:r>
          </w:p>
        </w:tc>
      </w:tr>
      <w:tr w:rsidR="00791361" w:rsidRPr="004F10D0" w14:paraId="2427E3D4" w14:textId="77777777" w:rsidTr="0079136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453B0D8B" w14:textId="04DDDEA0" w:rsidR="004F10D0" w:rsidRPr="00076B66" w:rsidRDefault="004F10D0" w:rsidP="00FA5F7C">
            <w:pPr>
              <w:spacing w:after="0" w:line="312" w:lineRule="auto"/>
              <w:jc w:val="center"/>
              <w:rPr>
                <w:rFonts w:cs="Helvetica"/>
                <w:color w:val="4F4F4F"/>
                <w:sz w:val="18"/>
                <w:szCs w:val="18"/>
              </w:rPr>
            </w:pPr>
          </w:p>
        </w:tc>
        <w:tc>
          <w:tcPr>
            <w:tcW w:w="1285" w:type="dxa"/>
            <w:vMerge/>
            <w:vAlign w:val="center"/>
          </w:tcPr>
          <w:p w14:paraId="0583682A" w14:textId="22BA1DF9" w:rsidR="004F10D0" w:rsidRPr="00076B66" w:rsidRDefault="004F10D0"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4F4F4F"/>
                <w:sz w:val="18"/>
                <w:szCs w:val="18"/>
              </w:rPr>
            </w:pPr>
          </w:p>
        </w:tc>
        <w:tc>
          <w:tcPr>
            <w:tcW w:w="1220" w:type="dxa"/>
            <w:vAlign w:val="center"/>
          </w:tcPr>
          <w:p w14:paraId="1D3FBE7E" w14:textId="47725A3A" w:rsidR="004F10D0" w:rsidRPr="00076B66" w:rsidRDefault="004F10D0"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4F4F4F"/>
                <w:sz w:val="18"/>
                <w:szCs w:val="18"/>
              </w:rPr>
            </w:pPr>
            <w:r w:rsidRPr="00076B66">
              <w:rPr>
                <w:rFonts w:cs="Helvetica"/>
                <w:bCs/>
                <w:color w:val="595959"/>
                <w:sz w:val="18"/>
                <w:szCs w:val="18"/>
              </w:rPr>
              <w:t>m</w:t>
            </w:r>
            <w:r w:rsidRPr="00076B66">
              <w:rPr>
                <w:rFonts w:cs="Helvetica"/>
                <w:bCs/>
                <w:color w:val="595959"/>
                <w:sz w:val="18"/>
                <w:szCs w:val="18"/>
                <w:vertAlign w:val="superscript"/>
              </w:rPr>
              <w:t>3</w:t>
            </w:r>
            <w:r w:rsidRPr="00076B66">
              <w:rPr>
                <w:rFonts w:cs="Helvetica"/>
                <w:bCs/>
                <w:color w:val="595959"/>
                <w:sz w:val="18"/>
                <w:szCs w:val="18"/>
              </w:rPr>
              <w:t xml:space="preserve"> </w:t>
            </w:r>
            <w:r w:rsidR="002F459A" w:rsidRPr="00B63273">
              <w:rPr>
                <w:rFonts w:cs="Helvetica"/>
                <w:color w:val="595959"/>
                <w:szCs w:val="20"/>
                <w:lang w:val="de-CH" w:eastAsia="en-GB"/>
              </w:rPr>
              <w:t>World-Equiv</w:t>
            </w:r>
            <w:r w:rsidR="002F459A">
              <w:rPr>
                <w:rFonts w:cs="Helvetica"/>
                <w:color w:val="595959"/>
                <w:szCs w:val="20"/>
                <w:lang w:val="de-CH" w:eastAsia="en-GB"/>
              </w:rPr>
              <w:t>/t</w:t>
            </w:r>
            <w:r w:rsidR="002F459A" w:rsidRPr="00076B66">
              <w:rPr>
                <w:rFonts w:cs="Helvetica"/>
                <w:bCs/>
                <w:color w:val="595959"/>
                <w:sz w:val="18"/>
                <w:szCs w:val="18"/>
              </w:rPr>
              <w:t xml:space="preserve"> </w:t>
            </w:r>
            <w:r w:rsidRPr="00076B66">
              <w:rPr>
                <w:rFonts w:cs="Helvetica"/>
                <w:bCs/>
                <w:color w:val="595959"/>
                <w:sz w:val="18"/>
                <w:szCs w:val="18"/>
              </w:rPr>
              <w:t>B</w:t>
            </w:r>
            <w:r w:rsidR="002F459A">
              <w:rPr>
                <w:rFonts w:cs="Helvetica"/>
                <w:bCs/>
                <w:color w:val="595959"/>
                <w:sz w:val="18"/>
                <w:szCs w:val="18"/>
              </w:rPr>
              <w:t>au</w:t>
            </w:r>
            <w:r w:rsidRPr="00076B66">
              <w:rPr>
                <w:rFonts w:cs="Helvetica"/>
                <w:bCs/>
                <w:color w:val="595959"/>
                <w:sz w:val="18"/>
                <w:szCs w:val="18"/>
              </w:rPr>
              <w:t>x</w:t>
            </w:r>
            <w:r w:rsidR="002F459A">
              <w:rPr>
                <w:rFonts w:cs="Helvetica"/>
                <w:bCs/>
                <w:color w:val="595959"/>
                <w:sz w:val="18"/>
                <w:szCs w:val="18"/>
              </w:rPr>
              <w:t>ite</w:t>
            </w:r>
          </w:p>
        </w:tc>
        <w:tc>
          <w:tcPr>
            <w:tcW w:w="1087" w:type="dxa"/>
            <w:vAlign w:val="center"/>
          </w:tcPr>
          <w:p w14:paraId="317BBA32" w14:textId="77777777" w:rsidR="004F10D0" w:rsidRPr="00076B66" w:rsidRDefault="004F10D0"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4F4F4F"/>
                <w:sz w:val="18"/>
                <w:szCs w:val="18"/>
              </w:rPr>
            </w:pPr>
            <w:r w:rsidRPr="00076B66">
              <w:rPr>
                <w:rFonts w:cs="Helvetica"/>
                <w:color w:val="4F4F4F"/>
                <w:sz w:val="18"/>
                <w:szCs w:val="18"/>
              </w:rPr>
              <w:t>t Bauxite /</w:t>
            </w:r>
          </w:p>
          <w:p w14:paraId="72A2E282" w14:textId="77777777" w:rsidR="004F10D0" w:rsidRPr="00076B66" w:rsidRDefault="004F10D0"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4F4F4F"/>
                <w:sz w:val="18"/>
                <w:szCs w:val="18"/>
              </w:rPr>
            </w:pPr>
            <w:r w:rsidRPr="00076B66">
              <w:rPr>
                <w:rFonts w:cs="Helvetica"/>
                <w:color w:val="4F4F4F"/>
                <w:sz w:val="18"/>
                <w:szCs w:val="18"/>
              </w:rPr>
              <w:t>t Alumina</w:t>
            </w:r>
          </w:p>
        </w:tc>
        <w:tc>
          <w:tcPr>
            <w:tcW w:w="1171" w:type="dxa"/>
            <w:vAlign w:val="center"/>
          </w:tcPr>
          <w:p w14:paraId="35D1D8DE" w14:textId="0E22D59A" w:rsidR="004F10D0" w:rsidRPr="00076B66" w:rsidRDefault="004F10D0"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4F4F4F"/>
                <w:sz w:val="18"/>
                <w:szCs w:val="18"/>
              </w:rPr>
            </w:pPr>
            <w:r w:rsidRPr="00076B66">
              <w:rPr>
                <w:rFonts w:cs="Helvetica"/>
                <w:bCs/>
                <w:color w:val="595959"/>
                <w:sz w:val="18"/>
                <w:szCs w:val="18"/>
              </w:rPr>
              <w:t>m</w:t>
            </w:r>
            <w:r w:rsidRPr="00076B66">
              <w:rPr>
                <w:rFonts w:cs="Helvetica"/>
                <w:bCs/>
                <w:color w:val="595959"/>
                <w:sz w:val="18"/>
                <w:szCs w:val="18"/>
                <w:vertAlign w:val="superscript"/>
              </w:rPr>
              <w:t>3</w:t>
            </w:r>
            <w:r w:rsidRPr="00076B66">
              <w:rPr>
                <w:rFonts w:cs="Helvetica"/>
                <w:bCs/>
                <w:color w:val="595959"/>
                <w:sz w:val="18"/>
                <w:szCs w:val="18"/>
              </w:rPr>
              <w:t xml:space="preserve"> </w:t>
            </w:r>
            <w:r w:rsidR="002F459A" w:rsidRPr="00B63273">
              <w:rPr>
                <w:rFonts w:cs="Helvetica"/>
                <w:color w:val="595959"/>
                <w:szCs w:val="20"/>
                <w:lang w:val="de-CH" w:eastAsia="en-GB"/>
              </w:rPr>
              <w:t>World-Equiv</w:t>
            </w:r>
            <w:r w:rsidR="002F459A">
              <w:rPr>
                <w:rFonts w:cs="Helvetica"/>
                <w:color w:val="595959"/>
                <w:szCs w:val="20"/>
                <w:lang w:val="de-CH" w:eastAsia="en-GB"/>
              </w:rPr>
              <w:t>/t</w:t>
            </w:r>
            <w:r w:rsidR="002F459A">
              <w:rPr>
                <w:rFonts w:cs="Helvetica"/>
                <w:bCs/>
                <w:color w:val="595959"/>
                <w:sz w:val="18"/>
                <w:szCs w:val="18"/>
              </w:rPr>
              <w:t xml:space="preserve"> </w:t>
            </w:r>
            <w:r>
              <w:rPr>
                <w:rFonts w:cs="Helvetica"/>
                <w:bCs/>
                <w:color w:val="595959"/>
                <w:sz w:val="18"/>
                <w:szCs w:val="18"/>
              </w:rPr>
              <w:t>Alumina</w:t>
            </w:r>
          </w:p>
        </w:tc>
        <w:tc>
          <w:tcPr>
            <w:tcW w:w="932" w:type="dxa"/>
            <w:vMerge/>
            <w:vAlign w:val="center"/>
          </w:tcPr>
          <w:p w14:paraId="6DD886F7" w14:textId="2E16A557" w:rsidR="004F10D0" w:rsidRPr="00076B66" w:rsidRDefault="004F10D0"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4F4F4F"/>
                <w:sz w:val="18"/>
                <w:szCs w:val="18"/>
              </w:rPr>
            </w:pPr>
          </w:p>
        </w:tc>
        <w:tc>
          <w:tcPr>
            <w:tcW w:w="1258" w:type="dxa"/>
            <w:vAlign w:val="center"/>
          </w:tcPr>
          <w:p w14:paraId="7B360128" w14:textId="55E8B3A2" w:rsidR="004F10D0" w:rsidRPr="00076B66" w:rsidRDefault="004F10D0"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4F4F4F"/>
                <w:sz w:val="18"/>
                <w:szCs w:val="18"/>
              </w:rPr>
            </w:pPr>
            <w:r w:rsidRPr="00076B66">
              <w:rPr>
                <w:rFonts w:cs="Helvetica"/>
                <w:bCs/>
                <w:color w:val="595959"/>
                <w:sz w:val="18"/>
                <w:szCs w:val="18"/>
              </w:rPr>
              <w:t>m</w:t>
            </w:r>
            <w:r w:rsidRPr="00076B66">
              <w:rPr>
                <w:rFonts w:cs="Helvetica"/>
                <w:bCs/>
                <w:color w:val="595959"/>
                <w:sz w:val="18"/>
                <w:szCs w:val="18"/>
                <w:vertAlign w:val="superscript"/>
              </w:rPr>
              <w:t>3</w:t>
            </w:r>
            <w:r w:rsidRPr="00076B66">
              <w:rPr>
                <w:rFonts w:cs="Helvetica"/>
                <w:bCs/>
                <w:color w:val="595959"/>
                <w:sz w:val="18"/>
                <w:szCs w:val="18"/>
              </w:rPr>
              <w:t xml:space="preserve"> </w:t>
            </w:r>
            <w:r w:rsidR="002F459A" w:rsidRPr="00B63273">
              <w:rPr>
                <w:rFonts w:cs="Helvetica"/>
                <w:color w:val="595959"/>
                <w:szCs w:val="20"/>
                <w:lang w:val="de-CH" w:eastAsia="en-GB"/>
              </w:rPr>
              <w:t>World-Equiv</w:t>
            </w:r>
            <w:r w:rsidR="002F459A">
              <w:rPr>
                <w:rFonts w:cs="Helvetica"/>
                <w:color w:val="595959"/>
                <w:szCs w:val="20"/>
                <w:lang w:val="de-CH" w:eastAsia="en-GB"/>
              </w:rPr>
              <w:t>/t</w:t>
            </w:r>
            <w:r w:rsidR="002F459A" w:rsidRPr="00076B66">
              <w:rPr>
                <w:rFonts w:cs="Helvetica"/>
                <w:bCs/>
                <w:color w:val="595959"/>
                <w:sz w:val="18"/>
                <w:szCs w:val="18"/>
              </w:rPr>
              <w:t xml:space="preserve"> </w:t>
            </w:r>
            <w:r w:rsidRPr="00076B66">
              <w:rPr>
                <w:rFonts w:cs="Helvetica"/>
                <w:bCs/>
                <w:color w:val="595959"/>
                <w:sz w:val="18"/>
                <w:szCs w:val="18"/>
              </w:rPr>
              <w:t>A</w:t>
            </w:r>
            <w:r>
              <w:rPr>
                <w:rFonts w:cs="Helvetica"/>
                <w:bCs/>
                <w:color w:val="595959"/>
                <w:sz w:val="18"/>
                <w:szCs w:val="18"/>
              </w:rPr>
              <w:t>lumina</w:t>
            </w:r>
          </w:p>
        </w:tc>
        <w:tc>
          <w:tcPr>
            <w:tcW w:w="1239" w:type="dxa"/>
            <w:vAlign w:val="center"/>
          </w:tcPr>
          <w:p w14:paraId="61D75344" w14:textId="77777777" w:rsidR="004F10D0" w:rsidRPr="00076B66" w:rsidRDefault="004F10D0"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4F4F4F"/>
                <w:sz w:val="18"/>
                <w:szCs w:val="18"/>
              </w:rPr>
            </w:pPr>
            <w:r w:rsidRPr="00076B66">
              <w:rPr>
                <w:rFonts w:cs="Helvetica"/>
                <w:color w:val="4F4F4F"/>
                <w:sz w:val="18"/>
                <w:szCs w:val="18"/>
              </w:rPr>
              <w:t>t Alumina /</w:t>
            </w:r>
          </w:p>
          <w:p w14:paraId="1CA23BBC" w14:textId="77777777" w:rsidR="004F10D0" w:rsidRPr="00076B66" w:rsidRDefault="004F10D0"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4F4F4F"/>
                <w:sz w:val="18"/>
                <w:szCs w:val="18"/>
              </w:rPr>
            </w:pPr>
            <w:r w:rsidRPr="00076B66">
              <w:rPr>
                <w:rFonts w:cs="Helvetica"/>
                <w:color w:val="4F4F4F"/>
                <w:sz w:val="18"/>
                <w:szCs w:val="18"/>
              </w:rPr>
              <w:t>t Aluminium</w:t>
            </w:r>
          </w:p>
        </w:tc>
        <w:tc>
          <w:tcPr>
            <w:tcW w:w="1240" w:type="dxa"/>
            <w:vAlign w:val="center"/>
          </w:tcPr>
          <w:p w14:paraId="317659A3" w14:textId="08FC3366" w:rsidR="004F10D0" w:rsidRPr="00076B66" w:rsidRDefault="004F10D0"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Cs/>
                <w:color w:val="595959"/>
                <w:sz w:val="18"/>
                <w:szCs w:val="18"/>
              </w:rPr>
            </w:pPr>
            <w:r w:rsidRPr="00076B66">
              <w:rPr>
                <w:rFonts w:cs="Helvetica"/>
                <w:bCs/>
                <w:color w:val="595959"/>
                <w:sz w:val="18"/>
                <w:szCs w:val="18"/>
              </w:rPr>
              <w:t>m</w:t>
            </w:r>
            <w:r w:rsidRPr="00076B66">
              <w:rPr>
                <w:rFonts w:cs="Helvetica"/>
                <w:bCs/>
                <w:color w:val="595959"/>
                <w:sz w:val="18"/>
                <w:szCs w:val="18"/>
                <w:vertAlign w:val="superscript"/>
              </w:rPr>
              <w:t>3</w:t>
            </w:r>
            <w:r w:rsidRPr="00076B66">
              <w:rPr>
                <w:rFonts w:cs="Helvetica"/>
                <w:bCs/>
                <w:color w:val="595959"/>
                <w:sz w:val="18"/>
                <w:szCs w:val="18"/>
              </w:rPr>
              <w:t xml:space="preserve"> </w:t>
            </w:r>
            <w:r w:rsidR="002F459A" w:rsidRPr="00B63273">
              <w:rPr>
                <w:rFonts w:cs="Helvetica"/>
                <w:color w:val="595959"/>
                <w:szCs w:val="20"/>
                <w:lang w:val="de-CH" w:eastAsia="en-GB"/>
              </w:rPr>
              <w:t>World-Equiv</w:t>
            </w:r>
            <w:r w:rsidR="002F459A">
              <w:rPr>
                <w:rFonts w:cs="Helvetica"/>
                <w:color w:val="595959"/>
                <w:szCs w:val="20"/>
                <w:lang w:val="de-CH" w:eastAsia="en-GB"/>
              </w:rPr>
              <w:t>/t</w:t>
            </w:r>
            <w:r w:rsidR="002F459A" w:rsidRPr="00076B66">
              <w:rPr>
                <w:rFonts w:cs="Helvetica"/>
                <w:bCs/>
                <w:color w:val="595959"/>
                <w:sz w:val="18"/>
                <w:szCs w:val="18"/>
              </w:rPr>
              <w:t xml:space="preserve"> </w:t>
            </w:r>
            <w:r w:rsidRPr="00076B66">
              <w:rPr>
                <w:rFonts w:cs="Helvetica"/>
                <w:bCs/>
                <w:color w:val="595959"/>
                <w:sz w:val="18"/>
                <w:szCs w:val="18"/>
              </w:rPr>
              <w:t>Al</w:t>
            </w:r>
          </w:p>
        </w:tc>
        <w:tc>
          <w:tcPr>
            <w:tcW w:w="827" w:type="dxa"/>
            <w:vMerge/>
            <w:vAlign w:val="center"/>
          </w:tcPr>
          <w:p w14:paraId="16DA6195" w14:textId="54B9511C" w:rsidR="004F10D0" w:rsidRPr="00076B66" w:rsidRDefault="004F10D0"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Cs/>
                <w:color w:val="595959"/>
                <w:sz w:val="18"/>
                <w:szCs w:val="18"/>
              </w:rPr>
            </w:pPr>
          </w:p>
        </w:tc>
        <w:tc>
          <w:tcPr>
            <w:tcW w:w="1260" w:type="dxa"/>
            <w:vAlign w:val="center"/>
          </w:tcPr>
          <w:p w14:paraId="362866E4" w14:textId="233942FE" w:rsidR="004F10D0" w:rsidRPr="00076B66" w:rsidRDefault="004F10D0"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4F4F4F"/>
                <w:sz w:val="18"/>
                <w:szCs w:val="18"/>
              </w:rPr>
            </w:pPr>
            <w:r w:rsidRPr="00076B66">
              <w:rPr>
                <w:rFonts w:cs="Helvetica"/>
                <w:bCs/>
                <w:color w:val="595959"/>
                <w:sz w:val="18"/>
                <w:szCs w:val="18"/>
              </w:rPr>
              <w:t>m</w:t>
            </w:r>
            <w:r w:rsidRPr="00076B66">
              <w:rPr>
                <w:rFonts w:cs="Helvetica"/>
                <w:bCs/>
                <w:color w:val="595959"/>
                <w:sz w:val="18"/>
                <w:szCs w:val="18"/>
                <w:vertAlign w:val="superscript"/>
              </w:rPr>
              <w:t>3</w:t>
            </w:r>
            <w:r w:rsidRPr="00076B66">
              <w:rPr>
                <w:rFonts w:cs="Helvetica"/>
                <w:bCs/>
                <w:color w:val="595959"/>
                <w:sz w:val="18"/>
                <w:szCs w:val="18"/>
              </w:rPr>
              <w:t xml:space="preserve"> </w:t>
            </w:r>
            <w:r w:rsidR="002F459A" w:rsidRPr="00B63273">
              <w:rPr>
                <w:rFonts w:cs="Helvetica"/>
                <w:color w:val="595959"/>
                <w:szCs w:val="20"/>
                <w:lang w:val="de-CH" w:eastAsia="en-GB"/>
              </w:rPr>
              <w:t>World-Equiv</w:t>
            </w:r>
            <w:r w:rsidR="002F459A">
              <w:rPr>
                <w:rFonts w:cs="Helvetica"/>
                <w:color w:val="595959"/>
                <w:szCs w:val="20"/>
                <w:lang w:val="de-CH" w:eastAsia="en-GB"/>
              </w:rPr>
              <w:t>/t</w:t>
            </w:r>
            <w:r w:rsidR="002F459A" w:rsidRPr="00076B66">
              <w:rPr>
                <w:rFonts w:cs="Helvetica"/>
                <w:bCs/>
                <w:color w:val="595959"/>
                <w:sz w:val="18"/>
                <w:szCs w:val="18"/>
              </w:rPr>
              <w:t xml:space="preserve"> </w:t>
            </w:r>
            <w:r w:rsidRPr="00076B66">
              <w:rPr>
                <w:rFonts w:cs="Helvetica"/>
                <w:bCs/>
                <w:color w:val="595959"/>
                <w:sz w:val="18"/>
                <w:szCs w:val="18"/>
              </w:rPr>
              <w:t>Al</w:t>
            </w:r>
          </w:p>
        </w:tc>
        <w:tc>
          <w:tcPr>
            <w:tcW w:w="1263" w:type="dxa"/>
            <w:vAlign w:val="center"/>
          </w:tcPr>
          <w:p w14:paraId="4700185D" w14:textId="43050D66" w:rsidR="004F10D0" w:rsidRPr="00076B66" w:rsidRDefault="004F10D0"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 w:val="18"/>
                <w:szCs w:val="18"/>
              </w:rPr>
            </w:pPr>
            <w:r w:rsidRPr="00076B66">
              <w:rPr>
                <w:rFonts w:cs="Helvetica"/>
                <w:bCs/>
                <w:color w:val="595959"/>
                <w:sz w:val="18"/>
                <w:szCs w:val="18"/>
              </w:rPr>
              <w:t>m</w:t>
            </w:r>
            <w:r w:rsidRPr="00076B66">
              <w:rPr>
                <w:rFonts w:cs="Helvetica"/>
                <w:bCs/>
                <w:color w:val="595959"/>
                <w:sz w:val="18"/>
                <w:szCs w:val="18"/>
                <w:vertAlign w:val="superscript"/>
              </w:rPr>
              <w:t>3</w:t>
            </w:r>
            <w:r w:rsidRPr="00076B66">
              <w:rPr>
                <w:rFonts w:cs="Helvetica"/>
                <w:bCs/>
                <w:color w:val="595959"/>
                <w:sz w:val="18"/>
                <w:szCs w:val="18"/>
              </w:rPr>
              <w:t xml:space="preserve"> </w:t>
            </w:r>
            <w:r w:rsidR="002F459A" w:rsidRPr="00B63273">
              <w:rPr>
                <w:rFonts w:cs="Helvetica"/>
                <w:color w:val="595959"/>
                <w:szCs w:val="20"/>
                <w:lang w:val="de-CH" w:eastAsia="en-GB"/>
              </w:rPr>
              <w:t>World-Equiv</w:t>
            </w:r>
            <w:r w:rsidR="002F459A">
              <w:rPr>
                <w:rFonts w:cs="Helvetica"/>
                <w:color w:val="595959"/>
                <w:szCs w:val="20"/>
                <w:lang w:val="de-CH" w:eastAsia="en-GB"/>
              </w:rPr>
              <w:t>/t</w:t>
            </w:r>
            <w:r w:rsidR="002F459A" w:rsidRPr="00076B66">
              <w:rPr>
                <w:rFonts w:cs="Helvetica"/>
                <w:bCs/>
                <w:color w:val="595959"/>
                <w:sz w:val="18"/>
                <w:szCs w:val="18"/>
              </w:rPr>
              <w:t xml:space="preserve"> </w:t>
            </w:r>
            <w:r w:rsidRPr="00076B66">
              <w:rPr>
                <w:rFonts w:cs="Helvetica"/>
                <w:bCs/>
                <w:color w:val="595959"/>
                <w:sz w:val="18"/>
                <w:szCs w:val="18"/>
              </w:rPr>
              <w:t>Al</w:t>
            </w:r>
          </w:p>
        </w:tc>
        <w:tc>
          <w:tcPr>
            <w:tcW w:w="0" w:type="auto"/>
            <w:noWrap/>
            <w:vAlign w:val="center"/>
          </w:tcPr>
          <w:p w14:paraId="69B371F6" w14:textId="7E4624D3" w:rsidR="004F10D0" w:rsidRPr="00076B66" w:rsidRDefault="004F10D0"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sz w:val="18"/>
                <w:szCs w:val="18"/>
              </w:rPr>
            </w:pPr>
            <w:r w:rsidRPr="00076B66">
              <w:rPr>
                <w:rFonts w:cs="Helvetica"/>
                <w:bCs/>
                <w:color w:val="595959"/>
                <w:sz w:val="18"/>
                <w:szCs w:val="18"/>
              </w:rPr>
              <w:t>m</w:t>
            </w:r>
            <w:r w:rsidRPr="00076B66">
              <w:rPr>
                <w:rFonts w:cs="Helvetica"/>
                <w:bCs/>
                <w:color w:val="595959"/>
                <w:sz w:val="18"/>
                <w:szCs w:val="18"/>
                <w:vertAlign w:val="superscript"/>
              </w:rPr>
              <w:t>3</w:t>
            </w:r>
            <w:r w:rsidRPr="00076B66">
              <w:rPr>
                <w:rFonts w:cs="Helvetica"/>
                <w:bCs/>
                <w:color w:val="595959"/>
                <w:sz w:val="18"/>
                <w:szCs w:val="18"/>
              </w:rPr>
              <w:t xml:space="preserve"> </w:t>
            </w:r>
            <w:r w:rsidR="002F459A" w:rsidRPr="00B63273">
              <w:rPr>
                <w:rFonts w:cs="Helvetica"/>
                <w:color w:val="595959"/>
                <w:szCs w:val="20"/>
                <w:lang w:val="de-CH" w:eastAsia="en-GB"/>
              </w:rPr>
              <w:t>World-Equiv</w:t>
            </w:r>
            <w:r w:rsidR="002F459A">
              <w:rPr>
                <w:rFonts w:cs="Helvetica"/>
                <w:color w:val="595959"/>
                <w:szCs w:val="20"/>
                <w:lang w:val="de-CH" w:eastAsia="en-GB"/>
              </w:rPr>
              <w:t>/t</w:t>
            </w:r>
            <w:r w:rsidR="002F459A" w:rsidRPr="00076B66">
              <w:rPr>
                <w:rFonts w:cs="Helvetica"/>
                <w:bCs/>
                <w:color w:val="595959"/>
                <w:sz w:val="18"/>
                <w:szCs w:val="18"/>
              </w:rPr>
              <w:t xml:space="preserve"> </w:t>
            </w:r>
            <w:r w:rsidRPr="00076B66">
              <w:rPr>
                <w:rFonts w:cs="Helvetica"/>
                <w:bCs/>
                <w:color w:val="595959"/>
                <w:sz w:val="18"/>
                <w:szCs w:val="18"/>
              </w:rPr>
              <w:t>Al</w:t>
            </w:r>
          </w:p>
        </w:tc>
      </w:tr>
      <w:tr w:rsidR="00460AAA" w:rsidRPr="004F10D0" w14:paraId="06315459" w14:textId="77777777" w:rsidTr="00791361">
        <w:trPr>
          <w:trHeight w:val="264"/>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5C005A" w14:textId="0787715E" w:rsidR="00FA5F7C" w:rsidRPr="00CD0327" w:rsidRDefault="00FA5F7C" w:rsidP="00FA5F7C">
            <w:pPr>
              <w:spacing w:after="0" w:line="312" w:lineRule="auto"/>
              <w:jc w:val="center"/>
              <w:rPr>
                <w:rFonts w:cs="Helvetica"/>
                <w:color w:val="4F4F4F"/>
                <w:szCs w:val="20"/>
              </w:rPr>
            </w:pPr>
            <w:r w:rsidRPr="00CD0327">
              <w:rPr>
                <w:rFonts w:cs="Helvetica"/>
                <w:color w:val="4F4F4F"/>
                <w:szCs w:val="20"/>
              </w:rPr>
              <w:t>GLO</w:t>
            </w:r>
          </w:p>
        </w:tc>
        <w:tc>
          <w:tcPr>
            <w:tcW w:w="1285" w:type="dxa"/>
            <w:vAlign w:val="center"/>
            <w:hideMark/>
          </w:tcPr>
          <w:p w14:paraId="49864959" w14:textId="77777777" w:rsidR="00FA5F7C" w:rsidRPr="00CD0327" w:rsidRDefault="00FA5F7C"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i/>
                <w:color w:val="4F4F4F"/>
                <w:szCs w:val="20"/>
              </w:rPr>
            </w:pPr>
            <w:r w:rsidRPr="00CD0327">
              <w:rPr>
                <w:rFonts w:cs="Helvetica"/>
                <w:i/>
                <w:color w:val="4F4F4F"/>
                <w:szCs w:val="20"/>
              </w:rPr>
              <w:t>GLO</w:t>
            </w:r>
          </w:p>
        </w:tc>
        <w:tc>
          <w:tcPr>
            <w:tcW w:w="1220" w:type="dxa"/>
            <w:vAlign w:val="center"/>
            <w:hideMark/>
          </w:tcPr>
          <w:p w14:paraId="3FB8AE34" w14:textId="05602FDA" w:rsidR="00FA5F7C" w:rsidRPr="00CD0327" w:rsidRDefault="00FA5F7C"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4F4F4F"/>
                <w:szCs w:val="20"/>
              </w:rPr>
            </w:pPr>
            <w:r w:rsidRPr="00CD0327">
              <w:rPr>
                <w:rFonts w:cs="Helvetica"/>
                <w:color w:val="4F4F4F"/>
                <w:szCs w:val="20"/>
              </w:rPr>
              <w:t>0.</w:t>
            </w:r>
            <w:r w:rsidR="005E65E1">
              <w:rPr>
                <w:rFonts w:cs="Helvetica"/>
                <w:color w:val="4F4F4F"/>
                <w:szCs w:val="20"/>
              </w:rPr>
              <w:t>6</w:t>
            </w:r>
            <w:r w:rsidR="00EA2479">
              <w:rPr>
                <w:rFonts w:cs="Helvetica"/>
                <w:color w:val="4F4F4F"/>
                <w:szCs w:val="20"/>
              </w:rPr>
              <w:t>1</w:t>
            </w:r>
          </w:p>
        </w:tc>
        <w:tc>
          <w:tcPr>
            <w:tcW w:w="1087" w:type="dxa"/>
            <w:tcBorders>
              <w:bottom w:val="single" w:sz="4" w:space="0" w:color="BFBFBF" w:themeColor="background1" w:themeShade="BF"/>
            </w:tcBorders>
            <w:vAlign w:val="center"/>
          </w:tcPr>
          <w:p w14:paraId="2AFFD6AF" w14:textId="17AC425E" w:rsidR="00FA5F7C" w:rsidRPr="00CD0327" w:rsidRDefault="00AF2EAB"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4F4F4F"/>
                <w:szCs w:val="20"/>
              </w:rPr>
            </w:pPr>
            <w:r>
              <w:rPr>
                <w:rFonts w:cs="Helvetica"/>
                <w:color w:val="4F4F4F"/>
                <w:szCs w:val="20"/>
              </w:rPr>
              <w:t>2.7</w:t>
            </w:r>
          </w:p>
        </w:tc>
        <w:tc>
          <w:tcPr>
            <w:tcW w:w="1171" w:type="dxa"/>
            <w:vAlign w:val="center"/>
          </w:tcPr>
          <w:p w14:paraId="7B6E4089" w14:textId="3B993A0E" w:rsidR="00FA5F7C" w:rsidRPr="00CD0327" w:rsidRDefault="007F4FE5"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i/>
                <w:color w:val="595959"/>
                <w:szCs w:val="20"/>
              </w:rPr>
            </w:pPr>
            <w:r>
              <w:rPr>
                <w:rFonts w:cs="Helvetica"/>
                <w:color w:val="4F4F4F"/>
                <w:szCs w:val="20"/>
              </w:rPr>
              <w:t>1.</w:t>
            </w:r>
            <w:r w:rsidR="00EA2479">
              <w:rPr>
                <w:rFonts w:cs="Helvetica"/>
                <w:color w:val="4F4F4F"/>
                <w:szCs w:val="20"/>
              </w:rPr>
              <w:t>6</w:t>
            </w:r>
          </w:p>
        </w:tc>
        <w:tc>
          <w:tcPr>
            <w:tcW w:w="932" w:type="dxa"/>
            <w:vAlign w:val="center"/>
            <w:hideMark/>
          </w:tcPr>
          <w:p w14:paraId="33DBD097" w14:textId="05CBEDCB" w:rsidR="00FA5F7C" w:rsidRPr="00CD0327" w:rsidRDefault="00FA5F7C"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i/>
                <w:color w:val="4F4F4F"/>
                <w:szCs w:val="20"/>
              </w:rPr>
            </w:pPr>
            <w:r w:rsidRPr="00076B66">
              <w:rPr>
                <w:rFonts w:cs="Helvetica"/>
                <w:i/>
                <w:color w:val="595959"/>
                <w:szCs w:val="20"/>
              </w:rPr>
              <w:t>GLO</w:t>
            </w:r>
          </w:p>
        </w:tc>
        <w:tc>
          <w:tcPr>
            <w:tcW w:w="1258" w:type="dxa"/>
            <w:vAlign w:val="center"/>
            <w:hideMark/>
          </w:tcPr>
          <w:p w14:paraId="6A16AE4D" w14:textId="6B017DED" w:rsidR="00FA5F7C" w:rsidRPr="00CD0327" w:rsidRDefault="00EA2479"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4F4F4F"/>
                <w:szCs w:val="20"/>
              </w:rPr>
            </w:pPr>
            <w:r>
              <w:rPr>
                <w:rFonts w:cs="Helvetica"/>
                <w:color w:val="4F4F4F"/>
                <w:szCs w:val="20"/>
              </w:rPr>
              <w:t>28.5</w:t>
            </w:r>
          </w:p>
        </w:tc>
        <w:tc>
          <w:tcPr>
            <w:tcW w:w="1239" w:type="dxa"/>
            <w:vAlign w:val="center"/>
          </w:tcPr>
          <w:p w14:paraId="0329B072" w14:textId="77777777" w:rsidR="00FA5F7C" w:rsidRPr="00CD0327" w:rsidRDefault="00FA5F7C"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Cs/>
                <w:color w:val="4F4F4F"/>
                <w:szCs w:val="20"/>
              </w:rPr>
            </w:pPr>
            <w:r w:rsidRPr="00CD0327">
              <w:rPr>
                <w:rFonts w:cs="Helvetica"/>
                <w:bCs/>
                <w:color w:val="4F4F4F"/>
                <w:szCs w:val="20"/>
              </w:rPr>
              <w:t>1.9</w:t>
            </w:r>
          </w:p>
        </w:tc>
        <w:tc>
          <w:tcPr>
            <w:tcW w:w="1240" w:type="dxa"/>
            <w:vAlign w:val="center"/>
          </w:tcPr>
          <w:p w14:paraId="64CA91BC" w14:textId="20E47E09" w:rsidR="00FA5F7C" w:rsidRPr="00CD0327" w:rsidRDefault="00EA2479"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Cs/>
                <w:i/>
                <w:color w:val="4F4F4F"/>
                <w:szCs w:val="20"/>
              </w:rPr>
            </w:pPr>
            <w:r>
              <w:rPr>
                <w:rFonts w:cs="Helvetica"/>
                <w:bCs/>
                <w:color w:val="4F4F4F"/>
                <w:szCs w:val="20"/>
              </w:rPr>
              <w:t>58</w:t>
            </w:r>
          </w:p>
        </w:tc>
        <w:tc>
          <w:tcPr>
            <w:tcW w:w="827" w:type="dxa"/>
            <w:vAlign w:val="center"/>
          </w:tcPr>
          <w:p w14:paraId="7162AB2D" w14:textId="14B4EFE8" w:rsidR="00FA5F7C" w:rsidRPr="00CD0327" w:rsidRDefault="00FA5F7C"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Cs/>
                <w:i/>
                <w:color w:val="4F4F4F"/>
                <w:szCs w:val="20"/>
              </w:rPr>
            </w:pPr>
            <w:r w:rsidRPr="00CD0327">
              <w:rPr>
                <w:rFonts w:cs="Helvetica"/>
                <w:bCs/>
                <w:i/>
                <w:color w:val="4F4F4F"/>
                <w:szCs w:val="20"/>
              </w:rPr>
              <w:t>GLO</w:t>
            </w:r>
          </w:p>
        </w:tc>
        <w:tc>
          <w:tcPr>
            <w:tcW w:w="1260" w:type="dxa"/>
            <w:vAlign w:val="center"/>
          </w:tcPr>
          <w:p w14:paraId="509E70E7" w14:textId="5BC48005" w:rsidR="00FA5F7C" w:rsidRPr="00CD0327" w:rsidRDefault="00EA2479"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4F4F4F"/>
                <w:szCs w:val="20"/>
              </w:rPr>
            </w:pPr>
            <w:r>
              <w:rPr>
                <w:rFonts w:cs="Helvetica"/>
                <w:color w:val="4F4F4F"/>
                <w:szCs w:val="20"/>
              </w:rPr>
              <w:t>11.7</w:t>
            </w:r>
          </w:p>
        </w:tc>
        <w:tc>
          <w:tcPr>
            <w:tcW w:w="1263" w:type="dxa"/>
            <w:vAlign w:val="center"/>
          </w:tcPr>
          <w:p w14:paraId="695E1B51" w14:textId="6533E951" w:rsidR="00FA5F7C" w:rsidRPr="00CD0327" w:rsidRDefault="00EA2479"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4F4F4F"/>
                <w:szCs w:val="20"/>
              </w:rPr>
            </w:pPr>
            <w:r>
              <w:rPr>
                <w:rFonts w:cs="Helvetica"/>
                <w:color w:val="4F4F4F"/>
                <w:szCs w:val="20"/>
              </w:rPr>
              <w:t>706</w:t>
            </w:r>
          </w:p>
        </w:tc>
        <w:tc>
          <w:tcPr>
            <w:tcW w:w="0" w:type="auto"/>
            <w:noWrap/>
            <w:vAlign w:val="center"/>
          </w:tcPr>
          <w:p w14:paraId="5A4AE49D" w14:textId="1073E27D" w:rsidR="00FA5F7C" w:rsidRPr="00076B66" w:rsidRDefault="00EA2479"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Cs w:val="20"/>
              </w:rPr>
            </w:pPr>
            <w:r>
              <w:rPr>
                <w:rFonts w:cs="Helvetica"/>
                <w:b/>
                <w:color w:val="595959"/>
                <w:szCs w:val="20"/>
              </w:rPr>
              <w:t>775</w:t>
            </w:r>
          </w:p>
        </w:tc>
      </w:tr>
      <w:tr w:rsidR="00791361" w:rsidRPr="004F10D0" w14:paraId="70BE8DAB" w14:textId="77777777" w:rsidTr="0079136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0" w:type="auto"/>
            <w:vAlign w:val="center"/>
          </w:tcPr>
          <w:p w14:paraId="2D7D90BB" w14:textId="2F7FAD9F" w:rsidR="00FA5F7C" w:rsidRPr="00CD0327" w:rsidRDefault="00FA5F7C" w:rsidP="00FA5F7C">
            <w:pPr>
              <w:spacing w:after="0" w:line="312" w:lineRule="auto"/>
              <w:jc w:val="center"/>
              <w:rPr>
                <w:rFonts w:cs="Helvetica"/>
                <w:color w:val="4F4F4F"/>
                <w:szCs w:val="20"/>
              </w:rPr>
            </w:pPr>
            <w:r w:rsidRPr="00CD0327">
              <w:rPr>
                <w:rFonts w:cs="Helvetica"/>
                <w:color w:val="4F4F4F"/>
                <w:szCs w:val="20"/>
              </w:rPr>
              <w:t>1</w:t>
            </w:r>
          </w:p>
        </w:tc>
        <w:tc>
          <w:tcPr>
            <w:tcW w:w="1285" w:type="dxa"/>
            <w:vAlign w:val="center"/>
            <w:hideMark/>
          </w:tcPr>
          <w:p w14:paraId="45262AD4" w14:textId="4499FC8A" w:rsidR="00FA5F7C" w:rsidRPr="00CD0327" w:rsidRDefault="00C831FB"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i/>
                <w:color w:val="4F4F4F"/>
                <w:szCs w:val="20"/>
              </w:rPr>
            </w:pPr>
            <w:r>
              <w:rPr>
                <w:rFonts w:cs="Helvetica"/>
                <w:i/>
                <w:color w:val="4F4F4F"/>
                <w:szCs w:val="20"/>
              </w:rPr>
              <w:t xml:space="preserve">CNA </w:t>
            </w:r>
          </w:p>
        </w:tc>
        <w:tc>
          <w:tcPr>
            <w:tcW w:w="1220" w:type="dxa"/>
            <w:vAlign w:val="center"/>
            <w:hideMark/>
          </w:tcPr>
          <w:p w14:paraId="6445D923" w14:textId="2359BC50" w:rsidR="00FA5F7C" w:rsidRPr="00CD0327" w:rsidRDefault="00EA2479"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4F4F4F"/>
                <w:szCs w:val="20"/>
              </w:rPr>
            </w:pPr>
            <w:r>
              <w:rPr>
                <w:rFonts w:cs="Helvetica"/>
                <w:color w:val="4F4F4F"/>
                <w:szCs w:val="20"/>
              </w:rPr>
              <w:t>1.07</w:t>
            </w:r>
          </w:p>
        </w:tc>
        <w:tc>
          <w:tcPr>
            <w:tcW w:w="1087" w:type="dxa"/>
            <w:vAlign w:val="center"/>
          </w:tcPr>
          <w:p w14:paraId="66A7F08D" w14:textId="6403591A" w:rsidR="00FA5F7C" w:rsidRPr="00CD0327" w:rsidRDefault="00AF2EAB"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4F4F4F"/>
                <w:szCs w:val="20"/>
              </w:rPr>
            </w:pPr>
            <w:r>
              <w:rPr>
                <w:rFonts w:cs="Helvetica"/>
                <w:color w:val="4F4F4F"/>
                <w:szCs w:val="20"/>
              </w:rPr>
              <w:t>2.7</w:t>
            </w:r>
          </w:p>
        </w:tc>
        <w:tc>
          <w:tcPr>
            <w:tcW w:w="1171" w:type="dxa"/>
            <w:vAlign w:val="center"/>
          </w:tcPr>
          <w:p w14:paraId="0792F016" w14:textId="57299B19" w:rsidR="00FA5F7C" w:rsidRPr="00CD0327" w:rsidRDefault="00EA2479"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i/>
                <w:color w:val="4F4F4F"/>
                <w:szCs w:val="20"/>
              </w:rPr>
            </w:pPr>
            <w:r>
              <w:rPr>
                <w:rFonts w:cs="Helvetica"/>
                <w:color w:val="4F4F4F"/>
                <w:szCs w:val="20"/>
              </w:rPr>
              <w:t>2</w:t>
            </w:r>
            <w:r w:rsidR="007F4FE5">
              <w:rPr>
                <w:rFonts w:cs="Helvetica"/>
                <w:color w:val="4F4F4F"/>
                <w:szCs w:val="20"/>
              </w:rPr>
              <w:t>.9</w:t>
            </w:r>
          </w:p>
        </w:tc>
        <w:tc>
          <w:tcPr>
            <w:tcW w:w="932" w:type="dxa"/>
            <w:vAlign w:val="center"/>
            <w:hideMark/>
          </w:tcPr>
          <w:p w14:paraId="53C42D15" w14:textId="4C558317" w:rsidR="00FA5F7C" w:rsidRPr="00CD0327" w:rsidRDefault="00FA5F7C"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i/>
                <w:color w:val="4F4F4F"/>
                <w:szCs w:val="20"/>
              </w:rPr>
            </w:pPr>
            <w:r w:rsidRPr="00CD0327">
              <w:rPr>
                <w:rFonts w:cs="Helvetica"/>
                <w:i/>
                <w:color w:val="4F4F4F"/>
                <w:szCs w:val="20"/>
              </w:rPr>
              <w:t>CNA</w:t>
            </w:r>
          </w:p>
        </w:tc>
        <w:tc>
          <w:tcPr>
            <w:tcW w:w="1258" w:type="dxa"/>
            <w:vAlign w:val="center"/>
            <w:hideMark/>
          </w:tcPr>
          <w:p w14:paraId="0102577D" w14:textId="61348837" w:rsidR="00FA5F7C" w:rsidRPr="00CD0327" w:rsidRDefault="00AE185B"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4F4F4F"/>
                <w:szCs w:val="20"/>
              </w:rPr>
            </w:pPr>
            <w:r>
              <w:rPr>
                <w:rFonts w:cs="Helvetica"/>
                <w:color w:val="4F4F4F"/>
                <w:szCs w:val="20"/>
              </w:rPr>
              <w:t>63</w:t>
            </w:r>
            <w:r w:rsidR="00EA2479">
              <w:rPr>
                <w:rFonts w:cs="Helvetica"/>
                <w:color w:val="4F4F4F"/>
                <w:szCs w:val="20"/>
              </w:rPr>
              <w:t>.6</w:t>
            </w:r>
          </w:p>
        </w:tc>
        <w:tc>
          <w:tcPr>
            <w:tcW w:w="1239" w:type="dxa"/>
            <w:vAlign w:val="center"/>
          </w:tcPr>
          <w:p w14:paraId="51E30863" w14:textId="64E67EDB" w:rsidR="00FA5F7C" w:rsidRPr="00CD0327" w:rsidRDefault="00E87CEB"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bCs/>
                <w:color w:val="4F4F4F"/>
                <w:szCs w:val="20"/>
              </w:rPr>
            </w:pPr>
            <w:r w:rsidRPr="00CD0327">
              <w:rPr>
                <w:rFonts w:cs="Helvetica"/>
                <w:bCs/>
                <w:color w:val="4F4F4F"/>
                <w:szCs w:val="20"/>
              </w:rPr>
              <w:t>1.9</w:t>
            </w:r>
          </w:p>
        </w:tc>
        <w:tc>
          <w:tcPr>
            <w:tcW w:w="1240" w:type="dxa"/>
            <w:vAlign w:val="center"/>
          </w:tcPr>
          <w:p w14:paraId="7818F23C" w14:textId="0D9E4A2A" w:rsidR="00FA5F7C" w:rsidRPr="00CD0327" w:rsidRDefault="00E77B51"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Cs/>
                <w:i/>
                <w:color w:val="4F4F4F"/>
                <w:szCs w:val="20"/>
              </w:rPr>
            </w:pPr>
            <w:r>
              <w:rPr>
                <w:rFonts w:cs="Helvetica"/>
                <w:bCs/>
                <w:color w:val="4F4F4F"/>
                <w:szCs w:val="20"/>
              </w:rPr>
              <w:t>1</w:t>
            </w:r>
            <w:r w:rsidR="00EA2479">
              <w:rPr>
                <w:rFonts w:cs="Helvetica"/>
                <w:bCs/>
                <w:color w:val="4F4F4F"/>
                <w:szCs w:val="20"/>
              </w:rPr>
              <w:t>27</w:t>
            </w:r>
          </w:p>
        </w:tc>
        <w:tc>
          <w:tcPr>
            <w:tcW w:w="827" w:type="dxa"/>
            <w:vAlign w:val="center"/>
          </w:tcPr>
          <w:p w14:paraId="0DC59DBA" w14:textId="70B64A9A" w:rsidR="00FA5F7C" w:rsidRPr="00CD0327" w:rsidRDefault="00FA5F7C"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Cs/>
                <w:i/>
                <w:color w:val="4F4F4F"/>
                <w:szCs w:val="20"/>
              </w:rPr>
            </w:pPr>
            <w:r w:rsidRPr="00CD0327">
              <w:rPr>
                <w:rFonts w:cs="Helvetica"/>
                <w:bCs/>
                <w:i/>
                <w:color w:val="4F4F4F"/>
                <w:szCs w:val="20"/>
              </w:rPr>
              <w:t>CNA</w:t>
            </w:r>
          </w:p>
        </w:tc>
        <w:tc>
          <w:tcPr>
            <w:tcW w:w="1260" w:type="dxa"/>
            <w:vAlign w:val="center"/>
          </w:tcPr>
          <w:p w14:paraId="59304D31" w14:textId="5A9ACBE3" w:rsidR="00FA5F7C" w:rsidRPr="00CD0327" w:rsidRDefault="00EA2479"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4F4F4F"/>
                <w:szCs w:val="20"/>
              </w:rPr>
            </w:pPr>
            <w:r>
              <w:rPr>
                <w:rFonts w:cs="Helvetica"/>
                <w:color w:val="4F4F4F"/>
                <w:szCs w:val="20"/>
              </w:rPr>
              <w:t>8.9</w:t>
            </w:r>
          </w:p>
        </w:tc>
        <w:tc>
          <w:tcPr>
            <w:tcW w:w="1263" w:type="dxa"/>
            <w:vAlign w:val="center"/>
          </w:tcPr>
          <w:p w14:paraId="2D0E2BFD" w14:textId="1D0D5FA3" w:rsidR="00FA5F7C" w:rsidRPr="00CD0327" w:rsidRDefault="00EA2479"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4F4F4F"/>
                <w:szCs w:val="20"/>
              </w:rPr>
            </w:pPr>
            <w:r>
              <w:rPr>
                <w:rFonts w:cs="Helvetica"/>
                <w:color w:val="4F4F4F"/>
                <w:szCs w:val="20"/>
              </w:rPr>
              <w:t>706</w:t>
            </w:r>
          </w:p>
        </w:tc>
        <w:tc>
          <w:tcPr>
            <w:tcW w:w="0" w:type="auto"/>
            <w:noWrap/>
            <w:vAlign w:val="center"/>
          </w:tcPr>
          <w:p w14:paraId="13BA64ED" w14:textId="0563C9E6" w:rsidR="00FA5F7C" w:rsidRPr="00076B66" w:rsidRDefault="00EA2479"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color w:val="595959"/>
                <w:szCs w:val="20"/>
              </w:rPr>
            </w:pPr>
            <w:r>
              <w:rPr>
                <w:rFonts w:cs="Helvetica"/>
                <w:b/>
                <w:color w:val="595959"/>
                <w:szCs w:val="20"/>
              </w:rPr>
              <w:t>842</w:t>
            </w:r>
          </w:p>
        </w:tc>
      </w:tr>
      <w:tr w:rsidR="00460AAA" w:rsidRPr="004F10D0" w14:paraId="03AE8CBE" w14:textId="77777777" w:rsidTr="00791361">
        <w:trPr>
          <w:trHeight w:val="264"/>
        </w:trPr>
        <w:tc>
          <w:tcPr>
            <w:cnfStyle w:val="001000000000" w:firstRow="0" w:lastRow="0" w:firstColumn="1" w:lastColumn="0" w:oddVBand="0" w:evenVBand="0" w:oddHBand="0" w:evenHBand="0" w:firstRowFirstColumn="0" w:firstRowLastColumn="0" w:lastRowFirstColumn="0" w:lastRowLastColumn="0"/>
            <w:tcW w:w="0" w:type="auto"/>
            <w:vAlign w:val="center"/>
          </w:tcPr>
          <w:p w14:paraId="594DD474" w14:textId="4B4E1CA3" w:rsidR="00FA5F7C" w:rsidRPr="00CD0327" w:rsidRDefault="00FA5F7C" w:rsidP="00FA5F7C">
            <w:pPr>
              <w:spacing w:after="0" w:line="312" w:lineRule="auto"/>
              <w:jc w:val="center"/>
              <w:rPr>
                <w:rFonts w:cs="Helvetica"/>
                <w:color w:val="4F4F4F"/>
                <w:szCs w:val="20"/>
              </w:rPr>
            </w:pPr>
            <w:r w:rsidRPr="00CD0327">
              <w:rPr>
                <w:rFonts w:cs="Helvetica"/>
                <w:color w:val="4F4F4F"/>
                <w:szCs w:val="20"/>
              </w:rPr>
              <w:t>2</w:t>
            </w:r>
          </w:p>
        </w:tc>
        <w:tc>
          <w:tcPr>
            <w:tcW w:w="1285" w:type="dxa"/>
            <w:vAlign w:val="center"/>
            <w:hideMark/>
          </w:tcPr>
          <w:p w14:paraId="19DC3F62" w14:textId="77777777" w:rsidR="00FA5F7C" w:rsidRPr="00CD0327" w:rsidRDefault="00FA5F7C"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i/>
                <w:color w:val="4F4F4F"/>
                <w:szCs w:val="20"/>
              </w:rPr>
            </w:pPr>
            <w:r w:rsidRPr="00CD0327">
              <w:rPr>
                <w:rFonts w:cs="Helvetica"/>
                <w:i/>
                <w:color w:val="4F4F4F"/>
                <w:szCs w:val="20"/>
              </w:rPr>
              <w:t>OCA</w:t>
            </w:r>
          </w:p>
        </w:tc>
        <w:tc>
          <w:tcPr>
            <w:tcW w:w="1220" w:type="dxa"/>
            <w:vAlign w:val="center"/>
            <w:hideMark/>
          </w:tcPr>
          <w:p w14:paraId="317852E4" w14:textId="252C18C4" w:rsidR="00FA5F7C" w:rsidRPr="00CD0327" w:rsidRDefault="00EA2479"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4F4F4F"/>
                <w:szCs w:val="20"/>
              </w:rPr>
            </w:pPr>
            <w:r>
              <w:rPr>
                <w:rFonts w:cs="Helvetica"/>
                <w:color w:val="4F4F4F"/>
                <w:szCs w:val="20"/>
              </w:rPr>
              <w:t>0.56</w:t>
            </w:r>
          </w:p>
        </w:tc>
        <w:tc>
          <w:tcPr>
            <w:tcW w:w="1087" w:type="dxa"/>
            <w:tcBorders>
              <w:bottom w:val="single" w:sz="4" w:space="0" w:color="BFBFBF" w:themeColor="background1" w:themeShade="BF"/>
            </w:tcBorders>
            <w:vAlign w:val="center"/>
          </w:tcPr>
          <w:p w14:paraId="7010C8D2" w14:textId="01C6170D" w:rsidR="00FA5F7C" w:rsidRPr="00CD0327" w:rsidRDefault="00AF2EAB"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4F4F4F"/>
                <w:szCs w:val="20"/>
              </w:rPr>
            </w:pPr>
            <w:r>
              <w:rPr>
                <w:rFonts w:cs="Helvetica"/>
                <w:color w:val="4F4F4F"/>
                <w:szCs w:val="20"/>
              </w:rPr>
              <w:t>2.8</w:t>
            </w:r>
          </w:p>
        </w:tc>
        <w:tc>
          <w:tcPr>
            <w:tcW w:w="1171" w:type="dxa"/>
            <w:vAlign w:val="center"/>
          </w:tcPr>
          <w:p w14:paraId="0BF99BFD" w14:textId="7113B5B3" w:rsidR="00FA5F7C" w:rsidRPr="00CD0327" w:rsidRDefault="00EA2479"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i/>
                <w:color w:val="4F4F4F"/>
                <w:szCs w:val="20"/>
              </w:rPr>
            </w:pPr>
            <w:r>
              <w:rPr>
                <w:rFonts w:cs="Helvetica"/>
                <w:color w:val="4F4F4F"/>
                <w:szCs w:val="20"/>
              </w:rPr>
              <w:t>1.5</w:t>
            </w:r>
          </w:p>
        </w:tc>
        <w:tc>
          <w:tcPr>
            <w:tcW w:w="932" w:type="dxa"/>
            <w:vAlign w:val="center"/>
            <w:hideMark/>
          </w:tcPr>
          <w:p w14:paraId="4EF511E1" w14:textId="0F069E75" w:rsidR="00FA5F7C" w:rsidRPr="00CD0327" w:rsidRDefault="00FA5F7C"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i/>
                <w:color w:val="4F4F4F"/>
                <w:szCs w:val="20"/>
              </w:rPr>
            </w:pPr>
            <w:r w:rsidRPr="00CD0327">
              <w:rPr>
                <w:rFonts w:cs="Helvetica"/>
                <w:i/>
                <w:color w:val="4F4F4F"/>
                <w:szCs w:val="20"/>
              </w:rPr>
              <w:t>OCA</w:t>
            </w:r>
          </w:p>
        </w:tc>
        <w:tc>
          <w:tcPr>
            <w:tcW w:w="1258" w:type="dxa"/>
            <w:vAlign w:val="center"/>
            <w:hideMark/>
          </w:tcPr>
          <w:p w14:paraId="01A76D21" w14:textId="2323525F" w:rsidR="00FA5F7C" w:rsidRPr="00CD0327" w:rsidRDefault="00EA2479"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4F4F4F"/>
                <w:szCs w:val="20"/>
              </w:rPr>
            </w:pPr>
            <w:r>
              <w:rPr>
                <w:rFonts w:cs="Helvetica"/>
                <w:color w:val="4F4F4F"/>
                <w:szCs w:val="20"/>
              </w:rPr>
              <w:t>3</w:t>
            </w:r>
            <w:r w:rsidR="00AE185B">
              <w:rPr>
                <w:rFonts w:cs="Helvetica"/>
                <w:color w:val="4F4F4F"/>
                <w:szCs w:val="20"/>
              </w:rPr>
              <w:t>6.</w:t>
            </w:r>
            <w:r>
              <w:rPr>
                <w:rFonts w:cs="Helvetica"/>
                <w:color w:val="4F4F4F"/>
                <w:szCs w:val="20"/>
              </w:rPr>
              <w:t>3</w:t>
            </w:r>
          </w:p>
        </w:tc>
        <w:tc>
          <w:tcPr>
            <w:tcW w:w="1239" w:type="dxa"/>
            <w:vAlign w:val="center"/>
          </w:tcPr>
          <w:p w14:paraId="0F123686" w14:textId="7A25E258" w:rsidR="00FA5F7C" w:rsidRPr="00CD0327" w:rsidRDefault="00E87CEB"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bCs/>
                <w:color w:val="4F4F4F"/>
                <w:szCs w:val="20"/>
              </w:rPr>
            </w:pPr>
            <w:r w:rsidRPr="00CD0327">
              <w:rPr>
                <w:rFonts w:cs="Helvetica"/>
                <w:bCs/>
                <w:color w:val="4F4F4F"/>
                <w:szCs w:val="20"/>
              </w:rPr>
              <w:t>1.9</w:t>
            </w:r>
          </w:p>
        </w:tc>
        <w:tc>
          <w:tcPr>
            <w:tcW w:w="1240" w:type="dxa"/>
            <w:vAlign w:val="center"/>
          </w:tcPr>
          <w:p w14:paraId="71B95E20" w14:textId="34281A70" w:rsidR="00FA5F7C" w:rsidRPr="00CD0327" w:rsidRDefault="00EA2479"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Cs/>
                <w:i/>
                <w:color w:val="4F4F4F"/>
                <w:szCs w:val="20"/>
              </w:rPr>
            </w:pPr>
            <w:r>
              <w:rPr>
                <w:rFonts w:cs="Helvetica"/>
                <w:bCs/>
                <w:color w:val="4F4F4F"/>
                <w:szCs w:val="20"/>
              </w:rPr>
              <w:t>73</w:t>
            </w:r>
          </w:p>
        </w:tc>
        <w:tc>
          <w:tcPr>
            <w:tcW w:w="827" w:type="dxa"/>
            <w:vAlign w:val="center"/>
          </w:tcPr>
          <w:p w14:paraId="48C27A9D" w14:textId="5166D0BC" w:rsidR="00FA5F7C" w:rsidRPr="00CD0327" w:rsidRDefault="00C831FB"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Cs/>
                <w:i/>
                <w:color w:val="4F4F4F"/>
                <w:szCs w:val="20"/>
              </w:rPr>
            </w:pPr>
            <w:r>
              <w:rPr>
                <w:rFonts w:cs="Helvetica"/>
                <w:bCs/>
                <w:i/>
                <w:color w:val="4F4F4F"/>
                <w:szCs w:val="20"/>
              </w:rPr>
              <w:t>GCC</w:t>
            </w:r>
          </w:p>
        </w:tc>
        <w:tc>
          <w:tcPr>
            <w:tcW w:w="1260" w:type="dxa"/>
            <w:vAlign w:val="center"/>
          </w:tcPr>
          <w:p w14:paraId="168A729F" w14:textId="0CCEFA75" w:rsidR="00FA5F7C" w:rsidRPr="00CD0327" w:rsidRDefault="004869CC"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4F4F4F"/>
                <w:szCs w:val="20"/>
              </w:rPr>
            </w:pPr>
            <w:r>
              <w:rPr>
                <w:rFonts w:cs="Helvetica"/>
                <w:color w:val="4F4F4F"/>
                <w:szCs w:val="20"/>
              </w:rPr>
              <w:t>0</w:t>
            </w:r>
          </w:p>
        </w:tc>
        <w:tc>
          <w:tcPr>
            <w:tcW w:w="1263" w:type="dxa"/>
            <w:vAlign w:val="center"/>
          </w:tcPr>
          <w:p w14:paraId="585BEFE3" w14:textId="02FCE220" w:rsidR="00FA5F7C" w:rsidRPr="00CD0327" w:rsidRDefault="00CF6F7D"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4F4F4F"/>
                <w:szCs w:val="20"/>
              </w:rPr>
            </w:pPr>
            <w:r>
              <w:rPr>
                <w:rFonts w:cs="Helvetica"/>
                <w:color w:val="4F4F4F"/>
                <w:szCs w:val="20"/>
              </w:rPr>
              <w:t>12</w:t>
            </w:r>
          </w:p>
        </w:tc>
        <w:tc>
          <w:tcPr>
            <w:tcW w:w="0" w:type="auto"/>
            <w:noWrap/>
            <w:vAlign w:val="center"/>
          </w:tcPr>
          <w:p w14:paraId="5A0EC529" w14:textId="2671B10A" w:rsidR="00FA5F7C" w:rsidRPr="00076B66" w:rsidRDefault="00EA2479"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Cs w:val="20"/>
              </w:rPr>
            </w:pPr>
            <w:r>
              <w:rPr>
                <w:rFonts w:cs="Helvetica"/>
                <w:b/>
                <w:color w:val="595959"/>
                <w:szCs w:val="20"/>
              </w:rPr>
              <w:t>85</w:t>
            </w:r>
          </w:p>
        </w:tc>
      </w:tr>
      <w:tr w:rsidR="00791361" w:rsidRPr="004F10D0" w14:paraId="4E224FA5" w14:textId="77777777" w:rsidTr="0079136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59F624" w14:textId="16830C8A" w:rsidR="00FA5F7C" w:rsidRPr="00CD0327" w:rsidRDefault="00FA5F7C" w:rsidP="00FA5F7C">
            <w:pPr>
              <w:spacing w:after="0" w:line="312" w:lineRule="auto"/>
              <w:jc w:val="center"/>
              <w:rPr>
                <w:rFonts w:cs="Helvetica"/>
                <w:color w:val="4F4F4F"/>
                <w:szCs w:val="20"/>
              </w:rPr>
            </w:pPr>
            <w:r w:rsidRPr="00CD0327">
              <w:rPr>
                <w:rFonts w:cs="Helvetica"/>
                <w:color w:val="4F4F4F"/>
                <w:szCs w:val="20"/>
              </w:rPr>
              <w:t>3</w:t>
            </w:r>
          </w:p>
        </w:tc>
        <w:tc>
          <w:tcPr>
            <w:tcW w:w="1285" w:type="dxa"/>
            <w:vAlign w:val="center"/>
            <w:hideMark/>
          </w:tcPr>
          <w:p w14:paraId="4844A7DB" w14:textId="63B05940" w:rsidR="00FA5F7C" w:rsidRPr="00CD0327" w:rsidRDefault="00C831FB"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i/>
                <w:color w:val="4F4F4F"/>
                <w:szCs w:val="20"/>
              </w:rPr>
            </w:pPr>
            <w:r>
              <w:rPr>
                <w:rFonts w:cs="Helvetica"/>
                <w:i/>
                <w:color w:val="4F4F4F"/>
                <w:szCs w:val="20"/>
              </w:rPr>
              <w:t>AFR</w:t>
            </w:r>
          </w:p>
        </w:tc>
        <w:tc>
          <w:tcPr>
            <w:tcW w:w="1220" w:type="dxa"/>
            <w:vAlign w:val="center"/>
            <w:hideMark/>
          </w:tcPr>
          <w:p w14:paraId="0CE8622A" w14:textId="5E807AB9" w:rsidR="00FA5F7C" w:rsidRPr="00CD0327" w:rsidRDefault="00FA5F7C"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4F4F4F"/>
                <w:szCs w:val="20"/>
              </w:rPr>
            </w:pPr>
            <w:r w:rsidRPr="00CD0327">
              <w:rPr>
                <w:rFonts w:cs="Helvetica"/>
                <w:color w:val="4F4F4F"/>
                <w:szCs w:val="20"/>
              </w:rPr>
              <w:t>0.</w:t>
            </w:r>
            <w:r w:rsidR="005E65E1">
              <w:rPr>
                <w:rFonts w:cs="Helvetica"/>
                <w:color w:val="4F4F4F"/>
                <w:szCs w:val="20"/>
              </w:rPr>
              <w:t>3</w:t>
            </w:r>
            <w:r w:rsidR="00EA2479">
              <w:rPr>
                <w:rFonts w:cs="Helvetica"/>
                <w:color w:val="4F4F4F"/>
                <w:szCs w:val="20"/>
              </w:rPr>
              <w:t>8</w:t>
            </w:r>
          </w:p>
        </w:tc>
        <w:tc>
          <w:tcPr>
            <w:tcW w:w="1087" w:type="dxa"/>
            <w:vAlign w:val="center"/>
          </w:tcPr>
          <w:p w14:paraId="4A0AA46C" w14:textId="2D3A6291" w:rsidR="00FA5F7C" w:rsidRPr="00CD0327" w:rsidRDefault="00AF2EAB"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4F4F4F"/>
                <w:szCs w:val="20"/>
              </w:rPr>
            </w:pPr>
            <w:r>
              <w:rPr>
                <w:rFonts w:cs="Helvetica"/>
                <w:color w:val="4F4F4F"/>
                <w:szCs w:val="20"/>
              </w:rPr>
              <w:t>2.7</w:t>
            </w:r>
          </w:p>
        </w:tc>
        <w:tc>
          <w:tcPr>
            <w:tcW w:w="1171" w:type="dxa"/>
            <w:vAlign w:val="center"/>
          </w:tcPr>
          <w:p w14:paraId="09EA531A" w14:textId="0E5C9394" w:rsidR="00FA5F7C" w:rsidRPr="00CD0327" w:rsidRDefault="007F4FE5"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i/>
                <w:color w:val="4F4F4F"/>
                <w:szCs w:val="20"/>
              </w:rPr>
            </w:pPr>
            <w:r>
              <w:rPr>
                <w:rFonts w:cs="Helvetica"/>
                <w:color w:val="4F4F4F"/>
                <w:szCs w:val="20"/>
              </w:rPr>
              <w:t>1.0</w:t>
            </w:r>
          </w:p>
        </w:tc>
        <w:tc>
          <w:tcPr>
            <w:tcW w:w="932" w:type="dxa"/>
            <w:vAlign w:val="center"/>
            <w:hideMark/>
          </w:tcPr>
          <w:p w14:paraId="1552A1CC" w14:textId="56A16D48" w:rsidR="00FA5F7C" w:rsidRPr="00CD0327" w:rsidRDefault="00FA5F7C"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i/>
                <w:color w:val="4F4F4F"/>
                <w:szCs w:val="20"/>
              </w:rPr>
            </w:pPr>
            <w:r w:rsidRPr="00CD0327">
              <w:rPr>
                <w:rFonts w:cs="Helvetica"/>
                <w:i/>
                <w:color w:val="4F4F4F"/>
                <w:szCs w:val="20"/>
              </w:rPr>
              <w:t>EUR</w:t>
            </w:r>
          </w:p>
        </w:tc>
        <w:tc>
          <w:tcPr>
            <w:tcW w:w="1258" w:type="dxa"/>
            <w:vAlign w:val="center"/>
            <w:hideMark/>
          </w:tcPr>
          <w:p w14:paraId="4529F6E7" w14:textId="15F26C61" w:rsidR="00FA5F7C" w:rsidRPr="00CD0327" w:rsidRDefault="00EA2479"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4F4F4F"/>
                <w:szCs w:val="20"/>
              </w:rPr>
            </w:pPr>
            <w:r>
              <w:rPr>
                <w:rFonts w:cs="Helvetica"/>
                <w:color w:val="4F4F4F"/>
                <w:szCs w:val="20"/>
              </w:rPr>
              <w:t>13.5</w:t>
            </w:r>
          </w:p>
        </w:tc>
        <w:tc>
          <w:tcPr>
            <w:tcW w:w="1239" w:type="dxa"/>
            <w:vAlign w:val="center"/>
          </w:tcPr>
          <w:p w14:paraId="75F1E1BE" w14:textId="7D4F37E9" w:rsidR="00FA5F7C" w:rsidRPr="00CD0327" w:rsidRDefault="00E87CEB"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bCs/>
                <w:color w:val="4F4F4F"/>
                <w:szCs w:val="20"/>
              </w:rPr>
            </w:pPr>
            <w:r w:rsidRPr="00CD0327">
              <w:rPr>
                <w:rFonts w:cs="Helvetica"/>
                <w:bCs/>
                <w:color w:val="4F4F4F"/>
                <w:szCs w:val="20"/>
              </w:rPr>
              <w:t>1.9</w:t>
            </w:r>
          </w:p>
        </w:tc>
        <w:tc>
          <w:tcPr>
            <w:tcW w:w="1240" w:type="dxa"/>
            <w:vAlign w:val="center"/>
          </w:tcPr>
          <w:p w14:paraId="5AA5AA67" w14:textId="4FF58CD6" w:rsidR="00FA5F7C" w:rsidRPr="00CD0327" w:rsidRDefault="00E77B51"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Cs/>
                <w:i/>
                <w:color w:val="4F4F4F"/>
                <w:szCs w:val="20"/>
              </w:rPr>
            </w:pPr>
            <w:r>
              <w:rPr>
                <w:rFonts w:cs="Helvetica"/>
                <w:bCs/>
                <w:color w:val="4F4F4F"/>
                <w:szCs w:val="20"/>
              </w:rPr>
              <w:t>2</w:t>
            </w:r>
            <w:r w:rsidR="00EA2479">
              <w:rPr>
                <w:rFonts w:cs="Helvetica"/>
                <w:bCs/>
                <w:color w:val="4F4F4F"/>
                <w:szCs w:val="20"/>
              </w:rPr>
              <w:t>7</w:t>
            </w:r>
          </w:p>
        </w:tc>
        <w:tc>
          <w:tcPr>
            <w:tcW w:w="827" w:type="dxa"/>
            <w:vAlign w:val="center"/>
          </w:tcPr>
          <w:p w14:paraId="5B6E3074" w14:textId="7AFDC285" w:rsidR="00FA5F7C" w:rsidRPr="00CD0327" w:rsidRDefault="00FA5F7C"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Cs/>
                <w:i/>
                <w:color w:val="4F4F4F"/>
                <w:szCs w:val="20"/>
              </w:rPr>
            </w:pPr>
            <w:r w:rsidRPr="00CD0327">
              <w:rPr>
                <w:rFonts w:cs="Helvetica"/>
                <w:bCs/>
                <w:i/>
                <w:color w:val="4F4F4F"/>
                <w:szCs w:val="20"/>
              </w:rPr>
              <w:t>EUR</w:t>
            </w:r>
          </w:p>
        </w:tc>
        <w:tc>
          <w:tcPr>
            <w:tcW w:w="1260" w:type="dxa"/>
            <w:vAlign w:val="center"/>
          </w:tcPr>
          <w:p w14:paraId="6983D892" w14:textId="1266588D" w:rsidR="00FA5F7C" w:rsidRPr="00CD0327" w:rsidRDefault="004869CC"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4F4F4F"/>
                <w:szCs w:val="20"/>
              </w:rPr>
            </w:pPr>
            <w:r>
              <w:rPr>
                <w:rFonts w:cs="Helvetica"/>
                <w:color w:val="4F4F4F"/>
                <w:szCs w:val="20"/>
              </w:rPr>
              <w:t>7.3</w:t>
            </w:r>
          </w:p>
        </w:tc>
        <w:tc>
          <w:tcPr>
            <w:tcW w:w="1263" w:type="dxa"/>
            <w:vAlign w:val="center"/>
          </w:tcPr>
          <w:p w14:paraId="02184EE8" w14:textId="24BE2E06" w:rsidR="00FA5F7C" w:rsidRPr="00CD0327" w:rsidRDefault="00EA2479"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4F4F4F"/>
                <w:szCs w:val="20"/>
              </w:rPr>
            </w:pPr>
            <w:r>
              <w:rPr>
                <w:rFonts w:cs="Helvetica"/>
                <w:color w:val="4F4F4F"/>
                <w:szCs w:val="20"/>
              </w:rPr>
              <w:t>411</w:t>
            </w:r>
          </w:p>
        </w:tc>
        <w:tc>
          <w:tcPr>
            <w:tcW w:w="0" w:type="auto"/>
            <w:noWrap/>
            <w:vAlign w:val="center"/>
          </w:tcPr>
          <w:p w14:paraId="7997C30A" w14:textId="0417D1A5" w:rsidR="00FA5F7C" w:rsidRPr="00076B66" w:rsidRDefault="00EA2479" w:rsidP="00FA5F7C">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color w:val="595959"/>
                <w:szCs w:val="20"/>
              </w:rPr>
            </w:pPr>
            <w:r>
              <w:rPr>
                <w:rFonts w:cs="Helvetica"/>
                <w:b/>
                <w:color w:val="595959"/>
                <w:szCs w:val="20"/>
              </w:rPr>
              <w:t>445</w:t>
            </w:r>
          </w:p>
        </w:tc>
      </w:tr>
      <w:tr w:rsidR="00460AAA" w:rsidRPr="004F10D0" w14:paraId="5BEACAC3" w14:textId="77777777" w:rsidTr="00791361">
        <w:trPr>
          <w:trHeight w:val="264"/>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5644D6" w14:textId="16B742DA" w:rsidR="00FA5F7C" w:rsidRPr="00CD0327" w:rsidRDefault="00FA5F7C" w:rsidP="00FA5F7C">
            <w:pPr>
              <w:spacing w:after="0" w:line="312" w:lineRule="auto"/>
              <w:jc w:val="center"/>
              <w:rPr>
                <w:rFonts w:cs="Helvetica"/>
                <w:color w:val="4F4F4F"/>
                <w:szCs w:val="20"/>
              </w:rPr>
            </w:pPr>
            <w:r w:rsidRPr="00CD0327">
              <w:rPr>
                <w:rFonts w:cs="Helvetica"/>
                <w:color w:val="4F4F4F"/>
                <w:szCs w:val="20"/>
              </w:rPr>
              <w:t>4</w:t>
            </w:r>
          </w:p>
        </w:tc>
        <w:tc>
          <w:tcPr>
            <w:tcW w:w="1285" w:type="dxa"/>
            <w:vAlign w:val="center"/>
            <w:hideMark/>
          </w:tcPr>
          <w:p w14:paraId="299B7BB1" w14:textId="20F5D443" w:rsidR="00FA5F7C" w:rsidRPr="00CD0327" w:rsidRDefault="00CD712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i/>
                <w:color w:val="4F4F4F"/>
                <w:szCs w:val="20"/>
              </w:rPr>
            </w:pPr>
            <w:r>
              <w:rPr>
                <w:rFonts w:cs="Helvetica"/>
                <w:i/>
                <w:color w:val="4F4F4F"/>
                <w:szCs w:val="20"/>
              </w:rPr>
              <w:t>SAM</w:t>
            </w:r>
          </w:p>
        </w:tc>
        <w:tc>
          <w:tcPr>
            <w:tcW w:w="1220" w:type="dxa"/>
            <w:vAlign w:val="center"/>
            <w:hideMark/>
          </w:tcPr>
          <w:p w14:paraId="4CE506BF" w14:textId="4272DD71" w:rsidR="00FA5F7C" w:rsidRPr="00CD0327" w:rsidRDefault="00FA5F7C"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4F4F4F"/>
                <w:szCs w:val="20"/>
              </w:rPr>
            </w:pPr>
            <w:r w:rsidRPr="00CD0327">
              <w:rPr>
                <w:rFonts w:cs="Helvetica"/>
                <w:color w:val="4F4F4F"/>
                <w:szCs w:val="20"/>
              </w:rPr>
              <w:t>0.</w:t>
            </w:r>
            <w:r w:rsidR="00EA2479">
              <w:rPr>
                <w:rFonts w:cs="Helvetica"/>
                <w:color w:val="4F4F4F"/>
                <w:szCs w:val="20"/>
              </w:rPr>
              <w:t>30</w:t>
            </w:r>
          </w:p>
        </w:tc>
        <w:tc>
          <w:tcPr>
            <w:tcW w:w="1087" w:type="dxa"/>
            <w:vAlign w:val="center"/>
          </w:tcPr>
          <w:p w14:paraId="0940B83D" w14:textId="7FAEE7F6" w:rsidR="00FA5F7C" w:rsidRPr="00CD0327" w:rsidRDefault="00AF2EAB"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4F4F4F"/>
                <w:szCs w:val="20"/>
              </w:rPr>
            </w:pPr>
            <w:r>
              <w:rPr>
                <w:rFonts w:cs="Helvetica"/>
                <w:color w:val="4F4F4F"/>
                <w:szCs w:val="20"/>
              </w:rPr>
              <w:t>2.5</w:t>
            </w:r>
          </w:p>
        </w:tc>
        <w:tc>
          <w:tcPr>
            <w:tcW w:w="1171" w:type="dxa"/>
            <w:vAlign w:val="center"/>
          </w:tcPr>
          <w:p w14:paraId="21D2E1BD" w14:textId="3CBBD95E" w:rsidR="00FA5F7C" w:rsidRPr="00CD0327" w:rsidRDefault="00FA5F7C"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i/>
                <w:color w:val="4F4F4F"/>
                <w:szCs w:val="20"/>
              </w:rPr>
            </w:pPr>
            <w:r w:rsidRPr="00CD0327">
              <w:rPr>
                <w:rFonts w:cs="Helvetica"/>
                <w:color w:val="4F4F4F"/>
                <w:szCs w:val="20"/>
              </w:rPr>
              <w:t>0.</w:t>
            </w:r>
            <w:r w:rsidR="007F4FE5">
              <w:rPr>
                <w:rFonts w:cs="Helvetica"/>
                <w:color w:val="4F4F4F"/>
                <w:szCs w:val="20"/>
              </w:rPr>
              <w:t>7</w:t>
            </w:r>
          </w:p>
        </w:tc>
        <w:tc>
          <w:tcPr>
            <w:tcW w:w="932" w:type="dxa"/>
            <w:vAlign w:val="center"/>
            <w:hideMark/>
          </w:tcPr>
          <w:p w14:paraId="12E8B063" w14:textId="56E7BE28" w:rsidR="00FA5F7C" w:rsidRPr="00CD0327" w:rsidRDefault="00CD712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i/>
                <w:color w:val="4F4F4F"/>
                <w:szCs w:val="20"/>
              </w:rPr>
            </w:pPr>
            <w:r>
              <w:rPr>
                <w:rFonts w:cs="Helvetica"/>
                <w:i/>
                <w:color w:val="4F4F4F"/>
                <w:szCs w:val="20"/>
              </w:rPr>
              <w:t>SAM</w:t>
            </w:r>
          </w:p>
        </w:tc>
        <w:tc>
          <w:tcPr>
            <w:tcW w:w="1258" w:type="dxa"/>
            <w:vAlign w:val="center"/>
            <w:hideMark/>
          </w:tcPr>
          <w:p w14:paraId="008EEDC4" w14:textId="5F96918A" w:rsidR="00FA5F7C" w:rsidRPr="00CD0327" w:rsidRDefault="00EA2479"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4F4F4F"/>
                <w:szCs w:val="20"/>
              </w:rPr>
            </w:pPr>
            <w:r>
              <w:rPr>
                <w:rFonts w:cs="Helvetica"/>
                <w:color w:val="4F4F4F"/>
                <w:szCs w:val="20"/>
              </w:rPr>
              <w:t>17.0</w:t>
            </w:r>
          </w:p>
        </w:tc>
        <w:tc>
          <w:tcPr>
            <w:tcW w:w="1239" w:type="dxa"/>
            <w:vAlign w:val="center"/>
          </w:tcPr>
          <w:p w14:paraId="064423D1" w14:textId="56DC67D8" w:rsidR="00FA5F7C" w:rsidRPr="00CD0327" w:rsidRDefault="00E87CEB"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bCs/>
                <w:color w:val="4F4F4F"/>
                <w:szCs w:val="20"/>
              </w:rPr>
            </w:pPr>
            <w:r w:rsidRPr="00CD0327">
              <w:rPr>
                <w:rFonts w:cs="Helvetica"/>
                <w:bCs/>
                <w:color w:val="4F4F4F"/>
                <w:szCs w:val="20"/>
              </w:rPr>
              <w:t>1.9</w:t>
            </w:r>
          </w:p>
        </w:tc>
        <w:tc>
          <w:tcPr>
            <w:tcW w:w="1240" w:type="dxa"/>
            <w:vAlign w:val="center"/>
          </w:tcPr>
          <w:p w14:paraId="0C869765" w14:textId="28248BC9" w:rsidR="00FA5F7C" w:rsidRPr="00CD0327" w:rsidRDefault="00E77B51"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Cs/>
                <w:i/>
                <w:color w:val="4F4F4F"/>
                <w:szCs w:val="20"/>
              </w:rPr>
            </w:pPr>
            <w:r>
              <w:rPr>
                <w:rFonts w:cs="Helvetica"/>
                <w:bCs/>
                <w:color w:val="4F4F4F"/>
                <w:szCs w:val="20"/>
              </w:rPr>
              <w:t>3</w:t>
            </w:r>
            <w:r w:rsidR="00EA2479">
              <w:rPr>
                <w:rFonts w:cs="Helvetica"/>
                <w:bCs/>
                <w:color w:val="4F4F4F"/>
                <w:szCs w:val="20"/>
              </w:rPr>
              <w:t>4</w:t>
            </w:r>
          </w:p>
        </w:tc>
        <w:tc>
          <w:tcPr>
            <w:tcW w:w="827" w:type="dxa"/>
            <w:vAlign w:val="center"/>
          </w:tcPr>
          <w:p w14:paraId="7F1EB176" w14:textId="5D4C63C9" w:rsidR="00FA5F7C" w:rsidRPr="00CD0327" w:rsidRDefault="00CD7120"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Cs/>
                <w:i/>
                <w:color w:val="4F4F4F"/>
                <w:szCs w:val="20"/>
              </w:rPr>
            </w:pPr>
            <w:r>
              <w:rPr>
                <w:rFonts w:cs="Helvetica"/>
                <w:bCs/>
                <w:i/>
                <w:color w:val="4F4F4F"/>
                <w:szCs w:val="20"/>
              </w:rPr>
              <w:t>CAN</w:t>
            </w:r>
          </w:p>
        </w:tc>
        <w:tc>
          <w:tcPr>
            <w:tcW w:w="1260" w:type="dxa"/>
            <w:vAlign w:val="center"/>
          </w:tcPr>
          <w:p w14:paraId="07782EE4" w14:textId="5999CEF1" w:rsidR="00FA5F7C" w:rsidRPr="00CD0327" w:rsidRDefault="00EA2479"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4F4F4F"/>
                <w:szCs w:val="20"/>
              </w:rPr>
            </w:pPr>
            <w:r>
              <w:rPr>
                <w:rFonts w:cs="Helvetica"/>
                <w:color w:val="4F4F4F"/>
                <w:szCs w:val="20"/>
              </w:rPr>
              <w:t>52.8</w:t>
            </w:r>
          </w:p>
        </w:tc>
        <w:tc>
          <w:tcPr>
            <w:tcW w:w="1263" w:type="dxa"/>
            <w:vAlign w:val="center"/>
          </w:tcPr>
          <w:p w14:paraId="28ABA191" w14:textId="7BFDEE38" w:rsidR="00FA5F7C" w:rsidRPr="00CD0327" w:rsidRDefault="00EA2479"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4F4F4F"/>
                <w:szCs w:val="20"/>
              </w:rPr>
            </w:pPr>
            <w:r>
              <w:rPr>
                <w:rFonts w:cs="Helvetica"/>
                <w:color w:val="4F4F4F"/>
                <w:szCs w:val="20"/>
              </w:rPr>
              <w:t>150</w:t>
            </w:r>
          </w:p>
        </w:tc>
        <w:tc>
          <w:tcPr>
            <w:tcW w:w="0" w:type="auto"/>
            <w:noWrap/>
            <w:vAlign w:val="center"/>
          </w:tcPr>
          <w:p w14:paraId="5B620F1E" w14:textId="15E1E5E9" w:rsidR="00FA5F7C" w:rsidRPr="00076B66" w:rsidRDefault="004F0312" w:rsidP="00FA5F7C">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b/>
                <w:color w:val="595959"/>
                <w:szCs w:val="20"/>
              </w:rPr>
            </w:pPr>
            <w:r>
              <w:rPr>
                <w:rFonts w:cs="Helvetica"/>
                <w:b/>
                <w:color w:val="595959"/>
                <w:szCs w:val="20"/>
              </w:rPr>
              <w:t>575</w:t>
            </w:r>
          </w:p>
        </w:tc>
      </w:tr>
    </w:tbl>
    <w:p w14:paraId="2B088138" w14:textId="3CA97D5C" w:rsidR="00190059" w:rsidRPr="00BF1D30" w:rsidRDefault="00C01B1E" w:rsidP="009265D2">
      <w:pPr>
        <w:spacing w:before="120" w:after="0"/>
        <w:jc w:val="right"/>
        <w:rPr>
          <w:rFonts w:cs="Helvetica"/>
          <w:b/>
          <w:color w:val="595959"/>
          <w:szCs w:val="20"/>
          <w:lang w:eastAsia="en-GB"/>
        </w:rPr>
      </w:pPr>
      <w:r w:rsidRPr="00BF1D30">
        <w:rPr>
          <w:rFonts w:cs="Helvetica"/>
          <w:b/>
          <w:color w:val="595959"/>
          <w:szCs w:val="20"/>
          <w:lang w:eastAsia="en-GB"/>
        </w:rPr>
        <w:t xml:space="preserve">Table </w:t>
      </w:r>
      <w:r w:rsidR="008736FB" w:rsidRPr="00BF1D30">
        <w:rPr>
          <w:rFonts w:cs="Helvetica"/>
          <w:b/>
          <w:color w:val="595959"/>
          <w:szCs w:val="20"/>
          <w:lang w:eastAsia="en-GB"/>
        </w:rPr>
        <w:t>10</w:t>
      </w:r>
      <w:r w:rsidRPr="00BF1D30">
        <w:rPr>
          <w:rFonts w:cs="Helvetica"/>
          <w:b/>
          <w:color w:val="595959"/>
          <w:szCs w:val="20"/>
          <w:lang w:eastAsia="en-GB"/>
        </w:rPr>
        <w:t>:</w:t>
      </w:r>
      <w:r w:rsidRPr="00BF1D30">
        <w:rPr>
          <w:rFonts w:cs="Helvetica"/>
          <w:b/>
          <w:color w:val="595959"/>
          <w:szCs w:val="20"/>
          <w:lang w:eastAsia="en-GB"/>
        </w:rPr>
        <w:tab/>
        <w:t xml:space="preserve">Water Scarcity Footprint (WSFP) </w:t>
      </w:r>
      <w:r w:rsidR="00E55AFF" w:rsidRPr="00BF1D30">
        <w:rPr>
          <w:rFonts w:cs="Helvetica"/>
          <w:b/>
          <w:color w:val="595959"/>
          <w:szCs w:val="20"/>
          <w:lang w:eastAsia="en-GB"/>
        </w:rPr>
        <w:t>per Scenario</w:t>
      </w:r>
      <w:r w:rsidR="008736FB" w:rsidRPr="00BF1D30">
        <w:rPr>
          <w:rFonts w:cs="Helvetica"/>
          <w:b/>
          <w:color w:val="595959"/>
          <w:szCs w:val="20"/>
          <w:lang w:eastAsia="en-GB"/>
        </w:rPr>
        <w:t xml:space="preserve"> (differences due to rounding)</w:t>
      </w:r>
    </w:p>
    <w:p w14:paraId="39C17DEF" w14:textId="68EFDAD6" w:rsidR="00C01B1E" w:rsidRPr="00190059" w:rsidRDefault="00C01B1E" w:rsidP="00190059">
      <w:pPr>
        <w:spacing w:before="120" w:after="0"/>
      </w:pPr>
      <w:r w:rsidRPr="00190059">
        <w:rPr>
          <w:i/>
          <w:iCs/>
        </w:rPr>
        <w:br w:type="page"/>
      </w:r>
    </w:p>
    <w:p w14:paraId="36166FCD" w14:textId="44A2EF42" w:rsidR="00A9473F" w:rsidRPr="000D0304" w:rsidRDefault="006D76FD" w:rsidP="00DA5301">
      <w:pPr>
        <w:pStyle w:val="Heading2"/>
      </w:pPr>
      <w:bookmarkStart w:id="190" w:name="_Toc120111952"/>
      <w:r w:rsidRPr="000D0304">
        <w:lastRenderedPageBreak/>
        <w:t>Results and Discussion</w:t>
      </w:r>
      <w:bookmarkEnd w:id="190"/>
    </w:p>
    <w:p w14:paraId="15CBD43B" w14:textId="77777777" w:rsidR="006D76FD" w:rsidRPr="000D0304" w:rsidRDefault="006D76FD" w:rsidP="00DA5301">
      <w:pPr>
        <w:pStyle w:val="Heading3"/>
      </w:pPr>
      <w:bookmarkStart w:id="191" w:name="_Toc480555241"/>
      <w:bookmarkStart w:id="192" w:name="_Toc480555327"/>
      <w:bookmarkStart w:id="193" w:name="_Toc480555413"/>
      <w:bookmarkStart w:id="194" w:name="_Toc480555495"/>
      <w:bookmarkStart w:id="195" w:name="_Toc480971450"/>
      <w:bookmarkStart w:id="196" w:name="_Toc120111953"/>
      <w:bookmarkEnd w:id="191"/>
      <w:bookmarkEnd w:id="192"/>
      <w:bookmarkEnd w:id="193"/>
      <w:bookmarkEnd w:id="194"/>
      <w:bookmarkEnd w:id="195"/>
      <w:r w:rsidRPr="000D0304">
        <w:t>Impact Category Indicator Results</w:t>
      </w:r>
      <w:r w:rsidR="00475C79">
        <w:rPr>
          <w:rStyle w:val="FootnoteReference"/>
        </w:rPr>
        <w:footnoteReference w:id="5"/>
      </w:r>
      <w:bookmarkEnd w:id="196"/>
    </w:p>
    <w:p w14:paraId="6B31599D" w14:textId="384EA081" w:rsidR="00475C79" w:rsidRDefault="001E7EF1" w:rsidP="000D0304">
      <w:pPr>
        <w:spacing w:after="0" w:line="312" w:lineRule="auto"/>
        <w:contextualSpacing/>
        <w:rPr>
          <w:rFonts w:cs="Helvetica"/>
          <w:color w:val="595959"/>
          <w:szCs w:val="20"/>
          <w:lang w:eastAsia="en-GB"/>
        </w:rPr>
      </w:pPr>
      <w:r w:rsidRPr="000D0304">
        <w:rPr>
          <w:rFonts w:cs="Helvetica"/>
          <w:color w:val="595959"/>
          <w:szCs w:val="20"/>
          <w:lang w:eastAsia="en-GB"/>
        </w:rPr>
        <w:t xml:space="preserve">The impact category and additional indicator results (including GWP breakdown) </w:t>
      </w:r>
      <w:r w:rsidR="00DF7EE7">
        <w:rPr>
          <w:rFonts w:cs="Helvetica"/>
          <w:color w:val="595959"/>
          <w:szCs w:val="20"/>
          <w:lang w:eastAsia="en-GB"/>
        </w:rPr>
        <w:t>have been</w:t>
      </w:r>
      <w:r w:rsidR="00DF7EE7" w:rsidRPr="000D0304">
        <w:rPr>
          <w:rFonts w:cs="Helvetica"/>
          <w:color w:val="595959"/>
          <w:szCs w:val="20"/>
          <w:lang w:eastAsia="en-GB"/>
        </w:rPr>
        <w:t xml:space="preserve"> </w:t>
      </w:r>
      <w:r w:rsidRPr="000D0304">
        <w:rPr>
          <w:rFonts w:cs="Helvetica"/>
          <w:color w:val="595959"/>
          <w:szCs w:val="20"/>
          <w:lang w:eastAsia="en-GB"/>
        </w:rPr>
        <w:t xml:space="preserve">calculated using GaBi version </w:t>
      </w:r>
      <w:r w:rsidR="00D03AD3">
        <w:rPr>
          <w:rFonts w:cs="Helvetica"/>
          <w:color w:val="595959"/>
          <w:szCs w:val="20"/>
          <w:lang w:eastAsia="en-GB"/>
        </w:rPr>
        <w:t>2022</w:t>
      </w:r>
      <w:r w:rsidR="00EC481B">
        <w:rPr>
          <w:rFonts w:cs="Helvetica"/>
          <w:color w:val="595959"/>
          <w:szCs w:val="20"/>
          <w:lang w:eastAsia="en-GB"/>
        </w:rPr>
        <w:t>.2</w:t>
      </w:r>
      <w:r w:rsidR="009831A3">
        <w:rPr>
          <w:rFonts w:cs="Helvetica"/>
          <w:color w:val="595959"/>
          <w:szCs w:val="20"/>
          <w:lang w:eastAsia="en-GB"/>
        </w:rPr>
        <w:t xml:space="preserve">.  </w:t>
      </w:r>
      <w:r w:rsidRPr="000D0304">
        <w:rPr>
          <w:rFonts w:cs="Helvetica"/>
          <w:color w:val="595959"/>
          <w:szCs w:val="20"/>
          <w:lang w:eastAsia="en-GB"/>
        </w:rPr>
        <w:t xml:space="preserve">Water </w:t>
      </w:r>
      <w:r w:rsidR="00DF7EE7">
        <w:rPr>
          <w:rFonts w:cs="Helvetica"/>
          <w:color w:val="595959"/>
          <w:szCs w:val="20"/>
          <w:lang w:eastAsia="en-GB"/>
        </w:rPr>
        <w:t>s</w:t>
      </w:r>
      <w:r w:rsidRPr="000D0304">
        <w:rPr>
          <w:rFonts w:cs="Helvetica"/>
          <w:color w:val="595959"/>
          <w:szCs w:val="20"/>
          <w:lang w:eastAsia="en-GB"/>
        </w:rPr>
        <w:t xml:space="preserve">carcity </w:t>
      </w:r>
      <w:r w:rsidR="00DF7EE7">
        <w:rPr>
          <w:rFonts w:cs="Helvetica"/>
          <w:color w:val="595959"/>
          <w:szCs w:val="20"/>
          <w:lang w:eastAsia="en-GB"/>
        </w:rPr>
        <w:t>f</w:t>
      </w:r>
      <w:r w:rsidRPr="000D0304">
        <w:rPr>
          <w:rFonts w:cs="Helvetica"/>
          <w:color w:val="595959"/>
          <w:szCs w:val="20"/>
          <w:lang w:eastAsia="en-GB"/>
        </w:rPr>
        <w:t xml:space="preserve">ootprint results </w:t>
      </w:r>
      <w:r w:rsidR="00DF7EE7">
        <w:rPr>
          <w:rFonts w:cs="Helvetica"/>
          <w:color w:val="595959"/>
          <w:szCs w:val="20"/>
          <w:lang w:eastAsia="en-GB"/>
        </w:rPr>
        <w:t>are</w:t>
      </w:r>
      <w:r w:rsidR="00DF7EE7" w:rsidRPr="000D0304">
        <w:rPr>
          <w:rFonts w:cs="Helvetica"/>
          <w:color w:val="595959"/>
          <w:szCs w:val="20"/>
          <w:lang w:eastAsia="en-GB"/>
        </w:rPr>
        <w:t xml:space="preserve"> </w:t>
      </w:r>
      <w:r w:rsidRPr="000D0304">
        <w:rPr>
          <w:rFonts w:cs="Helvetica"/>
          <w:color w:val="595959"/>
          <w:szCs w:val="20"/>
          <w:lang w:eastAsia="en-GB"/>
        </w:rPr>
        <w:t>calculated in accordance with ISO 14046</w:t>
      </w:r>
      <w:r w:rsidR="007F596C">
        <w:rPr>
          <w:rFonts w:cs="Helvetica"/>
          <w:color w:val="595959"/>
          <w:szCs w:val="20"/>
          <w:lang w:eastAsia="en-GB"/>
        </w:rPr>
        <w:t xml:space="preserve">. </w:t>
      </w:r>
      <w:r w:rsidR="00DF7EE7">
        <w:rPr>
          <w:rFonts w:cs="Helvetica"/>
          <w:color w:val="595959"/>
          <w:szCs w:val="20"/>
          <w:lang w:eastAsia="en-GB"/>
        </w:rPr>
        <w:t>All results</w:t>
      </w:r>
      <w:r w:rsidR="00DF7EE7" w:rsidRPr="00EE7BAE">
        <w:rPr>
          <w:rFonts w:cs="Helvetica"/>
          <w:color w:val="595959"/>
          <w:szCs w:val="20"/>
          <w:lang w:eastAsia="en-GB"/>
        </w:rPr>
        <w:t xml:space="preserve"> are reported per tonne aluminium ingot</w:t>
      </w:r>
      <w:r w:rsidR="00DF7EE7">
        <w:rPr>
          <w:rFonts w:cs="Helvetica"/>
          <w:color w:val="595959"/>
          <w:szCs w:val="20"/>
          <w:lang w:eastAsia="en-GB"/>
        </w:rPr>
        <w:t>.</w:t>
      </w:r>
    </w:p>
    <w:tbl>
      <w:tblPr>
        <w:tblStyle w:val="PlainTable1"/>
        <w:tblW w:w="4434" w:type="pct"/>
        <w:tblCellMar>
          <w:top w:w="57" w:type="dxa"/>
          <w:bottom w:w="57" w:type="dxa"/>
        </w:tblCellMar>
        <w:tblLook w:val="04A0" w:firstRow="1" w:lastRow="0" w:firstColumn="1" w:lastColumn="0" w:noHBand="0" w:noVBand="1"/>
      </w:tblPr>
      <w:tblGrid>
        <w:gridCol w:w="4146"/>
        <w:gridCol w:w="1586"/>
        <w:gridCol w:w="1747"/>
        <w:gridCol w:w="2167"/>
        <w:gridCol w:w="2107"/>
        <w:gridCol w:w="1894"/>
      </w:tblGrid>
      <w:tr w:rsidR="00987DAE" w:rsidRPr="007A6DAA" w14:paraId="49005374" w14:textId="77777777" w:rsidTr="00FD4D41">
        <w:trPr>
          <w:cnfStyle w:val="100000000000" w:firstRow="1" w:lastRow="0" w:firstColumn="0" w:lastColumn="0" w:oddVBand="0" w:evenVBand="0" w:oddHBand="0"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519" w:type="pct"/>
            <w:hideMark/>
          </w:tcPr>
          <w:p w14:paraId="5F47C7EE" w14:textId="77777777" w:rsidR="00987DAE" w:rsidRPr="000D0304" w:rsidRDefault="00987DAE" w:rsidP="000D0304">
            <w:pPr>
              <w:widowControl w:val="0"/>
              <w:tabs>
                <w:tab w:val="left" w:pos="-1440"/>
                <w:tab w:val="left" w:pos="-720"/>
              </w:tabs>
              <w:spacing w:after="0" w:line="312" w:lineRule="auto"/>
              <w:rPr>
                <w:rFonts w:cs="Helvetica"/>
                <w:color w:val="595959"/>
                <w:sz w:val="18"/>
                <w:szCs w:val="18"/>
              </w:rPr>
            </w:pPr>
          </w:p>
        </w:tc>
        <w:tc>
          <w:tcPr>
            <w:tcW w:w="581" w:type="pct"/>
            <w:vAlign w:val="center"/>
            <w:hideMark/>
          </w:tcPr>
          <w:p w14:paraId="5FCDE4E1" w14:textId="77777777" w:rsidR="00987DAE" w:rsidRPr="000D0304" w:rsidRDefault="00987DAE" w:rsidP="000D0304">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 w:val="18"/>
                <w:szCs w:val="18"/>
              </w:rPr>
            </w:pPr>
            <w:r w:rsidRPr="000D0304">
              <w:rPr>
                <w:rFonts w:cs="Helvetica"/>
                <w:color w:val="595959"/>
                <w:sz w:val="18"/>
                <w:szCs w:val="18"/>
              </w:rPr>
              <w:t>Global</w:t>
            </w:r>
          </w:p>
        </w:tc>
        <w:tc>
          <w:tcPr>
            <w:tcW w:w="640" w:type="pct"/>
            <w:vAlign w:val="center"/>
            <w:hideMark/>
          </w:tcPr>
          <w:p w14:paraId="78D26965" w14:textId="77777777" w:rsidR="00987DAE" w:rsidRPr="000D0304" w:rsidRDefault="00987DAE" w:rsidP="000D0304">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 w:val="18"/>
                <w:szCs w:val="18"/>
              </w:rPr>
            </w:pPr>
            <w:r w:rsidRPr="000D0304">
              <w:rPr>
                <w:rFonts w:cs="Helvetica"/>
                <w:color w:val="595959"/>
                <w:sz w:val="18"/>
                <w:szCs w:val="18"/>
              </w:rPr>
              <w:t>Scenario 1</w:t>
            </w:r>
          </w:p>
        </w:tc>
        <w:tc>
          <w:tcPr>
            <w:tcW w:w="794" w:type="pct"/>
            <w:vAlign w:val="center"/>
          </w:tcPr>
          <w:p w14:paraId="3B2249D8" w14:textId="77777777" w:rsidR="00987DAE" w:rsidRPr="000D0304" w:rsidRDefault="00987DAE" w:rsidP="000D0304">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 w:val="18"/>
                <w:szCs w:val="18"/>
              </w:rPr>
            </w:pPr>
            <w:r w:rsidRPr="000D0304">
              <w:rPr>
                <w:rFonts w:cs="Helvetica"/>
                <w:color w:val="595959"/>
                <w:sz w:val="18"/>
                <w:szCs w:val="18"/>
              </w:rPr>
              <w:t>Scenario 2</w:t>
            </w:r>
          </w:p>
        </w:tc>
        <w:tc>
          <w:tcPr>
            <w:tcW w:w="772" w:type="pct"/>
            <w:vAlign w:val="center"/>
          </w:tcPr>
          <w:p w14:paraId="2D77AA94" w14:textId="77777777" w:rsidR="00987DAE" w:rsidRPr="000D0304" w:rsidRDefault="00987DAE" w:rsidP="000D0304">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 w:val="18"/>
                <w:szCs w:val="18"/>
              </w:rPr>
            </w:pPr>
            <w:r w:rsidRPr="000D0304">
              <w:rPr>
                <w:rFonts w:cs="Helvetica"/>
                <w:color w:val="595959"/>
                <w:sz w:val="18"/>
                <w:szCs w:val="18"/>
              </w:rPr>
              <w:t>Scenario 3</w:t>
            </w:r>
          </w:p>
        </w:tc>
        <w:tc>
          <w:tcPr>
            <w:tcW w:w="695" w:type="pct"/>
            <w:vAlign w:val="center"/>
          </w:tcPr>
          <w:p w14:paraId="07C91A3D" w14:textId="112C53C3" w:rsidR="00987DAE" w:rsidRPr="000D0304" w:rsidRDefault="00987DAE" w:rsidP="000D0304">
            <w:pPr>
              <w:widowControl w:val="0"/>
              <w:tabs>
                <w:tab w:val="left" w:pos="-1440"/>
                <w:tab w:val="left" w:pos="-720"/>
              </w:tabs>
              <w:spacing w:after="0" w:line="312" w:lineRule="auto"/>
              <w:jc w:val="center"/>
              <w:cnfStyle w:val="100000000000" w:firstRow="1" w:lastRow="0" w:firstColumn="0" w:lastColumn="0" w:oddVBand="0" w:evenVBand="0" w:oddHBand="0" w:evenHBand="0" w:firstRowFirstColumn="0" w:firstRowLastColumn="0" w:lastRowFirstColumn="0" w:lastRowLastColumn="0"/>
              <w:rPr>
                <w:rFonts w:cs="Helvetica"/>
                <w:color w:val="595959"/>
                <w:sz w:val="18"/>
                <w:szCs w:val="18"/>
              </w:rPr>
            </w:pPr>
            <w:r w:rsidRPr="000D0304">
              <w:rPr>
                <w:rFonts w:cs="Helvetica"/>
                <w:color w:val="595959"/>
                <w:sz w:val="18"/>
                <w:szCs w:val="18"/>
              </w:rPr>
              <w:t xml:space="preserve">Scenario </w:t>
            </w:r>
            <w:r>
              <w:rPr>
                <w:rFonts w:cs="Helvetica"/>
                <w:color w:val="595959"/>
                <w:sz w:val="18"/>
                <w:szCs w:val="18"/>
              </w:rPr>
              <w:t>4</w:t>
            </w:r>
          </w:p>
        </w:tc>
      </w:tr>
      <w:tr w:rsidR="00987DAE" w:rsidRPr="007A6DAA" w14:paraId="1AD89601" w14:textId="77777777" w:rsidTr="00FD4D4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19" w:type="pct"/>
            <w:vAlign w:val="center"/>
          </w:tcPr>
          <w:p w14:paraId="2C8E52F2" w14:textId="77777777" w:rsidR="00987DAE" w:rsidRPr="000D0304" w:rsidRDefault="00987DAE" w:rsidP="000D0304">
            <w:pPr>
              <w:widowControl w:val="0"/>
              <w:tabs>
                <w:tab w:val="left" w:pos="-1440"/>
                <w:tab w:val="left" w:pos="-720"/>
              </w:tabs>
              <w:spacing w:after="0" w:line="312" w:lineRule="auto"/>
              <w:jc w:val="center"/>
              <w:rPr>
                <w:rFonts w:cs="Helvetica"/>
                <w:i/>
                <w:color w:val="595959"/>
                <w:sz w:val="18"/>
                <w:szCs w:val="18"/>
              </w:rPr>
            </w:pPr>
            <w:r w:rsidRPr="000D0304">
              <w:rPr>
                <w:rFonts w:cs="Helvetica"/>
                <w:i/>
                <w:color w:val="595959"/>
                <w:sz w:val="18"/>
                <w:szCs w:val="18"/>
              </w:rPr>
              <w:t>Bauxite → Alumina → Aluminium</w:t>
            </w:r>
          </w:p>
        </w:tc>
        <w:tc>
          <w:tcPr>
            <w:tcW w:w="581" w:type="pct"/>
            <w:vAlign w:val="center"/>
          </w:tcPr>
          <w:p w14:paraId="6B10E487" w14:textId="77777777" w:rsidR="00987DAE" w:rsidRPr="000D0304" w:rsidRDefault="00987DAE" w:rsidP="000D0304">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i/>
                <w:color w:val="595959"/>
                <w:sz w:val="18"/>
                <w:szCs w:val="18"/>
              </w:rPr>
            </w:pPr>
            <w:r w:rsidRPr="000D0304">
              <w:rPr>
                <w:rFonts w:cs="Helvetica"/>
                <w:b/>
                <w:i/>
                <w:color w:val="595959"/>
                <w:sz w:val="18"/>
                <w:szCs w:val="18"/>
              </w:rPr>
              <w:t>GLO</w:t>
            </w:r>
          </w:p>
        </w:tc>
        <w:tc>
          <w:tcPr>
            <w:tcW w:w="640" w:type="pct"/>
            <w:vAlign w:val="center"/>
          </w:tcPr>
          <w:p w14:paraId="021C0E5A" w14:textId="77777777" w:rsidR="00987DAE" w:rsidRPr="000D0304" w:rsidRDefault="00987DAE" w:rsidP="000D0304">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i/>
                <w:color w:val="595959"/>
                <w:sz w:val="18"/>
                <w:szCs w:val="18"/>
              </w:rPr>
            </w:pPr>
            <w:r w:rsidRPr="000D0304">
              <w:rPr>
                <w:rFonts w:cs="Helvetica"/>
                <w:b/>
                <w:i/>
                <w:color w:val="595959"/>
                <w:sz w:val="18"/>
                <w:szCs w:val="18"/>
              </w:rPr>
              <w:t>CNA→CNA→CNA</w:t>
            </w:r>
          </w:p>
        </w:tc>
        <w:tc>
          <w:tcPr>
            <w:tcW w:w="794" w:type="pct"/>
            <w:vAlign w:val="center"/>
          </w:tcPr>
          <w:p w14:paraId="095F3730" w14:textId="6C96285E" w:rsidR="00987DAE" w:rsidRPr="000D0304" w:rsidRDefault="00987DAE" w:rsidP="000D0304">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i/>
                <w:color w:val="595959"/>
                <w:sz w:val="18"/>
                <w:szCs w:val="18"/>
              </w:rPr>
            </w:pPr>
            <w:r w:rsidRPr="000D0304">
              <w:rPr>
                <w:rFonts w:cs="Helvetica"/>
                <w:b/>
                <w:i/>
                <w:color w:val="595959"/>
                <w:sz w:val="18"/>
                <w:szCs w:val="18"/>
              </w:rPr>
              <w:t>OCA→OCA→</w:t>
            </w:r>
            <w:r>
              <w:rPr>
                <w:rFonts w:cs="Helvetica" w:hint="eastAsia"/>
                <w:b/>
                <w:i/>
                <w:color w:val="595959"/>
                <w:sz w:val="18"/>
                <w:szCs w:val="18"/>
                <w:lang w:eastAsia="zh-CN"/>
              </w:rPr>
              <w:t>GCC</w:t>
            </w:r>
          </w:p>
        </w:tc>
        <w:tc>
          <w:tcPr>
            <w:tcW w:w="772" w:type="pct"/>
            <w:vAlign w:val="center"/>
          </w:tcPr>
          <w:p w14:paraId="24D4F187" w14:textId="579797C2" w:rsidR="00987DAE" w:rsidRPr="000D0304" w:rsidRDefault="00987DAE" w:rsidP="000D0304">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i/>
                <w:color w:val="595959"/>
                <w:sz w:val="18"/>
                <w:szCs w:val="18"/>
              </w:rPr>
            </w:pPr>
            <w:r>
              <w:rPr>
                <w:rFonts w:cs="Helvetica" w:hint="eastAsia"/>
                <w:b/>
                <w:i/>
                <w:color w:val="595959"/>
                <w:sz w:val="18"/>
                <w:szCs w:val="18"/>
                <w:lang w:eastAsia="zh-CN"/>
              </w:rPr>
              <w:t>AFR</w:t>
            </w:r>
            <w:r w:rsidRPr="000D0304">
              <w:rPr>
                <w:rFonts w:cs="Helvetica"/>
                <w:b/>
                <w:i/>
                <w:color w:val="595959"/>
                <w:sz w:val="18"/>
                <w:szCs w:val="18"/>
              </w:rPr>
              <w:t>→EUR→EUR</w:t>
            </w:r>
          </w:p>
        </w:tc>
        <w:tc>
          <w:tcPr>
            <w:tcW w:w="695" w:type="pct"/>
            <w:vAlign w:val="center"/>
          </w:tcPr>
          <w:p w14:paraId="49F36E3A" w14:textId="6DA5BFD2" w:rsidR="00987DAE" w:rsidRPr="000D0304" w:rsidRDefault="00987DAE" w:rsidP="000D0304">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b/>
                <w:i/>
                <w:color w:val="595959"/>
                <w:sz w:val="18"/>
                <w:szCs w:val="18"/>
              </w:rPr>
            </w:pPr>
            <w:r w:rsidRPr="000D0304">
              <w:rPr>
                <w:rFonts w:cs="Helvetica"/>
                <w:b/>
                <w:i/>
                <w:color w:val="595959"/>
                <w:sz w:val="18"/>
                <w:szCs w:val="18"/>
              </w:rPr>
              <w:t>SAM→</w:t>
            </w:r>
            <w:r>
              <w:rPr>
                <w:rFonts w:cs="Helvetica" w:hint="eastAsia"/>
                <w:b/>
                <w:i/>
                <w:color w:val="595959"/>
                <w:sz w:val="18"/>
                <w:szCs w:val="18"/>
                <w:lang w:eastAsia="zh-CN"/>
              </w:rPr>
              <w:t>S</w:t>
            </w:r>
            <w:r w:rsidRPr="000D0304">
              <w:rPr>
                <w:rFonts w:cs="Helvetica"/>
                <w:b/>
                <w:i/>
                <w:color w:val="595959"/>
                <w:sz w:val="18"/>
                <w:szCs w:val="18"/>
              </w:rPr>
              <w:t>AM→CAN</w:t>
            </w:r>
          </w:p>
        </w:tc>
      </w:tr>
      <w:tr w:rsidR="00987DAE" w:rsidRPr="007A6DAA" w14:paraId="7D24A572" w14:textId="77777777" w:rsidTr="00FD4D41">
        <w:trPr>
          <w:trHeight w:val="113"/>
        </w:trPr>
        <w:tc>
          <w:tcPr>
            <w:cnfStyle w:val="001000000000" w:firstRow="0" w:lastRow="0" w:firstColumn="1" w:lastColumn="0" w:oddVBand="0" w:evenVBand="0" w:oddHBand="0" w:evenHBand="0" w:firstRowFirstColumn="0" w:firstRowLastColumn="0" w:lastRowFirstColumn="0" w:lastRowLastColumn="0"/>
            <w:tcW w:w="1519" w:type="pct"/>
            <w:hideMark/>
          </w:tcPr>
          <w:p w14:paraId="01FF67F4" w14:textId="77777777" w:rsidR="00987DAE" w:rsidRPr="000D0304" w:rsidRDefault="00987DAE" w:rsidP="000D0304">
            <w:pPr>
              <w:widowControl w:val="0"/>
              <w:tabs>
                <w:tab w:val="left" w:pos="-1440"/>
                <w:tab w:val="left" w:pos="-720"/>
              </w:tabs>
              <w:spacing w:after="0" w:line="312" w:lineRule="auto"/>
              <w:rPr>
                <w:rFonts w:cs="Helvetica"/>
                <w:color w:val="595959"/>
                <w:sz w:val="18"/>
                <w:szCs w:val="18"/>
              </w:rPr>
            </w:pPr>
            <w:r w:rsidRPr="000D0304">
              <w:rPr>
                <w:rFonts w:cs="Helvetica"/>
                <w:color w:val="595959"/>
                <w:sz w:val="18"/>
                <w:szCs w:val="18"/>
              </w:rPr>
              <w:t>Acidification Potential (AP)</w:t>
            </w:r>
          </w:p>
          <w:p w14:paraId="3E43A8F9" w14:textId="77777777" w:rsidR="00987DAE" w:rsidRPr="000D0304" w:rsidRDefault="00987DAE" w:rsidP="000D0304">
            <w:pPr>
              <w:widowControl w:val="0"/>
              <w:tabs>
                <w:tab w:val="left" w:pos="-1440"/>
                <w:tab w:val="left" w:pos="-720"/>
              </w:tabs>
              <w:spacing w:after="0" w:line="312" w:lineRule="auto"/>
              <w:jc w:val="right"/>
              <w:rPr>
                <w:rFonts w:cs="Helvetica"/>
                <w:b w:val="0"/>
                <w:bCs w:val="0"/>
                <w:color w:val="595959"/>
                <w:sz w:val="18"/>
                <w:szCs w:val="18"/>
              </w:rPr>
            </w:pPr>
            <w:r w:rsidRPr="000D0304">
              <w:rPr>
                <w:rFonts w:cs="Helvetica"/>
                <w:color w:val="595959"/>
                <w:sz w:val="18"/>
                <w:szCs w:val="18"/>
              </w:rPr>
              <w:t>[</w:t>
            </w:r>
            <w:r>
              <w:rPr>
                <w:rFonts w:cs="Helvetica"/>
                <w:color w:val="595959"/>
                <w:sz w:val="18"/>
                <w:szCs w:val="18"/>
              </w:rPr>
              <w:t>kg</w:t>
            </w:r>
            <w:r w:rsidRPr="000D0304">
              <w:rPr>
                <w:rFonts w:cs="Helvetica"/>
                <w:color w:val="595959"/>
                <w:sz w:val="18"/>
                <w:szCs w:val="18"/>
              </w:rPr>
              <w:t xml:space="preserve"> SO</w:t>
            </w:r>
            <w:r w:rsidRPr="000D0304">
              <w:rPr>
                <w:rFonts w:cs="Helvetica"/>
                <w:color w:val="595959"/>
                <w:sz w:val="18"/>
                <w:szCs w:val="18"/>
                <w:vertAlign w:val="subscript"/>
              </w:rPr>
              <w:t>2</w:t>
            </w:r>
            <w:r w:rsidRPr="000D0304">
              <w:rPr>
                <w:rFonts w:cs="Helvetica"/>
                <w:color w:val="595959"/>
                <w:sz w:val="18"/>
                <w:szCs w:val="18"/>
              </w:rPr>
              <w:t>-Equiv.]</w:t>
            </w:r>
          </w:p>
        </w:tc>
        <w:tc>
          <w:tcPr>
            <w:tcW w:w="581" w:type="pct"/>
            <w:vAlign w:val="center"/>
          </w:tcPr>
          <w:p w14:paraId="44B62E2D" w14:textId="7086B244" w:rsidR="00987DAE" w:rsidRPr="000D0304" w:rsidRDefault="00973000" w:rsidP="000D0304">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89</w:t>
            </w:r>
          </w:p>
        </w:tc>
        <w:tc>
          <w:tcPr>
            <w:tcW w:w="640" w:type="pct"/>
            <w:vAlign w:val="center"/>
          </w:tcPr>
          <w:p w14:paraId="1C165D66" w14:textId="7A71D2E3" w:rsidR="00987DAE" w:rsidRPr="000D0304" w:rsidRDefault="00960C5F" w:rsidP="000D0304">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108</w:t>
            </w:r>
          </w:p>
        </w:tc>
        <w:tc>
          <w:tcPr>
            <w:tcW w:w="794" w:type="pct"/>
            <w:vAlign w:val="center"/>
          </w:tcPr>
          <w:p w14:paraId="2109DEDC" w14:textId="21A5A9CC" w:rsidR="00987DAE" w:rsidRPr="000D0304" w:rsidRDefault="00C14269" w:rsidP="000D0304">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4</w:t>
            </w:r>
            <w:r w:rsidR="00E607D7">
              <w:rPr>
                <w:rFonts w:cs="Helvetica"/>
                <w:color w:val="595959"/>
                <w:szCs w:val="18"/>
              </w:rPr>
              <w:t>4</w:t>
            </w:r>
          </w:p>
        </w:tc>
        <w:tc>
          <w:tcPr>
            <w:tcW w:w="772" w:type="pct"/>
            <w:vAlign w:val="center"/>
          </w:tcPr>
          <w:p w14:paraId="12B7585E" w14:textId="6B6FCB54" w:rsidR="00987DAE" w:rsidRPr="000D0304" w:rsidRDefault="0012089D" w:rsidP="000D0304">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29</w:t>
            </w:r>
          </w:p>
        </w:tc>
        <w:tc>
          <w:tcPr>
            <w:tcW w:w="695" w:type="pct"/>
            <w:vAlign w:val="center"/>
          </w:tcPr>
          <w:p w14:paraId="278A3BCB" w14:textId="50E73988" w:rsidR="00987DAE" w:rsidRPr="000D0304" w:rsidRDefault="002712D0" w:rsidP="000D0304">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54</w:t>
            </w:r>
          </w:p>
        </w:tc>
      </w:tr>
      <w:tr w:rsidR="00987DAE" w:rsidRPr="007A6DAA" w14:paraId="3468762A" w14:textId="77777777" w:rsidTr="00FD4D41">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519" w:type="pct"/>
            <w:hideMark/>
          </w:tcPr>
          <w:p w14:paraId="01EC0A4B" w14:textId="77777777" w:rsidR="00987DAE" w:rsidRPr="000D0304" w:rsidRDefault="00987DAE" w:rsidP="000D0304">
            <w:pPr>
              <w:widowControl w:val="0"/>
              <w:tabs>
                <w:tab w:val="left" w:pos="-1440"/>
                <w:tab w:val="left" w:pos="-720"/>
              </w:tabs>
              <w:spacing w:after="0" w:line="312" w:lineRule="auto"/>
              <w:rPr>
                <w:rFonts w:cs="Helvetica"/>
                <w:color w:val="595959"/>
                <w:sz w:val="18"/>
                <w:szCs w:val="18"/>
              </w:rPr>
            </w:pPr>
            <w:r w:rsidRPr="000D0304">
              <w:rPr>
                <w:rFonts w:cs="Helvetica"/>
                <w:color w:val="595959"/>
                <w:sz w:val="18"/>
                <w:szCs w:val="18"/>
              </w:rPr>
              <w:t>Depletion of fossil energy resources (DFE)</w:t>
            </w:r>
          </w:p>
          <w:p w14:paraId="575386BB" w14:textId="77777777" w:rsidR="00987DAE" w:rsidRPr="000D0304" w:rsidRDefault="00987DAE" w:rsidP="000D0304">
            <w:pPr>
              <w:widowControl w:val="0"/>
              <w:tabs>
                <w:tab w:val="left" w:pos="-1440"/>
                <w:tab w:val="left" w:pos="-720"/>
              </w:tabs>
              <w:spacing w:after="0" w:line="312" w:lineRule="auto"/>
              <w:jc w:val="right"/>
              <w:rPr>
                <w:rFonts w:cs="Helvetica"/>
                <w:color w:val="595959"/>
                <w:sz w:val="18"/>
                <w:szCs w:val="18"/>
              </w:rPr>
            </w:pPr>
            <w:r w:rsidRPr="000D0304">
              <w:rPr>
                <w:rFonts w:cs="Helvetica"/>
                <w:color w:val="595959"/>
                <w:sz w:val="18"/>
                <w:szCs w:val="18"/>
              </w:rPr>
              <w:t>[MJ]</w:t>
            </w:r>
          </w:p>
        </w:tc>
        <w:tc>
          <w:tcPr>
            <w:tcW w:w="581" w:type="pct"/>
            <w:vAlign w:val="center"/>
          </w:tcPr>
          <w:p w14:paraId="3A64A993" w14:textId="7BB435CA" w:rsidR="00987DAE" w:rsidRPr="000D0304" w:rsidRDefault="00973000" w:rsidP="000D0304">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rPr>
            </w:pPr>
            <w:r>
              <w:rPr>
                <w:rFonts w:cs="Helvetica"/>
                <w:color w:val="595959"/>
                <w:szCs w:val="18"/>
              </w:rPr>
              <w:t>16</w:t>
            </w:r>
            <w:r w:rsidR="00F408B2">
              <w:rPr>
                <w:rFonts w:cs="Helvetica"/>
                <w:color w:val="595959"/>
                <w:szCs w:val="18"/>
              </w:rPr>
              <w:t>1</w:t>
            </w:r>
            <w:r>
              <w:rPr>
                <w:rFonts w:cs="Helvetica"/>
                <w:color w:val="595959"/>
                <w:szCs w:val="18"/>
              </w:rPr>
              <w:t>,</w:t>
            </w:r>
            <w:r w:rsidR="00F408B2">
              <w:rPr>
                <w:rFonts w:cs="Helvetica"/>
                <w:color w:val="595959"/>
                <w:szCs w:val="18"/>
              </w:rPr>
              <w:t>64</w:t>
            </w:r>
            <w:r>
              <w:rPr>
                <w:rFonts w:cs="Helvetica"/>
                <w:color w:val="595959"/>
                <w:szCs w:val="18"/>
              </w:rPr>
              <w:t>0</w:t>
            </w:r>
          </w:p>
        </w:tc>
        <w:tc>
          <w:tcPr>
            <w:tcW w:w="640" w:type="pct"/>
            <w:vAlign w:val="center"/>
          </w:tcPr>
          <w:p w14:paraId="42CA3DA0" w14:textId="360AC0E4" w:rsidR="00987DAE" w:rsidRPr="000D0304" w:rsidRDefault="00960C5F" w:rsidP="000D0304">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rPr>
            </w:pPr>
            <w:r>
              <w:rPr>
                <w:rFonts w:cs="Helvetica"/>
                <w:color w:val="595959"/>
                <w:szCs w:val="18"/>
              </w:rPr>
              <w:t>193</w:t>
            </w:r>
            <w:r w:rsidR="00987DAE" w:rsidRPr="007A6DAA">
              <w:rPr>
                <w:rFonts w:cs="Helvetica"/>
                <w:color w:val="595959"/>
                <w:szCs w:val="18"/>
              </w:rPr>
              <w:t>,</w:t>
            </w:r>
            <w:r>
              <w:rPr>
                <w:rFonts w:cs="Helvetica"/>
                <w:color w:val="595959"/>
                <w:szCs w:val="18"/>
              </w:rPr>
              <w:t>010</w:t>
            </w:r>
          </w:p>
        </w:tc>
        <w:tc>
          <w:tcPr>
            <w:tcW w:w="794" w:type="pct"/>
            <w:vAlign w:val="center"/>
          </w:tcPr>
          <w:p w14:paraId="63AAF911" w14:textId="5596BFF2" w:rsidR="00987DAE" w:rsidRPr="000D0304" w:rsidRDefault="001B2483" w:rsidP="000D0304">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rPr>
            </w:pPr>
            <w:r>
              <w:rPr>
                <w:rFonts w:cs="Helvetica"/>
                <w:color w:val="595959"/>
                <w:szCs w:val="18"/>
              </w:rPr>
              <w:t>147,</w:t>
            </w:r>
            <w:r w:rsidR="00960C5F">
              <w:rPr>
                <w:rFonts w:cs="Helvetica"/>
                <w:color w:val="595959"/>
                <w:szCs w:val="18"/>
              </w:rPr>
              <w:t>380</w:t>
            </w:r>
          </w:p>
        </w:tc>
        <w:tc>
          <w:tcPr>
            <w:tcW w:w="772" w:type="pct"/>
            <w:vAlign w:val="center"/>
          </w:tcPr>
          <w:p w14:paraId="3121E821" w14:textId="134E8DF2" w:rsidR="00987DAE" w:rsidRPr="00545E9B" w:rsidRDefault="00960C5F" w:rsidP="000D0304">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lang w:val="en-US" w:eastAsia="zh-CN"/>
              </w:rPr>
            </w:pPr>
            <w:r>
              <w:rPr>
                <w:rFonts w:cs="Helvetica"/>
                <w:color w:val="595959"/>
                <w:szCs w:val="18"/>
              </w:rPr>
              <w:t>74</w:t>
            </w:r>
            <w:r>
              <w:rPr>
                <w:rFonts w:cs="Helvetica" w:hint="eastAsia"/>
                <w:color w:val="595959"/>
                <w:szCs w:val="18"/>
                <w:lang w:val="en-US"/>
              </w:rPr>
              <w:t>,</w:t>
            </w:r>
            <w:r>
              <w:rPr>
                <w:rFonts w:cs="Helvetica"/>
                <w:color w:val="595959"/>
                <w:szCs w:val="18"/>
                <w:lang w:val="en-US"/>
              </w:rPr>
              <w:t>710</w:t>
            </w:r>
          </w:p>
        </w:tc>
        <w:tc>
          <w:tcPr>
            <w:tcW w:w="695" w:type="pct"/>
            <w:vAlign w:val="center"/>
          </w:tcPr>
          <w:p w14:paraId="4639D9E1" w14:textId="47A82706" w:rsidR="00987DAE" w:rsidRPr="000D0304" w:rsidRDefault="00C75D0C" w:rsidP="000D0304">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rPr>
            </w:pPr>
            <w:r>
              <w:rPr>
                <w:rFonts w:cs="Helvetica"/>
                <w:color w:val="595959"/>
                <w:szCs w:val="18"/>
              </w:rPr>
              <w:t>44,</w:t>
            </w:r>
            <w:r w:rsidR="00960C5F">
              <w:rPr>
                <w:rFonts w:cs="Helvetica"/>
                <w:color w:val="595959"/>
                <w:szCs w:val="18"/>
              </w:rPr>
              <w:t>782</w:t>
            </w:r>
          </w:p>
        </w:tc>
      </w:tr>
      <w:tr w:rsidR="00987DAE" w:rsidRPr="007A6DAA" w14:paraId="2FF26DD4" w14:textId="77777777" w:rsidTr="00FD4D41">
        <w:trPr>
          <w:trHeight w:val="113"/>
        </w:trPr>
        <w:tc>
          <w:tcPr>
            <w:cnfStyle w:val="001000000000" w:firstRow="0" w:lastRow="0" w:firstColumn="1" w:lastColumn="0" w:oddVBand="0" w:evenVBand="0" w:oddHBand="0" w:evenHBand="0" w:firstRowFirstColumn="0" w:firstRowLastColumn="0" w:lastRowFirstColumn="0" w:lastRowLastColumn="0"/>
            <w:tcW w:w="1519" w:type="pct"/>
            <w:hideMark/>
          </w:tcPr>
          <w:p w14:paraId="2689F28A" w14:textId="77777777" w:rsidR="00987DAE" w:rsidRPr="000D0304" w:rsidRDefault="00987DAE" w:rsidP="000D0304">
            <w:pPr>
              <w:widowControl w:val="0"/>
              <w:tabs>
                <w:tab w:val="left" w:pos="-1440"/>
                <w:tab w:val="left" w:pos="-720"/>
              </w:tabs>
              <w:spacing w:after="0" w:line="312" w:lineRule="auto"/>
              <w:rPr>
                <w:rFonts w:cs="Helvetica"/>
                <w:color w:val="595959"/>
                <w:sz w:val="18"/>
                <w:szCs w:val="18"/>
              </w:rPr>
            </w:pPr>
            <w:r w:rsidRPr="000D0304">
              <w:rPr>
                <w:rFonts w:cs="Helvetica"/>
                <w:color w:val="595959"/>
                <w:sz w:val="18"/>
                <w:szCs w:val="18"/>
              </w:rPr>
              <w:t>Eutrophication Potential (EP)</w:t>
            </w:r>
          </w:p>
          <w:p w14:paraId="152A6456" w14:textId="77777777" w:rsidR="00987DAE" w:rsidRPr="000D0304" w:rsidRDefault="00987DAE" w:rsidP="000D0304">
            <w:pPr>
              <w:widowControl w:val="0"/>
              <w:tabs>
                <w:tab w:val="left" w:pos="-1440"/>
                <w:tab w:val="left" w:pos="-720"/>
              </w:tabs>
              <w:spacing w:after="0" w:line="312" w:lineRule="auto"/>
              <w:jc w:val="right"/>
              <w:rPr>
                <w:rFonts w:cs="Helvetica"/>
                <w:color w:val="595959"/>
                <w:sz w:val="18"/>
                <w:szCs w:val="18"/>
              </w:rPr>
            </w:pPr>
            <w:r>
              <w:rPr>
                <w:rFonts w:cs="Helvetica"/>
                <w:color w:val="595959"/>
                <w:sz w:val="18"/>
                <w:szCs w:val="18"/>
              </w:rPr>
              <w:t>[kg</w:t>
            </w:r>
            <w:r w:rsidRPr="000D0304">
              <w:rPr>
                <w:rFonts w:cs="Helvetica"/>
                <w:color w:val="595959"/>
                <w:sz w:val="18"/>
                <w:szCs w:val="18"/>
              </w:rPr>
              <w:t xml:space="preserve"> Phosphate-Equiv.]</w:t>
            </w:r>
          </w:p>
        </w:tc>
        <w:tc>
          <w:tcPr>
            <w:tcW w:w="581" w:type="pct"/>
            <w:vAlign w:val="center"/>
          </w:tcPr>
          <w:p w14:paraId="165806AB" w14:textId="14D5E213" w:rsidR="00987DAE" w:rsidRPr="000D0304" w:rsidRDefault="00987DAE" w:rsidP="000D0304">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6</w:t>
            </w:r>
          </w:p>
        </w:tc>
        <w:tc>
          <w:tcPr>
            <w:tcW w:w="640" w:type="pct"/>
            <w:vAlign w:val="center"/>
          </w:tcPr>
          <w:p w14:paraId="4A049647" w14:textId="6C4E9DC2" w:rsidR="00987DAE" w:rsidRPr="000D0304" w:rsidRDefault="00A515CE" w:rsidP="000D0304">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7</w:t>
            </w:r>
          </w:p>
        </w:tc>
        <w:tc>
          <w:tcPr>
            <w:tcW w:w="794" w:type="pct"/>
            <w:vAlign w:val="center"/>
          </w:tcPr>
          <w:p w14:paraId="2D05F890" w14:textId="0CB97F9B" w:rsidR="00987DAE" w:rsidRPr="000D0304" w:rsidRDefault="001B2483" w:rsidP="000D0304">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4</w:t>
            </w:r>
          </w:p>
        </w:tc>
        <w:tc>
          <w:tcPr>
            <w:tcW w:w="772" w:type="pct"/>
            <w:vAlign w:val="center"/>
          </w:tcPr>
          <w:p w14:paraId="591D6CD3" w14:textId="6E283AAE" w:rsidR="00987DAE" w:rsidRPr="000D0304" w:rsidRDefault="00153630" w:rsidP="000D0304">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2</w:t>
            </w:r>
          </w:p>
        </w:tc>
        <w:tc>
          <w:tcPr>
            <w:tcW w:w="695" w:type="pct"/>
            <w:vAlign w:val="center"/>
          </w:tcPr>
          <w:p w14:paraId="5B2EDD73" w14:textId="18601C0D" w:rsidR="00987DAE" w:rsidRPr="000D0304" w:rsidRDefault="00466CB3" w:rsidP="000D0304">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2</w:t>
            </w:r>
          </w:p>
        </w:tc>
      </w:tr>
      <w:tr w:rsidR="00987DAE" w:rsidRPr="007A6DAA" w14:paraId="73958378" w14:textId="77777777" w:rsidTr="00FD4D41">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519" w:type="pct"/>
            <w:hideMark/>
          </w:tcPr>
          <w:p w14:paraId="026C2AD2" w14:textId="77777777" w:rsidR="00987DAE" w:rsidRPr="000D0304" w:rsidRDefault="00987DAE" w:rsidP="000D0304">
            <w:pPr>
              <w:widowControl w:val="0"/>
              <w:tabs>
                <w:tab w:val="left" w:pos="-1440"/>
                <w:tab w:val="left" w:pos="-720"/>
              </w:tabs>
              <w:spacing w:after="0" w:line="312" w:lineRule="auto"/>
              <w:rPr>
                <w:rFonts w:cs="Helvetica"/>
                <w:color w:val="595959"/>
                <w:sz w:val="18"/>
                <w:szCs w:val="18"/>
              </w:rPr>
            </w:pPr>
            <w:r w:rsidRPr="000D0304">
              <w:rPr>
                <w:rFonts w:cs="Helvetica"/>
                <w:color w:val="595959"/>
                <w:sz w:val="18"/>
                <w:szCs w:val="18"/>
              </w:rPr>
              <w:t>Global Warming Potential (GWP 100 years)</w:t>
            </w:r>
          </w:p>
          <w:p w14:paraId="0AB374BD" w14:textId="77777777" w:rsidR="00987DAE" w:rsidRPr="000D0304" w:rsidRDefault="00987DAE" w:rsidP="000D0304">
            <w:pPr>
              <w:widowControl w:val="0"/>
              <w:tabs>
                <w:tab w:val="left" w:pos="-1440"/>
                <w:tab w:val="left" w:pos="-720"/>
              </w:tabs>
              <w:spacing w:after="0" w:line="312" w:lineRule="auto"/>
              <w:jc w:val="right"/>
              <w:rPr>
                <w:rFonts w:cs="Helvetica"/>
                <w:color w:val="595959"/>
                <w:sz w:val="18"/>
                <w:szCs w:val="18"/>
              </w:rPr>
            </w:pPr>
            <w:r w:rsidRPr="000D0304">
              <w:rPr>
                <w:rFonts w:cs="Helvetica"/>
                <w:color w:val="595959"/>
                <w:sz w:val="18"/>
                <w:szCs w:val="18"/>
              </w:rPr>
              <w:t>[</w:t>
            </w:r>
            <w:r>
              <w:rPr>
                <w:rFonts w:cs="Helvetica"/>
                <w:color w:val="595959"/>
                <w:sz w:val="18"/>
                <w:szCs w:val="18"/>
              </w:rPr>
              <w:t>tonne</w:t>
            </w:r>
            <w:r w:rsidRPr="000D0304">
              <w:rPr>
                <w:rFonts w:cs="Helvetica"/>
                <w:color w:val="595959"/>
                <w:sz w:val="18"/>
                <w:szCs w:val="18"/>
              </w:rPr>
              <w:t xml:space="preserve"> CO</w:t>
            </w:r>
            <w:r w:rsidRPr="000D0304">
              <w:rPr>
                <w:rFonts w:cs="Helvetica"/>
                <w:color w:val="595959"/>
                <w:sz w:val="18"/>
                <w:szCs w:val="18"/>
                <w:vertAlign w:val="subscript"/>
              </w:rPr>
              <w:t>2</w:t>
            </w:r>
            <w:r w:rsidRPr="000D0304">
              <w:rPr>
                <w:rFonts w:cs="Helvetica"/>
                <w:color w:val="595959"/>
                <w:sz w:val="18"/>
                <w:szCs w:val="18"/>
              </w:rPr>
              <w:t>-Equiv.]</w:t>
            </w:r>
          </w:p>
        </w:tc>
        <w:tc>
          <w:tcPr>
            <w:tcW w:w="581" w:type="pct"/>
            <w:vAlign w:val="center"/>
          </w:tcPr>
          <w:p w14:paraId="21921DDA" w14:textId="18EDEE2B" w:rsidR="00987DAE" w:rsidRPr="000D0304" w:rsidRDefault="00987DAE" w:rsidP="000D0304">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rPr>
            </w:pPr>
            <w:r>
              <w:rPr>
                <w:rFonts w:cs="Helvetica"/>
                <w:color w:val="595959"/>
                <w:szCs w:val="18"/>
              </w:rPr>
              <w:t>16.</w:t>
            </w:r>
            <w:r w:rsidR="00973000">
              <w:rPr>
                <w:rFonts w:cs="Helvetica"/>
                <w:color w:val="595959"/>
                <w:szCs w:val="18"/>
              </w:rPr>
              <w:t>8</w:t>
            </w:r>
          </w:p>
        </w:tc>
        <w:tc>
          <w:tcPr>
            <w:tcW w:w="640" w:type="pct"/>
            <w:vAlign w:val="center"/>
          </w:tcPr>
          <w:p w14:paraId="7D8FFE96" w14:textId="7AD6AB0E" w:rsidR="00987DAE" w:rsidRPr="00FD4D41" w:rsidRDefault="00987DAE" w:rsidP="000D0304">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lang w:val="en-US" w:eastAsia="zh-CN"/>
              </w:rPr>
            </w:pPr>
            <w:r w:rsidRPr="000D0304">
              <w:rPr>
                <w:rFonts w:cs="Helvetica"/>
                <w:color w:val="595959"/>
                <w:szCs w:val="18"/>
              </w:rPr>
              <w:t>2</w:t>
            </w:r>
            <w:r>
              <w:rPr>
                <w:rFonts w:cs="Helvetica"/>
                <w:color w:val="595959"/>
                <w:szCs w:val="18"/>
              </w:rPr>
              <w:t>0</w:t>
            </w:r>
            <w:r w:rsidR="00545312">
              <w:rPr>
                <w:rFonts w:cs="Helvetica" w:hint="eastAsia"/>
                <w:color w:val="595959"/>
                <w:szCs w:val="18"/>
                <w:lang w:val="en-US"/>
              </w:rPr>
              <w:t>.</w:t>
            </w:r>
            <w:r w:rsidR="00960C5F">
              <w:rPr>
                <w:rFonts w:cs="Helvetica"/>
                <w:color w:val="595959"/>
                <w:szCs w:val="18"/>
                <w:lang w:val="en-US"/>
              </w:rPr>
              <w:t>3</w:t>
            </w:r>
          </w:p>
        </w:tc>
        <w:tc>
          <w:tcPr>
            <w:tcW w:w="794" w:type="pct"/>
            <w:vAlign w:val="center"/>
          </w:tcPr>
          <w:p w14:paraId="1826BF9C" w14:textId="186D2436" w:rsidR="00987DAE" w:rsidRPr="000D0304" w:rsidRDefault="00A87C08" w:rsidP="000D0304">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rPr>
            </w:pPr>
            <w:r>
              <w:rPr>
                <w:rFonts w:cs="Helvetica"/>
                <w:color w:val="595959"/>
                <w:szCs w:val="18"/>
              </w:rPr>
              <w:t>11.</w:t>
            </w:r>
            <w:r w:rsidR="00960C5F">
              <w:rPr>
                <w:rFonts w:cs="Helvetica"/>
                <w:color w:val="595959"/>
                <w:szCs w:val="18"/>
              </w:rPr>
              <w:t>3</w:t>
            </w:r>
          </w:p>
        </w:tc>
        <w:tc>
          <w:tcPr>
            <w:tcW w:w="772" w:type="pct"/>
            <w:vAlign w:val="center"/>
          </w:tcPr>
          <w:p w14:paraId="21919053" w14:textId="7F23D14C" w:rsidR="00987DAE" w:rsidRPr="000D0304" w:rsidRDefault="00987DAE" w:rsidP="000D0304">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rPr>
            </w:pPr>
            <w:r w:rsidRPr="000D0304">
              <w:rPr>
                <w:rFonts w:cs="Helvetica"/>
                <w:color w:val="595959"/>
                <w:szCs w:val="18"/>
              </w:rPr>
              <w:t>7</w:t>
            </w:r>
            <w:r w:rsidR="00153630">
              <w:rPr>
                <w:rFonts w:cs="Helvetica"/>
                <w:color w:val="595959"/>
                <w:szCs w:val="18"/>
              </w:rPr>
              <w:t>.</w:t>
            </w:r>
            <w:r w:rsidR="00C75D0C">
              <w:rPr>
                <w:rFonts w:cs="Helvetica"/>
                <w:color w:val="595959"/>
                <w:szCs w:val="18"/>
              </w:rPr>
              <w:t>4</w:t>
            </w:r>
          </w:p>
        </w:tc>
        <w:tc>
          <w:tcPr>
            <w:tcW w:w="695" w:type="pct"/>
            <w:vAlign w:val="center"/>
          </w:tcPr>
          <w:p w14:paraId="75C722F8" w14:textId="1C2158AF" w:rsidR="00987DAE" w:rsidRPr="000D0304" w:rsidRDefault="00987DAE" w:rsidP="000D0304">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rPr>
            </w:pPr>
            <w:r w:rsidRPr="000D0304">
              <w:rPr>
                <w:rFonts w:cs="Helvetica"/>
                <w:color w:val="595959"/>
                <w:szCs w:val="18"/>
              </w:rPr>
              <w:t>5</w:t>
            </w:r>
            <w:r w:rsidR="00466CB3">
              <w:rPr>
                <w:rFonts w:cs="Helvetica"/>
                <w:color w:val="595959"/>
                <w:szCs w:val="18"/>
              </w:rPr>
              <w:t>.</w:t>
            </w:r>
            <w:r w:rsidR="004C7EE4">
              <w:rPr>
                <w:rFonts w:cs="Helvetica"/>
                <w:color w:val="595959"/>
                <w:szCs w:val="18"/>
              </w:rPr>
              <w:t>4</w:t>
            </w:r>
          </w:p>
        </w:tc>
      </w:tr>
      <w:tr w:rsidR="00987DAE" w:rsidRPr="007A6DAA" w14:paraId="0A5B774C" w14:textId="77777777" w:rsidTr="00FD4D41">
        <w:trPr>
          <w:trHeight w:val="113"/>
        </w:trPr>
        <w:tc>
          <w:tcPr>
            <w:cnfStyle w:val="001000000000" w:firstRow="0" w:lastRow="0" w:firstColumn="1" w:lastColumn="0" w:oddVBand="0" w:evenVBand="0" w:oddHBand="0" w:evenHBand="0" w:firstRowFirstColumn="0" w:firstRowLastColumn="0" w:lastRowFirstColumn="0" w:lastRowLastColumn="0"/>
            <w:tcW w:w="1519" w:type="pct"/>
            <w:hideMark/>
          </w:tcPr>
          <w:p w14:paraId="49E18AB4" w14:textId="77777777" w:rsidR="00987DAE" w:rsidRPr="000D0304" w:rsidRDefault="00987DAE" w:rsidP="000D0304">
            <w:pPr>
              <w:widowControl w:val="0"/>
              <w:tabs>
                <w:tab w:val="left" w:pos="-1440"/>
                <w:tab w:val="left" w:pos="-720"/>
              </w:tabs>
              <w:spacing w:after="0" w:line="312" w:lineRule="auto"/>
              <w:rPr>
                <w:rFonts w:cs="Helvetica"/>
                <w:color w:val="595959"/>
                <w:sz w:val="18"/>
                <w:szCs w:val="18"/>
              </w:rPr>
            </w:pPr>
            <w:r w:rsidRPr="000D0304">
              <w:rPr>
                <w:rFonts w:cs="Helvetica"/>
                <w:color w:val="595959"/>
                <w:sz w:val="18"/>
                <w:szCs w:val="18"/>
              </w:rPr>
              <w:t>Ozone Layer Depletion Potential (ODP)</w:t>
            </w:r>
          </w:p>
          <w:p w14:paraId="6C92FBD2" w14:textId="77777777" w:rsidR="00987DAE" w:rsidRPr="000D0304" w:rsidRDefault="00987DAE" w:rsidP="00390AFB">
            <w:pPr>
              <w:widowControl w:val="0"/>
              <w:tabs>
                <w:tab w:val="left" w:pos="-1440"/>
                <w:tab w:val="left" w:pos="-720"/>
              </w:tabs>
              <w:spacing w:after="0" w:line="312" w:lineRule="auto"/>
              <w:jc w:val="right"/>
              <w:rPr>
                <w:rFonts w:cs="Helvetica"/>
                <w:color w:val="595959"/>
                <w:sz w:val="18"/>
                <w:szCs w:val="18"/>
              </w:rPr>
            </w:pPr>
            <w:r>
              <w:rPr>
                <w:rFonts w:cs="Helvetica"/>
                <w:color w:val="595959"/>
                <w:sz w:val="18"/>
                <w:szCs w:val="18"/>
              </w:rPr>
              <w:t>[kg</w:t>
            </w:r>
            <w:r w:rsidRPr="000D0304">
              <w:rPr>
                <w:rFonts w:cs="Helvetica"/>
                <w:color w:val="595959"/>
                <w:sz w:val="18"/>
                <w:szCs w:val="18"/>
              </w:rPr>
              <w:t xml:space="preserve"> R11-Equiv.]</w:t>
            </w:r>
          </w:p>
        </w:tc>
        <w:tc>
          <w:tcPr>
            <w:tcW w:w="581" w:type="pct"/>
            <w:vAlign w:val="center"/>
          </w:tcPr>
          <w:p w14:paraId="5DD39EB9" w14:textId="2E12E34A" w:rsidR="00987DAE" w:rsidRPr="000D0304" w:rsidRDefault="00F408B2" w:rsidP="000D0304">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2.6</w:t>
            </w:r>
            <w:r w:rsidR="00987DAE" w:rsidRPr="000D0304">
              <w:rPr>
                <w:rFonts w:cs="Helvetica"/>
                <w:color w:val="595959"/>
                <w:szCs w:val="18"/>
              </w:rPr>
              <w:t>E-</w:t>
            </w:r>
            <w:r w:rsidR="007E4EA3">
              <w:rPr>
                <w:rFonts w:cs="Helvetica"/>
                <w:color w:val="595959"/>
                <w:szCs w:val="18"/>
              </w:rPr>
              <w:t>9</w:t>
            </w:r>
          </w:p>
        </w:tc>
        <w:tc>
          <w:tcPr>
            <w:tcW w:w="640" w:type="pct"/>
            <w:vAlign w:val="center"/>
          </w:tcPr>
          <w:p w14:paraId="1A7D0DBB" w14:textId="344FBCC7" w:rsidR="00987DAE" w:rsidRPr="000D0304" w:rsidRDefault="00E607D7" w:rsidP="000D0304">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3.4</w:t>
            </w:r>
            <w:r w:rsidR="00987DAE" w:rsidRPr="000D0304">
              <w:rPr>
                <w:rFonts w:cs="Helvetica"/>
                <w:color w:val="595959"/>
                <w:szCs w:val="18"/>
              </w:rPr>
              <w:t>E-</w:t>
            </w:r>
            <w:r>
              <w:rPr>
                <w:rFonts w:cs="Helvetica"/>
                <w:color w:val="595959"/>
                <w:szCs w:val="18"/>
              </w:rPr>
              <w:t>9</w:t>
            </w:r>
          </w:p>
        </w:tc>
        <w:tc>
          <w:tcPr>
            <w:tcW w:w="794" w:type="pct"/>
            <w:vAlign w:val="center"/>
          </w:tcPr>
          <w:p w14:paraId="4A846F56" w14:textId="4C752828" w:rsidR="00987DAE" w:rsidRPr="000D0304" w:rsidRDefault="0012089D" w:rsidP="000D0304">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2.8</w:t>
            </w:r>
            <w:r w:rsidR="00987DAE" w:rsidRPr="000D0304">
              <w:rPr>
                <w:rFonts w:cs="Helvetica"/>
                <w:color w:val="595959"/>
                <w:szCs w:val="18"/>
              </w:rPr>
              <w:t>E-</w:t>
            </w:r>
            <w:r>
              <w:rPr>
                <w:rFonts w:cs="Helvetica"/>
                <w:color w:val="595959"/>
                <w:szCs w:val="18"/>
              </w:rPr>
              <w:t>9</w:t>
            </w:r>
          </w:p>
        </w:tc>
        <w:tc>
          <w:tcPr>
            <w:tcW w:w="772" w:type="pct"/>
            <w:vAlign w:val="center"/>
          </w:tcPr>
          <w:p w14:paraId="55B01D1E" w14:textId="7BA99897" w:rsidR="00987DAE" w:rsidRPr="000D0304" w:rsidRDefault="00C75D0C" w:rsidP="000D0304">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2</w:t>
            </w:r>
            <w:r w:rsidR="00960C5F">
              <w:rPr>
                <w:rFonts w:cs="Helvetica"/>
                <w:color w:val="595959"/>
                <w:szCs w:val="18"/>
              </w:rPr>
              <w:t>.6</w:t>
            </w:r>
            <w:r w:rsidR="00987DAE" w:rsidRPr="000D0304">
              <w:rPr>
                <w:rFonts w:cs="Helvetica"/>
                <w:color w:val="595959"/>
                <w:szCs w:val="18"/>
              </w:rPr>
              <w:t>E-</w:t>
            </w:r>
            <w:r w:rsidR="00960C5F">
              <w:rPr>
                <w:rFonts w:cs="Helvetica"/>
                <w:color w:val="595959"/>
                <w:szCs w:val="18"/>
              </w:rPr>
              <w:t>9</w:t>
            </w:r>
          </w:p>
        </w:tc>
        <w:tc>
          <w:tcPr>
            <w:tcW w:w="695" w:type="pct"/>
            <w:vAlign w:val="center"/>
          </w:tcPr>
          <w:p w14:paraId="7577A756" w14:textId="6B87204A" w:rsidR="00987DAE" w:rsidRPr="000D0304" w:rsidRDefault="004C7EE4" w:rsidP="000D0304">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3.6</w:t>
            </w:r>
            <w:r w:rsidR="00987DAE" w:rsidRPr="000D0304">
              <w:rPr>
                <w:rFonts w:cs="Helvetica"/>
                <w:color w:val="595959"/>
                <w:szCs w:val="18"/>
              </w:rPr>
              <w:t>E-</w:t>
            </w:r>
            <w:r>
              <w:rPr>
                <w:rFonts w:cs="Helvetica"/>
                <w:color w:val="595959"/>
                <w:szCs w:val="18"/>
              </w:rPr>
              <w:t>9</w:t>
            </w:r>
          </w:p>
        </w:tc>
      </w:tr>
      <w:tr w:rsidR="00987DAE" w:rsidRPr="007A6DAA" w14:paraId="050EBC25" w14:textId="77777777" w:rsidTr="00FD4D41">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519" w:type="pct"/>
            <w:hideMark/>
          </w:tcPr>
          <w:p w14:paraId="75F77DE8" w14:textId="7EDC4017" w:rsidR="00987DAE" w:rsidRPr="000D0304" w:rsidRDefault="00987DAE" w:rsidP="00C864F8">
            <w:pPr>
              <w:widowControl w:val="0"/>
              <w:tabs>
                <w:tab w:val="left" w:pos="-1440"/>
                <w:tab w:val="left" w:pos="-720"/>
              </w:tabs>
              <w:spacing w:after="0" w:line="312" w:lineRule="auto"/>
              <w:rPr>
                <w:rFonts w:cs="Helvetica"/>
                <w:color w:val="595959"/>
                <w:sz w:val="18"/>
                <w:szCs w:val="18"/>
              </w:rPr>
            </w:pPr>
            <w:r w:rsidRPr="000D0304">
              <w:rPr>
                <w:rFonts w:cs="Helvetica"/>
                <w:color w:val="595959"/>
                <w:sz w:val="18"/>
                <w:szCs w:val="18"/>
              </w:rPr>
              <w:t>Photochemical Ozone Creation Potential (POCP)</w:t>
            </w:r>
            <w:r w:rsidR="007B7D99">
              <w:rPr>
                <w:rFonts w:cs="Helvetica"/>
                <w:color w:val="595959"/>
                <w:sz w:val="18"/>
                <w:szCs w:val="18"/>
              </w:rPr>
              <w:t xml:space="preserve">                                  </w:t>
            </w:r>
            <w:r w:rsidRPr="000D0304">
              <w:rPr>
                <w:rFonts w:cs="Helvetica"/>
                <w:color w:val="595959"/>
                <w:sz w:val="18"/>
                <w:szCs w:val="18"/>
              </w:rPr>
              <w:t>[</w:t>
            </w:r>
            <w:r>
              <w:rPr>
                <w:rFonts w:cs="Helvetica"/>
                <w:color w:val="595959"/>
                <w:sz w:val="18"/>
                <w:szCs w:val="18"/>
              </w:rPr>
              <w:t>kg</w:t>
            </w:r>
            <w:r w:rsidRPr="000D0304">
              <w:rPr>
                <w:rFonts w:cs="Helvetica"/>
                <w:color w:val="595959"/>
                <w:sz w:val="18"/>
                <w:szCs w:val="18"/>
              </w:rPr>
              <w:t xml:space="preserve"> Ethene-Equiv.]</w:t>
            </w:r>
          </w:p>
        </w:tc>
        <w:tc>
          <w:tcPr>
            <w:tcW w:w="581" w:type="pct"/>
            <w:vAlign w:val="center"/>
          </w:tcPr>
          <w:p w14:paraId="32A6191B" w14:textId="463AFC52" w:rsidR="00987DAE" w:rsidRPr="000D0304" w:rsidRDefault="00987DAE" w:rsidP="000D0304">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rPr>
            </w:pPr>
            <w:r>
              <w:rPr>
                <w:rFonts w:cs="Helvetica"/>
                <w:color w:val="595959"/>
                <w:szCs w:val="18"/>
              </w:rPr>
              <w:t>6</w:t>
            </w:r>
          </w:p>
        </w:tc>
        <w:tc>
          <w:tcPr>
            <w:tcW w:w="640" w:type="pct"/>
            <w:vAlign w:val="center"/>
          </w:tcPr>
          <w:p w14:paraId="291DE2F9" w14:textId="77777777" w:rsidR="00987DAE" w:rsidRPr="000D0304" w:rsidRDefault="00987DAE" w:rsidP="000D0304">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rPr>
            </w:pPr>
            <w:r>
              <w:rPr>
                <w:rFonts w:cs="Helvetica"/>
                <w:color w:val="595959"/>
                <w:szCs w:val="18"/>
              </w:rPr>
              <w:t>8</w:t>
            </w:r>
          </w:p>
        </w:tc>
        <w:tc>
          <w:tcPr>
            <w:tcW w:w="794" w:type="pct"/>
            <w:vAlign w:val="center"/>
          </w:tcPr>
          <w:p w14:paraId="7A992CD7" w14:textId="5FEEBCF7" w:rsidR="00987DAE" w:rsidRPr="000D0304" w:rsidRDefault="00AC3FFD" w:rsidP="000D0304">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rPr>
            </w:pPr>
            <w:r>
              <w:rPr>
                <w:rFonts w:cs="Helvetica"/>
                <w:color w:val="595959"/>
                <w:szCs w:val="18"/>
              </w:rPr>
              <w:t>3</w:t>
            </w:r>
          </w:p>
        </w:tc>
        <w:tc>
          <w:tcPr>
            <w:tcW w:w="772" w:type="pct"/>
            <w:vAlign w:val="center"/>
          </w:tcPr>
          <w:p w14:paraId="615A31C2" w14:textId="77777777" w:rsidR="00987DAE" w:rsidRPr="000D0304" w:rsidRDefault="00987DAE" w:rsidP="000D0304">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rPr>
            </w:pPr>
            <w:r w:rsidRPr="000D0304">
              <w:rPr>
                <w:rFonts w:cs="Helvetica"/>
                <w:color w:val="595959"/>
                <w:szCs w:val="18"/>
              </w:rPr>
              <w:t>2</w:t>
            </w:r>
          </w:p>
        </w:tc>
        <w:tc>
          <w:tcPr>
            <w:tcW w:w="695" w:type="pct"/>
            <w:vAlign w:val="center"/>
          </w:tcPr>
          <w:p w14:paraId="4ADFC17D" w14:textId="64D42E23" w:rsidR="00987DAE" w:rsidRPr="000D0304" w:rsidRDefault="004429F2" w:rsidP="000D0304">
            <w:pPr>
              <w:widowControl w:val="0"/>
              <w:tabs>
                <w:tab w:val="left" w:pos="-1440"/>
                <w:tab w:val="left" w:pos="-720"/>
              </w:tabs>
              <w:spacing w:after="0" w:line="312" w:lineRule="auto"/>
              <w:jc w:val="center"/>
              <w:cnfStyle w:val="000000100000" w:firstRow="0" w:lastRow="0" w:firstColumn="0" w:lastColumn="0" w:oddVBand="0" w:evenVBand="0" w:oddHBand="1" w:evenHBand="0" w:firstRowFirstColumn="0" w:firstRowLastColumn="0" w:lastRowFirstColumn="0" w:lastRowLastColumn="0"/>
              <w:rPr>
                <w:rFonts w:cs="Helvetica"/>
                <w:color w:val="595959"/>
                <w:szCs w:val="18"/>
              </w:rPr>
            </w:pPr>
            <w:r>
              <w:rPr>
                <w:rFonts w:cs="Helvetica"/>
                <w:color w:val="595959"/>
                <w:szCs w:val="18"/>
              </w:rPr>
              <w:t>3</w:t>
            </w:r>
          </w:p>
        </w:tc>
      </w:tr>
      <w:tr w:rsidR="00987DAE" w:rsidRPr="007A6DAA" w14:paraId="7CCF6D15" w14:textId="77777777" w:rsidTr="00FD4D41">
        <w:trPr>
          <w:trHeight w:val="113"/>
        </w:trPr>
        <w:tc>
          <w:tcPr>
            <w:cnfStyle w:val="001000000000" w:firstRow="0" w:lastRow="0" w:firstColumn="1" w:lastColumn="0" w:oddVBand="0" w:evenVBand="0" w:oddHBand="0" w:evenHBand="0" w:firstRowFirstColumn="0" w:firstRowLastColumn="0" w:lastRowFirstColumn="0" w:lastRowLastColumn="0"/>
            <w:tcW w:w="1519" w:type="pct"/>
            <w:hideMark/>
          </w:tcPr>
          <w:p w14:paraId="215481DA" w14:textId="150FB42D" w:rsidR="00987DAE" w:rsidRPr="000D0304" w:rsidRDefault="00987DAE" w:rsidP="000D0304">
            <w:pPr>
              <w:spacing w:after="0" w:line="312" w:lineRule="auto"/>
              <w:contextualSpacing/>
              <w:rPr>
                <w:rFonts w:cs="Helvetica"/>
                <w:color w:val="595959"/>
                <w:sz w:val="18"/>
                <w:szCs w:val="18"/>
              </w:rPr>
            </w:pPr>
            <w:r w:rsidRPr="007F0C98">
              <w:rPr>
                <w:rFonts w:cs="Helvetica"/>
                <w:color w:val="595959"/>
                <w:sz w:val="18"/>
                <w:szCs w:val="18"/>
              </w:rPr>
              <w:t>Water Scarcity Footprint (WSFP - AWARE)</w:t>
            </w:r>
          </w:p>
          <w:p w14:paraId="42065AB1" w14:textId="344FE26D" w:rsidR="00987DAE" w:rsidRPr="000D0304" w:rsidRDefault="00987DAE" w:rsidP="000D0304">
            <w:pPr>
              <w:spacing w:after="0" w:line="312" w:lineRule="auto"/>
              <w:contextualSpacing/>
              <w:jc w:val="right"/>
              <w:rPr>
                <w:rFonts w:cs="Helvetica"/>
                <w:sz w:val="18"/>
                <w:szCs w:val="18"/>
              </w:rPr>
            </w:pPr>
            <w:r w:rsidRPr="000D0304">
              <w:rPr>
                <w:rFonts w:cs="Helvetica"/>
                <w:color w:val="595959"/>
                <w:sz w:val="18"/>
                <w:szCs w:val="18"/>
              </w:rPr>
              <w:t>[m</w:t>
            </w:r>
            <w:r w:rsidRPr="000D0304">
              <w:rPr>
                <w:rFonts w:cs="Helvetica"/>
                <w:color w:val="595959"/>
                <w:sz w:val="18"/>
                <w:szCs w:val="18"/>
                <w:vertAlign w:val="superscript"/>
              </w:rPr>
              <w:t>3</w:t>
            </w:r>
            <w:r w:rsidRPr="000D0304">
              <w:rPr>
                <w:rFonts w:cs="Helvetica"/>
                <w:color w:val="595959"/>
                <w:sz w:val="18"/>
                <w:szCs w:val="18"/>
              </w:rPr>
              <w:t xml:space="preserve"> </w:t>
            </w:r>
            <w:r w:rsidR="00AF216D" w:rsidRPr="000D0304">
              <w:rPr>
                <w:rFonts w:cs="Helvetica"/>
                <w:color w:val="595959"/>
                <w:sz w:val="18"/>
                <w:szCs w:val="18"/>
              </w:rPr>
              <w:t>W</w:t>
            </w:r>
            <w:r w:rsidR="00AF216D">
              <w:rPr>
                <w:rFonts w:cs="Helvetica"/>
                <w:color w:val="595959"/>
                <w:sz w:val="18"/>
                <w:szCs w:val="18"/>
              </w:rPr>
              <w:t>orld</w:t>
            </w:r>
            <w:r w:rsidRPr="000D0304">
              <w:rPr>
                <w:rFonts w:cs="Helvetica"/>
                <w:color w:val="595959"/>
                <w:sz w:val="18"/>
                <w:szCs w:val="18"/>
              </w:rPr>
              <w:t>-Equiv.]</w:t>
            </w:r>
          </w:p>
        </w:tc>
        <w:tc>
          <w:tcPr>
            <w:tcW w:w="581" w:type="pct"/>
            <w:vAlign w:val="center"/>
          </w:tcPr>
          <w:p w14:paraId="08D2119E" w14:textId="3635ED8D" w:rsidR="00987DAE" w:rsidRPr="000D0304" w:rsidRDefault="00EA2479" w:rsidP="000D0304">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775</w:t>
            </w:r>
          </w:p>
        </w:tc>
        <w:tc>
          <w:tcPr>
            <w:tcW w:w="640" w:type="pct"/>
            <w:vAlign w:val="center"/>
          </w:tcPr>
          <w:p w14:paraId="7DFAA1A7" w14:textId="2B21776F" w:rsidR="00987DAE" w:rsidRPr="00E55444" w:rsidRDefault="00EA2479" w:rsidP="000D0304">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842</w:t>
            </w:r>
          </w:p>
        </w:tc>
        <w:tc>
          <w:tcPr>
            <w:tcW w:w="794" w:type="pct"/>
            <w:vAlign w:val="center"/>
          </w:tcPr>
          <w:p w14:paraId="131879E8" w14:textId="79680FB9" w:rsidR="00987DAE" w:rsidRPr="00E55444" w:rsidRDefault="00EA2479" w:rsidP="000D0304">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85</w:t>
            </w:r>
          </w:p>
        </w:tc>
        <w:tc>
          <w:tcPr>
            <w:tcW w:w="772" w:type="pct"/>
            <w:vAlign w:val="center"/>
          </w:tcPr>
          <w:p w14:paraId="2D098509" w14:textId="453A0A1D" w:rsidR="00987DAE" w:rsidRPr="00E55444" w:rsidRDefault="00EA2479" w:rsidP="000D0304">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Pr>
                <w:rFonts w:cs="Helvetica"/>
                <w:color w:val="595959"/>
                <w:szCs w:val="18"/>
              </w:rPr>
              <w:t>445</w:t>
            </w:r>
          </w:p>
        </w:tc>
        <w:tc>
          <w:tcPr>
            <w:tcW w:w="695" w:type="pct"/>
            <w:vAlign w:val="center"/>
          </w:tcPr>
          <w:p w14:paraId="27622FC5" w14:textId="258EC9A8" w:rsidR="00987DAE" w:rsidRPr="00E55444" w:rsidRDefault="00E55444" w:rsidP="000D0304">
            <w:pPr>
              <w:widowControl w:val="0"/>
              <w:tabs>
                <w:tab w:val="left" w:pos="-1440"/>
                <w:tab w:val="left" w:pos="-720"/>
              </w:tabs>
              <w:spacing w:after="0" w:line="312" w:lineRule="auto"/>
              <w:jc w:val="center"/>
              <w:cnfStyle w:val="000000000000" w:firstRow="0" w:lastRow="0" w:firstColumn="0" w:lastColumn="0" w:oddVBand="0" w:evenVBand="0" w:oddHBand="0" w:evenHBand="0" w:firstRowFirstColumn="0" w:firstRowLastColumn="0" w:lastRowFirstColumn="0" w:lastRowLastColumn="0"/>
              <w:rPr>
                <w:rFonts w:cs="Helvetica"/>
                <w:color w:val="595959"/>
                <w:szCs w:val="18"/>
              </w:rPr>
            </w:pPr>
            <w:r w:rsidRPr="00E55444">
              <w:rPr>
                <w:rFonts w:cs="Helvetica"/>
                <w:color w:val="595959"/>
                <w:szCs w:val="18"/>
              </w:rPr>
              <w:t>575</w:t>
            </w:r>
          </w:p>
        </w:tc>
      </w:tr>
    </w:tbl>
    <w:p w14:paraId="3C98BAA3" w14:textId="4D3AFBA0" w:rsidR="00EF549B" w:rsidRPr="005F0AA8" w:rsidRDefault="007A6DAA" w:rsidP="00C01B1E">
      <w:pPr>
        <w:spacing w:before="120" w:after="0" w:line="312" w:lineRule="auto"/>
        <w:jc w:val="right"/>
        <w:rPr>
          <w:rFonts w:eastAsia="Times New Roman" w:cs="Helvetica"/>
          <w:b/>
          <w:bCs/>
          <w:color w:val="595959"/>
          <w:kern w:val="32"/>
          <w:sz w:val="22"/>
          <w:szCs w:val="22"/>
        </w:rPr>
      </w:pPr>
      <w:r w:rsidRPr="005F0AA8">
        <w:rPr>
          <w:rFonts w:cs="Helvetica"/>
          <w:b/>
          <w:color w:val="595959"/>
          <w:szCs w:val="20"/>
          <w:lang w:eastAsia="en-GB"/>
        </w:rPr>
        <w:t>T</w:t>
      </w:r>
      <w:r w:rsidR="00EF549B" w:rsidRPr="005F0AA8">
        <w:rPr>
          <w:rFonts w:cs="Helvetica"/>
          <w:b/>
          <w:color w:val="595959"/>
          <w:szCs w:val="20"/>
          <w:lang w:eastAsia="en-GB"/>
        </w:rPr>
        <w:t xml:space="preserve">able </w:t>
      </w:r>
      <w:r w:rsidR="00C01B1E">
        <w:rPr>
          <w:rFonts w:cs="Helvetica"/>
          <w:b/>
          <w:color w:val="595959"/>
          <w:szCs w:val="20"/>
          <w:lang w:eastAsia="en-GB"/>
        </w:rPr>
        <w:t>1</w:t>
      </w:r>
      <w:r w:rsidR="008736FB">
        <w:rPr>
          <w:rFonts w:cs="Helvetica"/>
          <w:b/>
          <w:color w:val="595959"/>
          <w:szCs w:val="20"/>
          <w:lang w:eastAsia="en-GB"/>
        </w:rPr>
        <w:t>1</w:t>
      </w:r>
      <w:r w:rsidR="00EF549B" w:rsidRPr="005F0AA8">
        <w:rPr>
          <w:rFonts w:cs="Helvetica"/>
          <w:b/>
          <w:color w:val="595959"/>
          <w:szCs w:val="20"/>
          <w:lang w:eastAsia="en-GB"/>
        </w:rPr>
        <w:t>:</w:t>
      </w:r>
      <w:r w:rsidR="00EF549B">
        <w:rPr>
          <w:rFonts w:cs="Helvetica"/>
          <w:b/>
          <w:color w:val="595959"/>
          <w:szCs w:val="20"/>
          <w:lang w:eastAsia="en-GB"/>
        </w:rPr>
        <w:tab/>
        <w:t>I</w:t>
      </w:r>
      <w:r w:rsidR="00EF549B" w:rsidRPr="005F0AA8">
        <w:rPr>
          <w:rFonts w:cs="Helvetica"/>
          <w:b/>
          <w:color w:val="595959"/>
          <w:szCs w:val="20"/>
          <w:lang w:eastAsia="en-GB"/>
        </w:rPr>
        <w:t>mpact category and additional indicator results</w:t>
      </w:r>
      <w:r w:rsidR="00DF7EE7">
        <w:rPr>
          <w:rFonts w:cs="Helvetica"/>
          <w:b/>
          <w:color w:val="595959"/>
          <w:szCs w:val="20"/>
          <w:lang w:eastAsia="en-GB"/>
        </w:rPr>
        <w:t xml:space="preserve"> (per tonne of primary aluminium ingot)</w:t>
      </w:r>
    </w:p>
    <w:p w14:paraId="4A3CCA5E" w14:textId="77777777" w:rsidR="00F06C77" w:rsidRDefault="00F06C77" w:rsidP="001A5B9F">
      <w:pPr>
        <w:spacing w:before="120" w:after="0" w:line="312" w:lineRule="auto"/>
        <w:rPr>
          <w:rFonts w:eastAsia="Times New Roman" w:cs="Helvetica"/>
          <w:sz w:val="22"/>
          <w:szCs w:val="22"/>
        </w:rPr>
        <w:sectPr w:rsidR="00F06C77" w:rsidSect="000D0304">
          <w:pgSz w:w="16839" w:h="11907" w:orient="landscape" w:code="9"/>
          <w:pgMar w:top="720" w:right="720" w:bottom="720" w:left="720" w:header="1276" w:footer="851" w:gutter="0"/>
          <w:cols w:space="708"/>
          <w:docGrid w:linePitch="326"/>
        </w:sectPr>
      </w:pPr>
    </w:p>
    <w:p w14:paraId="192C591C" w14:textId="081285AA" w:rsidR="006D76FD" w:rsidRPr="000D0304" w:rsidRDefault="00A9473F" w:rsidP="00DA5301">
      <w:pPr>
        <w:pStyle w:val="Heading3"/>
      </w:pPr>
      <w:bookmarkStart w:id="197" w:name="_Toc120111954"/>
      <w:r w:rsidRPr="000D0304">
        <w:lastRenderedPageBreak/>
        <w:t xml:space="preserve">Contribution </w:t>
      </w:r>
      <w:r w:rsidR="00186F7F">
        <w:t>A</w:t>
      </w:r>
      <w:r w:rsidRPr="000D0304">
        <w:t>nalysis</w:t>
      </w:r>
      <w:bookmarkEnd w:id="197"/>
    </w:p>
    <w:p w14:paraId="55633C4C" w14:textId="02E1A8AD" w:rsidR="007B5BA6" w:rsidRPr="000D0304" w:rsidRDefault="007B5BA6" w:rsidP="009E11C8">
      <w:pPr>
        <w:spacing w:after="0" w:line="312" w:lineRule="auto"/>
        <w:jc w:val="both"/>
        <w:rPr>
          <w:rFonts w:cs="Helvetica"/>
          <w:color w:val="595959"/>
          <w:szCs w:val="20"/>
          <w:lang w:eastAsia="en-GB"/>
        </w:rPr>
      </w:pPr>
      <w:r w:rsidRPr="000D0304">
        <w:rPr>
          <w:rFonts w:cs="Helvetica"/>
          <w:color w:val="595959"/>
          <w:szCs w:val="20"/>
          <w:lang w:eastAsia="en-GB"/>
        </w:rPr>
        <w:t>At the global leve</w:t>
      </w:r>
      <w:r w:rsidR="007A6DAA">
        <w:rPr>
          <w:rFonts w:cs="Helvetica"/>
          <w:color w:val="595959"/>
          <w:szCs w:val="20"/>
          <w:lang w:eastAsia="en-GB"/>
        </w:rPr>
        <w:t xml:space="preserve">l an </w:t>
      </w:r>
      <w:r w:rsidRPr="000D0304">
        <w:rPr>
          <w:rFonts w:cs="Helvetica"/>
          <w:color w:val="595959"/>
          <w:szCs w:val="20"/>
          <w:lang w:eastAsia="en-GB"/>
        </w:rPr>
        <w:t xml:space="preserve">analysis of the relative contribution </w:t>
      </w:r>
      <w:r w:rsidR="007A6DAA">
        <w:rPr>
          <w:rFonts w:cs="Helvetica"/>
          <w:color w:val="595959"/>
          <w:szCs w:val="20"/>
          <w:lang w:eastAsia="en-GB"/>
        </w:rPr>
        <w:t xml:space="preserve">of </w:t>
      </w:r>
      <w:r w:rsidR="00C4180A">
        <w:rPr>
          <w:rFonts w:cs="Helvetica"/>
          <w:color w:val="595959"/>
          <w:szCs w:val="20"/>
          <w:lang w:eastAsia="en-GB"/>
        </w:rPr>
        <w:t xml:space="preserve">the process categories </w:t>
      </w:r>
      <w:r w:rsidRPr="000D0304">
        <w:rPr>
          <w:rFonts w:cs="Helvetica"/>
          <w:color w:val="595959"/>
          <w:szCs w:val="20"/>
          <w:lang w:eastAsia="en-GB"/>
        </w:rPr>
        <w:t xml:space="preserve">highlights the significant influence that </w:t>
      </w:r>
      <w:r w:rsidR="00C4180A">
        <w:rPr>
          <w:rFonts w:cs="Helvetica"/>
          <w:color w:val="595959"/>
          <w:szCs w:val="20"/>
          <w:lang w:eastAsia="en-GB"/>
        </w:rPr>
        <w:t xml:space="preserve">(the globalised aluminium) </w:t>
      </w:r>
      <w:r w:rsidRPr="000D0304">
        <w:rPr>
          <w:rFonts w:cs="Helvetica"/>
          <w:color w:val="595959"/>
          <w:szCs w:val="20"/>
          <w:lang w:eastAsia="en-GB"/>
        </w:rPr>
        <w:t>electricity</w:t>
      </w:r>
      <w:r w:rsidR="00C4180A">
        <w:rPr>
          <w:rFonts w:cs="Helvetica"/>
          <w:color w:val="595959"/>
          <w:szCs w:val="20"/>
          <w:lang w:eastAsia="en-GB"/>
        </w:rPr>
        <w:t xml:space="preserve"> supply</w:t>
      </w:r>
      <w:r w:rsidRPr="000D0304">
        <w:rPr>
          <w:rFonts w:cs="Helvetica"/>
          <w:color w:val="595959"/>
          <w:szCs w:val="20"/>
          <w:lang w:eastAsia="en-GB"/>
        </w:rPr>
        <w:t xml:space="preserve"> has on the potential environmental impact of primary aluminium production</w:t>
      </w:r>
      <w:r w:rsidR="003E4249" w:rsidRPr="000D0304">
        <w:rPr>
          <w:rFonts w:cs="Helvetica"/>
          <w:color w:val="595959"/>
          <w:szCs w:val="20"/>
          <w:lang w:eastAsia="en-GB"/>
        </w:rPr>
        <w:t xml:space="preserve"> (Figure 1</w:t>
      </w:r>
      <w:r w:rsidR="007A6DAA">
        <w:rPr>
          <w:rFonts w:cs="Helvetica"/>
          <w:color w:val="595959"/>
          <w:szCs w:val="20"/>
          <w:lang w:eastAsia="en-GB"/>
        </w:rPr>
        <w:t>3</w:t>
      </w:r>
      <w:r w:rsidR="003E4249" w:rsidRPr="000D0304">
        <w:rPr>
          <w:rFonts w:cs="Helvetica"/>
          <w:color w:val="595959"/>
          <w:szCs w:val="20"/>
          <w:lang w:eastAsia="en-GB"/>
        </w:rPr>
        <w:t>)</w:t>
      </w:r>
      <w:r w:rsidR="009831A3">
        <w:rPr>
          <w:rFonts w:cs="Helvetica"/>
          <w:color w:val="595959"/>
          <w:szCs w:val="20"/>
          <w:lang w:eastAsia="en-GB"/>
        </w:rPr>
        <w:t xml:space="preserve">.  </w:t>
      </w:r>
      <w:r w:rsidR="00586D09">
        <w:rPr>
          <w:rFonts w:cs="Helvetica"/>
          <w:color w:val="595959"/>
          <w:szCs w:val="20"/>
          <w:lang w:eastAsia="en-GB"/>
        </w:rPr>
        <w:t>E</w:t>
      </w:r>
      <w:r w:rsidRPr="000D0304">
        <w:rPr>
          <w:rFonts w:cs="Helvetica"/>
          <w:color w:val="595959"/>
          <w:szCs w:val="20"/>
          <w:lang w:eastAsia="en-GB"/>
        </w:rPr>
        <w:t xml:space="preserve">lectricity </w:t>
      </w:r>
      <w:r w:rsidR="00586D09">
        <w:rPr>
          <w:rFonts w:cs="Helvetica"/>
          <w:color w:val="595959"/>
          <w:szCs w:val="20"/>
          <w:lang w:eastAsia="en-GB"/>
        </w:rPr>
        <w:t xml:space="preserve">consumed in global primary aluminium production </w:t>
      </w:r>
      <w:r w:rsidRPr="000D0304">
        <w:rPr>
          <w:rFonts w:cs="Helvetica"/>
          <w:color w:val="595959"/>
          <w:szCs w:val="20"/>
          <w:lang w:eastAsia="en-GB"/>
        </w:rPr>
        <w:t xml:space="preserve">contributes between </w:t>
      </w:r>
      <w:r w:rsidR="00F64EC0">
        <w:rPr>
          <w:rFonts w:cs="Helvetica"/>
          <w:color w:val="595959"/>
          <w:szCs w:val="20"/>
          <w:lang w:eastAsia="en-GB"/>
        </w:rPr>
        <w:t>5</w:t>
      </w:r>
      <w:r w:rsidR="00586D09">
        <w:rPr>
          <w:rFonts w:cs="Helvetica"/>
          <w:color w:val="595959"/>
          <w:szCs w:val="20"/>
          <w:lang w:eastAsia="en-GB"/>
        </w:rPr>
        <w:t>0</w:t>
      </w:r>
      <w:r w:rsidRPr="000D0304">
        <w:rPr>
          <w:rFonts w:cs="Helvetica"/>
          <w:color w:val="595959"/>
          <w:szCs w:val="20"/>
          <w:lang w:eastAsia="en-GB"/>
        </w:rPr>
        <w:t xml:space="preserve">% </w:t>
      </w:r>
      <w:r w:rsidR="00F436F3" w:rsidRPr="000D0304">
        <w:rPr>
          <w:rFonts w:cs="Helvetica"/>
          <w:color w:val="595959"/>
          <w:szCs w:val="20"/>
          <w:lang w:eastAsia="en-GB"/>
        </w:rPr>
        <w:t>and</w:t>
      </w:r>
      <w:r w:rsidRPr="000D0304">
        <w:rPr>
          <w:rFonts w:cs="Helvetica"/>
          <w:color w:val="595959"/>
          <w:szCs w:val="20"/>
          <w:lang w:eastAsia="en-GB"/>
        </w:rPr>
        <w:t xml:space="preserve"> </w:t>
      </w:r>
      <w:r w:rsidR="00EC481B">
        <w:rPr>
          <w:rFonts w:cs="Helvetica"/>
          <w:color w:val="595959"/>
          <w:szCs w:val="20"/>
          <w:lang w:eastAsia="en-GB"/>
        </w:rPr>
        <w:t>90</w:t>
      </w:r>
      <w:r w:rsidRPr="000D0304">
        <w:rPr>
          <w:rFonts w:cs="Helvetica"/>
          <w:color w:val="595959"/>
          <w:szCs w:val="20"/>
          <w:lang w:eastAsia="en-GB"/>
        </w:rPr>
        <w:t xml:space="preserve">% </w:t>
      </w:r>
      <w:r w:rsidR="00586D09">
        <w:rPr>
          <w:rFonts w:cs="Helvetica"/>
          <w:color w:val="595959"/>
          <w:szCs w:val="20"/>
          <w:lang w:eastAsia="en-GB"/>
        </w:rPr>
        <w:t xml:space="preserve">of the environmental impact across </w:t>
      </w:r>
      <w:r w:rsidR="0020199D">
        <w:rPr>
          <w:rFonts w:cs="Helvetica"/>
          <w:color w:val="595959"/>
          <w:szCs w:val="20"/>
          <w:lang w:eastAsia="en-GB"/>
        </w:rPr>
        <w:t>most</w:t>
      </w:r>
      <w:r w:rsidR="0020199D" w:rsidRPr="000D0304">
        <w:rPr>
          <w:rFonts w:cs="Helvetica"/>
          <w:color w:val="595959"/>
          <w:szCs w:val="20"/>
          <w:lang w:eastAsia="en-GB"/>
        </w:rPr>
        <w:t xml:space="preserve"> </w:t>
      </w:r>
      <w:r w:rsidRPr="000D0304">
        <w:rPr>
          <w:rFonts w:cs="Helvetica"/>
          <w:color w:val="595959"/>
          <w:szCs w:val="20"/>
          <w:lang w:eastAsia="en-GB"/>
        </w:rPr>
        <w:t>impact categories considered in this study</w:t>
      </w:r>
      <w:r w:rsidR="009831A3">
        <w:rPr>
          <w:rFonts w:cs="Helvetica"/>
          <w:color w:val="595959"/>
          <w:szCs w:val="20"/>
          <w:lang w:eastAsia="en-GB"/>
        </w:rPr>
        <w:t xml:space="preserve">.  </w:t>
      </w:r>
      <w:r w:rsidR="0020199D">
        <w:rPr>
          <w:rFonts w:cs="Helvetica"/>
          <w:color w:val="595959"/>
          <w:szCs w:val="20"/>
          <w:lang w:eastAsia="en-GB"/>
        </w:rPr>
        <w:t xml:space="preserve">The only exception </w:t>
      </w:r>
      <w:r w:rsidR="00042526">
        <w:rPr>
          <w:rFonts w:cs="Helvetica"/>
          <w:color w:val="595959"/>
          <w:szCs w:val="20"/>
          <w:lang w:eastAsia="en-GB"/>
        </w:rPr>
        <w:t>is</w:t>
      </w:r>
      <w:r w:rsidR="0020199D">
        <w:rPr>
          <w:rFonts w:cs="Helvetica"/>
          <w:color w:val="595959"/>
          <w:szCs w:val="20"/>
          <w:lang w:eastAsia="en-GB"/>
        </w:rPr>
        <w:t xml:space="preserve"> </w:t>
      </w:r>
      <w:r w:rsidR="0020199D" w:rsidRPr="0020199D">
        <w:rPr>
          <w:rFonts w:cs="Helvetica"/>
          <w:color w:val="595959"/>
          <w:szCs w:val="20"/>
          <w:lang w:eastAsia="en-GB"/>
        </w:rPr>
        <w:t>Ozone Layer Depletion Potential</w:t>
      </w:r>
      <w:r w:rsidR="00042526">
        <w:rPr>
          <w:rFonts w:cs="Helvetica"/>
          <w:color w:val="595959"/>
          <w:szCs w:val="20"/>
          <w:lang w:eastAsia="en-GB"/>
        </w:rPr>
        <w:t>.</w:t>
      </w:r>
    </w:p>
    <w:p w14:paraId="1CF140CF" w14:textId="6293BCD2" w:rsidR="007B5BA6" w:rsidRDefault="007B5BA6" w:rsidP="000D0304">
      <w:pPr>
        <w:spacing w:after="0" w:line="312" w:lineRule="auto"/>
        <w:contextualSpacing/>
        <w:jc w:val="both"/>
        <w:rPr>
          <w:rFonts w:cs="Helvetica"/>
          <w:color w:val="595959"/>
          <w:szCs w:val="20"/>
        </w:rPr>
      </w:pPr>
    </w:p>
    <w:p w14:paraId="7934DF8F" w14:textId="488D61A5" w:rsidR="003E17C4" w:rsidRPr="000D0304" w:rsidRDefault="00A065F6" w:rsidP="000D0304">
      <w:pPr>
        <w:spacing w:after="0" w:line="312" w:lineRule="auto"/>
        <w:contextualSpacing/>
        <w:jc w:val="both"/>
        <w:rPr>
          <w:rFonts w:cs="Helvetica"/>
          <w:color w:val="595959"/>
          <w:szCs w:val="20"/>
        </w:rPr>
      </w:pPr>
      <w:r>
        <w:rPr>
          <w:noProof/>
        </w:rPr>
        <w:drawing>
          <wp:inline distT="0" distB="0" distL="0" distR="0" wp14:anchorId="72E7D772" wp14:editId="47B122EA">
            <wp:extent cx="6067425" cy="3067050"/>
            <wp:effectExtent l="0" t="0" r="9525" b="0"/>
            <wp:docPr id="25" name="Chart 25">
              <a:extLst xmlns:a="http://schemas.openxmlformats.org/drawingml/2006/main">
                <a:ext uri="{FF2B5EF4-FFF2-40B4-BE49-F238E27FC236}">
                  <a16:creationId xmlns:a16="http://schemas.microsoft.com/office/drawing/2014/main" id="{B609BEC5-1562-444A-9AA5-B9FD3A5DC7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E4FF54D" w14:textId="77777777" w:rsidR="00C62BEF" w:rsidRPr="000D0304" w:rsidRDefault="00030571" w:rsidP="001A5B9F">
      <w:pPr>
        <w:spacing w:before="120" w:after="0" w:line="312" w:lineRule="auto"/>
        <w:jc w:val="right"/>
        <w:rPr>
          <w:rFonts w:cs="Helvetica"/>
          <w:b/>
          <w:color w:val="595959"/>
          <w:szCs w:val="20"/>
          <w:lang w:eastAsia="en-GB"/>
        </w:rPr>
      </w:pPr>
      <w:r w:rsidRPr="000D0304">
        <w:rPr>
          <w:rFonts w:cs="Helvetica"/>
          <w:b/>
          <w:color w:val="595959"/>
          <w:szCs w:val="20"/>
          <w:lang w:eastAsia="en-GB"/>
        </w:rPr>
        <w:t xml:space="preserve">Figure </w:t>
      </w:r>
      <w:r w:rsidR="003E4249" w:rsidRPr="000D0304">
        <w:rPr>
          <w:rFonts w:cs="Helvetica"/>
          <w:b/>
          <w:color w:val="595959"/>
          <w:szCs w:val="20"/>
          <w:lang w:eastAsia="en-GB"/>
        </w:rPr>
        <w:t>1</w:t>
      </w:r>
      <w:r w:rsidR="00EF549B" w:rsidRPr="00B47EAD">
        <w:rPr>
          <w:rFonts w:cs="Helvetica"/>
          <w:b/>
          <w:color w:val="595959"/>
          <w:szCs w:val="20"/>
          <w:lang w:eastAsia="en-GB"/>
        </w:rPr>
        <w:t>3</w:t>
      </w:r>
      <w:r w:rsidRPr="000D0304">
        <w:rPr>
          <w:rFonts w:cs="Helvetica"/>
          <w:b/>
          <w:color w:val="595959"/>
          <w:szCs w:val="20"/>
          <w:lang w:eastAsia="en-GB"/>
        </w:rPr>
        <w:t>:</w:t>
      </w:r>
      <w:r w:rsidR="00EF549B" w:rsidRPr="00B47EAD">
        <w:rPr>
          <w:rFonts w:cs="Helvetica"/>
          <w:b/>
          <w:color w:val="595959"/>
          <w:szCs w:val="20"/>
          <w:lang w:eastAsia="en-GB"/>
        </w:rPr>
        <w:tab/>
      </w:r>
      <w:r w:rsidRPr="000D0304">
        <w:rPr>
          <w:rFonts w:cs="Helvetica"/>
          <w:b/>
          <w:color w:val="595959"/>
          <w:szCs w:val="20"/>
          <w:lang w:eastAsia="en-GB"/>
        </w:rPr>
        <w:t>Contribution of key process type</w:t>
      </w:r>
      <w:r w:rsidR="00FD531D" w:rsidRPr="000D0304">
        <w:rPr>
          <w:rFonts w:cs="Helvetica"/>
          <w:b/>
          <w:color w:val="595959"/>
          <w:szCs w:val="20"/>
          <w:lang w:eastAsia="en-GB"/>
        </w:rPr>
        <w:t>s</w:t>
      </w:r>
      <w:r w:rsidRPr="000D0304">
        <w:rPr>
          <w:rFonts w:cs="Helvetica"/>
          <w:b/>
          <w:color w:val="595959"/>
          <w:szCs w:val="20"/>
          <w:lang w:eastAsia="en-GB"/>
        </w:rPr>
        <w:t xml:space="preserve"> to </w:t>
      </w:r>
      <w:r w:rsidR="00586D09" w:rsidRPr="00B47EAD">
        <w:rPr>
          <w:rFonts w:cs="Helvetica"/>
          <w:b/>
          <w:color w:val="595959"/>
          <w:szCs w:val="20"/>
          <w:lang w:eastAsia="en-GB"/>
        </w:rPr>
        <w:t xml:space="preserve">global </w:t>
      </w:r>
      <w:r w:rsidRPr="000D0304">
        <w:rPr>
          <w:rFonts w:cs="Helvetica"/>
          <w:b/>
          <w:color w:val="595959"/>
          <w:szCs w:val="20"/>
          <w:lang w:eastAsia="en-GB"/>
        </w:rPr>
        <w:t>impact indicator category result</w:t>
      </w:r>
      <w:r w:rsidR="002B28BA" w:rsidRPr="000D0304">
        <w:rPr>
          <w:rFonts w:cs="Helvetica"/>
          <w:b/>
          <w:color w:val="595959"/>
          <w:szCs w:val="20"/>
          <w:lang w:eastAsia="en-GB"/>
        </w:rPr>
        <w:t>s</w:t>
      </w:r>
    </w:p>
    <w:p w14:paraId="0C827C58" w14:textId="77777777" w:rsidR="00030571" w:rsidRPr="000D0304" w:rsidRDefault="00030571" w:rsidP="000D0304">
      <w:pPr>
        <w:spacing w:after="0" w:line="312" w:lineRule="auto"/>
        <w:contextualSpacing/>
        <w:jc w:val="both"/>
        <w:rPr>
          <w:rFonts w:cs="Helvetica"/>
          <w:color w:val="595959"/>
          <w:szCs w:val="20"/>
        </w:rPr>
      </w:pPr>
    </w:p>
    <w:p w14:paraId="04E8E8B4" w14:textId="76FB0971" w:rsidR="00C02790" w:rsidRPr="000D0304" w:rsidRDefault="00586D09" w:rsidP="009E11C8">
      <w:pPr>
        <w:spacing w:after="0" w:line="312" w:lineRule="auto"/>
        <w:contextualSpacing/>
        <w:jc w:val="both"/>
        <w:rPr>
          <w:rFonts w:cs="Helvetica"/>
          <w:color w:val="595959"/>
          <w:szCs w:val="20"/>
          <w:lang w:eastAsia="en-GB"/>
        </w:rPr>
      </w:pPr>
      <w:r>
        <w:rPr>
          <w:rFonts w:cs="Helvetica"/>
          <w:color w:val="595959"/>
          <w:szCs w:val="20"/>
          <w:lang w:eastAsia="en-GB"/>
        </w:rPr>
        <w:t>A similar a</w:t>
      </w:r>
      <w:r w:rsidR="00102FBF">
        <w:rPr>
          <w:rFonts w:cs="Helvetica"/>
          <w:color w:val="595959"/>
          <w:szCs w:val="20"/>
          <w:lang w:eastAsia="en-GB"/>
        </w:rPr>
        <w:t>nalysis of process contribution</w:t>
      </w:r>
      <w:r>
        <w:rPr>
          <w:rFonts w:cs="Helvetica"/>
          <w:color w:val="595959"/>
          <w:szCs w:val="20"/>
          <w:lang w:eastAsia="en-GB"/>
        </w:rPr>
        <w:t xml:space="preserve"> across the</w:t>
      </w:r>
      <w:r w:rsidR="00830A09" w:rsidRPr="000D0304">
        <w:rPr>
          <w:rFonts w:cs="Helvetica"/>
          <w:color w:val="595959"/>
          <w:szCs w:val="20"/>
          <w:lang w:eastAsia="en-GB"/>
        </w:rPr>
        <w:t xml:space="preserve"> </w:t>
      </w:r>
      <w:r w:rsidR="00EC481B">
        <w:rPr>
          <w:rFonts w:cs="Helvetica"/>
          <w:color w:val="595959"/>
          <w:szCs w:val="20"/>
          <w:lang w:eastAsia="en-GB"/>
        </w:rPr>
        <w:t>four</w:t>
      </w:r>
      <w:r w:rsidR="00830A09" w:rsidRPr="000D0304">
        <w:rPr>
          <w:rFonts w:cs="Helvetica"/>
          <w:color w:val="595959"/>
          <w:szCs w:val="20"/>
          <w:lang w:eastAsia="en-GB"/>
        </w:rPr>
        <w:t xml:space="preserve"> </w:t>
      </w:r>
      <w:r w:rsidR="00FE7B11" w:rsidRPr="000D0304">
        <w:rPr>
          <w:rFonts w:cs="Helvetica"/>
          <w:color w:val="595959"/>
          <w:szCs w:val="20"/>
          <w:lang w:eastAsia="en-GB"/>
        </w:rPr>
        <w:t xml:space="preserve">example </w:t>
      </w:r>
      <w:r w:rsidR="00830A09" w:rsidRPr="000D0304">
        <w:rPr>
          <w:rFonts w:cs="Helvetica"/>
          <w:color w:val="595959"/>
          <w:szCs w:val="20"/>
          <w:lang w:eastAsia="en-GB"/>
        </w:rPr>
        <w:t>scenarios</w:t>
      </w:r>
      <w:r w:rsidR="003E4249" w:rsidRPr="000D0304">
        <w:rPr>
          <w:rFonts w:cs="Helvetica"/>
          <w:color w:val="595959"/>
          <w:szCs w:val="20"/>
          <w:lang w:eastAsia="en-GB"/>
        </w:rPr>
        <w:t xml:space="preserve"> </w:t>
      </w:r>
      <w:r>
        <w:rPr>
          <w:rFonts w:cs="Helvetica"/>
          <w:color w:val="595959"/>
          <w:szCs w:val="20"/>
          <w:lang w:eastAsia="en-GB"/>
        </w:rPr>
        <w:t>is</w:t>
      </w:r>
      <w:r w:rsidRPr="000D0304">
        <w:rPr>
          <w:rFonts w:cs="Helvetica"/>
          <w:color w:val="595959"/>
          <w:szCs w:val="20"/>
          <w:lang w:eastAsia="en-GB"/>
        </w:rPr>
        <w:t xml:space="preserve"> </w:t>
      </w:r>
      <w:r w:rsidR="003E4249" w:rsidRPr="000D0304">
        <w:rPr>
          <w:rFonts w:cs="Helvetica"/>
          <w:color w:val="595959"/>
          <w:szCs w:val="20"/>
          <w:lang w:eastAsia="en-GB"/>
        </w:rPr>
        <w:t>presented in Figure 1</w:t>
      </w:r>
      <w:r w:rsidR="00CA5A82">
        <w:rPr>
          <w:rFonts w:cs="Helvetica"/>
          <w:color w:val="595959"/>
          <w:szCs w:val="20"/>
          <w:lang w:eastAsia="en-GB"/>
        </w:rPr>
        <w:t>4</w:t>
      </w:r>
      <w:r>
        <w:rPr>
          <w:rFonts w:cs="Helvetica"/>
          <w:color w:val="595959"/>
          <w:szCs w:val="20"/>
          <w:lang w:eastAsia="en-GB"/>
        </w:rPr>
        <w:t xml:space="preserve">, </w:t>
      </w:r>
      <w:r w:rsidR="0078174E" w:rsidRPr="000D0304">
        <w:rPr>
          <w:rFonts w:cs="Helvetica"/>
          <w:color w:val="595959"/>
          <w:szCs w:val="20"/>
          <w:lang w:eastAsia="en-GB"/>
        </w:rPr>
        <w:t>show</w:t>
      </w:r>
      <w:r>
        <w:rPr>
          <w:rFonts w:cs="Helvetica"/>
          <w:color w:val="595959"/>
          <w:szCs w:val="20"/>
          <w:lang w:eastAsia="en-GB"/>
        </w:rPr>
        <w:t>ing</w:t>
      </w:r>
      <w:r w:rsidR="0078174E" w:rsidRPr="000D0304">
        <w:rPr>
          <w:rFonts w:cs="Helvetica"/>
          <w:color w:val="595959"/>
          <w:szCs w:val="20"/>
          <w:lang w:eastAsia="en-GB"/>
        </w:rPr>
        <w:t xml:space="preserve"> significant differences </w:t>
      </w:r>
      <w:r w:rsidR="00102FBF">
        <w:rPr>
          <w:rFonts w:cs="Helvetica"/>
          <w:color w:val="595959"/>
          <w:szCs w:val="20"/>
          <w:lang w:eastAsia="en-GB"/>
        </w:rPr>
        <w:t>between them</w:t>
      </w:r>
      <w:r w:rsidR="009831A3">
        <w:rPr>
          <w:rFonts w:cs="Helvetica"/>
          <w:color w:val="595959"/>
          <w:szCs w:val="20"/>
          <w:lang w:eastAsia="en-GB"/>
        </w:rPr>
        <w:t xml:space="preserve">. </w:t>
      </w:r>
      <w:r w:rsidR="0006722F" w:rsidRPr="000D0304">
        <w:rPr>
          <w:rFonts w:cs="Helvetica"/>
          <w:color w:val="595959"/>
          <w:szCs w:val="20"/>
          <w:lang w:eastAsia="en-GB"/>
        </w:rPr>
        <w:t>Generally, the scenarios w</w:t>
      </w:r>
      <w:r w:rsidR="00102FBF">
        <w:rPr>
          <w:rFonts w:cs="Helvetica"/>
          <w:color w:val="595959"/>
          <w:szCs w:val="20"/>
          <w:lang w:eastAsia="en-GB"/>
        </w:rPr>
        <w:t xml:space="preserve">ith </w:t>
      </w:r>
      <w:r w:rsidR="0006722F" w:rsidRPr="000D0304">
        <w:rPr>
          <w:rFonts w:cs="Helvetica"/>
          <w:color w:val="595959"/>
          <w:szCs w:val="20"/>
          <w:lang w:eastAsia="en-GB"/>
        </w:rPr>
        <w:t xml:space="preserve">a greater proportion of </w:t>
      </w:r>
      <w:r w:rsidR="002B2574">
        <w:rPr>
          <w:rFonts w:cs="Helvetica"/>
          <w:color w:val="595959"/>
          <w:szCs w:val="20"/>
          <w:lang w:eastAsia="en-GB"/>
        </w:rPr>
        <w:t>thermal</w:t>
      </w:r>
      <w:r w:rsidR="0006722F" w:rsidRPr="000D0304">
        <w:rPr>
          <w:rFonts w:cs="Helvetica"/>
          <w:color w:val="595959"/>
          <w:szCs w:val="20"/>
          <w:lang w:eastAsia="en-GB"/>
        </w:rPr>
        <w:t xml:space="preserve"> </w:t>
      </w:r>
      <w:r w:rsidR="00102FBF">
        <w:rPr>
          <w:rFonts w:cs="Helvetica"/>
          <w:color w:val="595959"/>
          <w:szCs w:val="20"/>
          <w:lang w:eastAsia="en-GB"/>
        </w:rPr>
        <w:t>power consumption</w:t>
      </w:r>
      <w:r w:rsidR="00102FBF" w:rsidRPr="000D0304">
        <w:rPr>
          <w:rFonts w:cs="Helvetica"/>
          <w:color w:val="595959"/>
          <w:szCs w:val="20"/>
          <w:lang w:eastAsia="en-GB"/>
        </w:rPr>
        <w:t xml:space="preserve"> </w:t>
      </w:r>
      <w:r w:rsidR="0006722F" w:rsidRPr="000D0304">
        <w:rPr>
          <w:rFonts w:cs="Helvetica"/>
          <w:color w:val="595959"/>
          <w:szCs w:val="20"/>
          <w:lang w:eastAsia="en-GB"/>
        </w:rPr>
        <w:t>have electricity as the most significant influence on the impact category indicator results</w:t>
      </w:r>
      <w:r w:rsidR="009831A3">
        <w:rPr>
          <w:rFonts w:cs="Helvetica"/>
          <w:color w:val="595959"/>
          <w:szCs w:val="20"/>
          <w:lang w:eastAsia="en-GB"/>
        </w:rPr>
        <w:t xml:space="preserve">.  </w:t>
      </w:r>
      <w:r w:rsidR="0006722F" w:rsidRPr="000D0304">
        <w:rPr>
          <w:rFonts w:cs="Helvetica"/>
          <w:color w:val="595959"/>
          <w:szCs w:val="20"/>
          <w:lang w:eastAsia="en-GB"/>
        </w:rPr>
        <w:t>The scenarios which are hydropower dominated on the other hand have a greater contribution from direct</w:t>
      </w:r>
      <w:r w:rsidR="00102FBF">
        <w:rPr>
          <w:rFonts w:cs="Helvetica"/>
          <w:color w:val="595959"/>
          <w:szCs w:val="20"/>
          <w:lang w:eastAsia="en-GB"/>
        </w:rPr>
        <w:t>, thermal</w:t>
      </w:r>
      <w:r w:rsidR="0006722F" w:rsidRPr="000D0304">
        <w:rPr>
          <w:rFonts w:cs="Helvetica"/>
          <w:color w:val="595959"/>
          <w:szCs w:val="20"/>
          <w:lang w:eastAsia="en-GB"/>
        </w:rPr>
        <w:t xml:space="preserve"> and </w:t>
      </w:r>
      <w:r w:rsidR="00102FBF">
        <w:rPr>
          <w:rFonts w:cs="Helvetica"/>
          <w:color w:val="595959"/>
          <w:szCs w:val="20"/>
          <w:lang w:eastAsia="en-GB"/>
        </w:rPr>
        <w:t>ancillary</w:t>
      </w:r>
      <w:r w:rsidR="00102FBF" w:rsidRPr="000D0304">
        <w:rPr>
          <w:rFonts w:cs="Helvetica"/>
          <w:color w:val="595959"/>
          <w:szCs w:val="20"/>
          <w:lang w:eastAsia="en-GB"/>
        </w:rPr>
        <w:t xml:space="preserve"> </w:t>
      </w:r>
      <w:r w:rsidR="0006722F" w:rsidRPr="000D0304">
        <w:rPr>
          <w:rFonts w:cs="Helvetica"/>
          <w:color w:val="595959"/>
          <w:szCs w:val="20"/>
          <w:lang w:eastAsia="en-GB"/>
        </w:rPr>
        <w:t>processes</w:t>
      </w:r>
      <w:r w:rsidR="00102FBF">
        <w:rPr>
          <w:rFonts w:cs="Helvetica"/>
          <w:color w:val="595959"/>
          <w:szCs w:val="20"/>
          <w:lang w:eastAsia="en-GB"/>
        </w:rPr>
        <w:t xml:space="preserve"> and materials</w:t>
      </w:r>
      <w:r w:rsidR="009831A3">
        <w:rPr>
          <w:rFonts w:cs="Helvetica"/>
          <w:color w:val="595959"/>
          <w:szCs w:val="20"/>
          <w:lang w:eastAsia="en-GB"/>
        </w:rPr>
        <w:t xml:space="preserve">.  </w:t>
      </w:r>
    </w:p>
    <w:p w14:paraId="763405B9" w14:textId="77777777" w:rsidR="00C02790" w:rsidRPr="000D0304" w:rsidRDefault="00C02790" w:rsidP="009E11C8">
      <w:pPr>
        <w:spacing w:after="0" w:line="312" w:lineRule="auto"/>
        <w:contextualSpacing/>
        <w:jc w:val="both"/>
        <w:rPr>
          <w:rFonts w:cs="Helvetica"/>
          <w:color w:val="595959"/>
          <w:szCs w:val="20"/>
          <w:lang w:eastAsia="en-GB"/>
        </w:rPr>
      </w:pPr>
    </w:p>
    <w:p w14:paraId="44CC7D39" w14:textId="77777777" w:rsidR="00830A09" w:rsidRPr="000D0304" w:rsidRDefault="00C02790" w:rsidP="009E11C8">
      <w:pPr>
        <w:spacing w:after="0" w:line="312" w:lineRule="auto"/>
        <w:contextualSpacing/>
        <w:jc w:val="both"/>
        <w:rPr>
          <w:rFonts w:cs="Helvetica"/>
          <w:color w:val="595959"/>
          <w:szCs w:val="20"/>
          <w:lang w:eastAsia="en-GB"/>
        </w:rPr>
      </w:pPr>
      <w:r w:rsidRPr="000D0304">
        <w:rPr>
          <w:rFonts w:cs="Helvetica"/>
          <w:color w:val="595959"/>
          <w:szCs w:val="20"/>
          <w:lang w:eastAsia="en-GB"/>
        </w:rPr>
        <w:t>C</w:t>
      </w:r>
      <w:r w:rsidR="0006722F" w:rsidRPr="000D0304">
        <w:rPr>
          <w:rFonts w:cs="Helvetica"/>
          <w:color w:val="595959"/>
          <w:szCs w:val="20"/>
          <w:lang w:eastAsia="en-GB"/>
        </w:rPr>
        <w:t>ontribution analys</w:t>
      </w:r>
      <w:r w:rsidRPr="000D0304">
        <w:rPr>
          <w:rFonts w:cs="Helvetica"/>
          <w:color w:val="595959"/>
          <w:szCs w:val="20"/>
          <w:lang w:eastAsia="en-GB"/>
        </w:rPr>
        <w:t>i</w:t>
      </w:r>
      <w:r w:rsidR="0006722F" w:rsidRPr="000D0304">
        <w:rPr>
          <w:rFonts w:cs="Helvetica"/>
          <w:color w:val="595959"/>
          <w:szCs w:val="20"/>
          <w:lang w:eastAsia="en-GB"/>
        </w:rPr>
        <w:t>s is useful in identifying hotspots or key process co</w:t>
      </w:r>
      <w:r w:rsidRPr="000D0304">
        <w:rPr>
          <w:rFonts w:cs="Helvetica"/>
          <w:color w:val="595959"/>
          <w:szCs w:val="20"/>
          <w:lang w:eastAsia="en-GB"/>
        </w:rPr>
        <w:t>ntributors and as such assists</w:t>
      </w:r>
      <w:r w:rsidR="0006722F" w:rsidRPr="000D0304">
        <w:rPr>
          <w:rFonts w:cs="Helvetica"/>
          <w:color w:val="595959"/>
          <w:szCs w:val="20"/>
          <w:lang w:eastAsia="en-GB"/>
        </w:rPr>
        <w:t xml:space="preserve"> practitioners </w:t>
      </w:r>
      <w:r w:rsidRPr="000D0304">
        <w:rPr>
          <w:rFonts w:cs="Helvetica"/>
          <w:color w:val="595959"/>
          <w:szCs w:val="20"/>
          <w:lang w:eastAsia="en-GB"/>
        </w:rPr>
        <w:t xml:space="preserve">in identifying inventory flows which </w:t>
      </w:r>
      <w:r w:rsidR="0006722F" w:rsidRPr="000D0304">
        <w:rPr>
          <w:rFonts w:cs="Helvetica"/>
          <w:color w:val="595959"/>
          <w:szCs w:val="20"/>
          <w:lang w:eastAsia="en-GB"/>
        </w:rPr>
        <w:t>are of most importance</w:t>
      </w:r>
      <w:r w:rsidR="009831A3">
        <w:rPr>
          <w:rFonts w:cs="Helvetica"/>
          <w:color w:val="595959"/>
          <w:szCs w:val="20"/>
          <w:lang w:eastAsia="en-GB"/>
        </w:rPr>
        <w:t xml:space="preserve">. </w:t>
      </w:r>
      <w:r w:rsidR="00AC173C" w:rsidRPr="005D2BE2">
        <w:rPr>
          <w:rFonts w:cs="Helvetica"/>
          <w:color w:val="595959"/>
          <w:szCs w:val="20"/>
          <w:lang w:eastAsia="en-GB"/>
        </w:rPr>
        <w:t xml:space="preserve">Conversely, inventory flows which are now </w:t>
      </w:r>
      <w:r w:rsidR="002B2574">
        <w:rPr>
          <w:rFonts w:cs="Helvetica"/>
          <w:color w:val="595959"/>
          <w:szCs w:val="20"/>
          <w:lang w:eastAsia="en-GB"/>
        </w:rPr>
        <w:t>less significant contributors</w:t>
      </w:r>
      <w:r w:rsidR="00AC173C" w:rsidRPr="005D2BE2">
        <w:rPr>
          <w:rFonts w:cs="Helvetica"/>
          <w:color w:val="595959"/>
          <w:szCs w:val="20"/>
          <w:lang w:eastAsia="en-GB"/>
        </w:rPr>
        <w:t xml:space="preserve"> </w:t>
      </w:r>
      <w:r w:rsidR="005D2BE2" w:rsidRPr="005D2BE2">
        <w:rPr>
          <w:rFonts w:cs="Helvetica"/>
          <w:color w:val="595959"/>
          <w:szCs w:val="20"/>
          <w:lang w:eastAsia="en-GB"/>
        </w:rPr>
        <w:t xml:space="preserve">and can be reviewed as needed for the next phase of data collection. </w:t>
      </w:r>
    </w:p>
    <w:p w14:paraId="73ECC6A6" w14:textId="77777777" w:rsidR="00C0050B" w:rsidRPr="000D0304" w:rsidRDefault="00C0050B" w:rsidP="000D0304">
      <w:pPr>
        <w:spacing w:after="0" w:line="312" w:lineRule="auto"/>
        <w:contextualSpacing/>
        <w:jc w:val="both"/>
        <w:rPr>
          <w:rFonts w:cs="Helvetica"/>
          <w:color w:val="595959"/>
          <w:szCs w:val="20"/>
          <w:lang w:eastAsia="en-GB"/>
        </w:rPr>
      </w:pPr>
    </w:p>
    <w:p w14:paraId="5D8DD16D" w14:textId="77777777" w:rsidR="00EF549B" w:rsidRDefault="00EF549B">
      <w:pPr>
        <w:spacing w:after="0"/>
        <w:rPr>
          <w:rFonts w:cs="Helvetica"/>
          <w:color w:val="595959"/>
          <w:szCs w:val="20"/>
          <w:lang w:eastAsia="en-GB"/>
        </w:rPr>
      </w:pPr>
      <w:r>
        <w:rPr>
          <w:rFonts w:cs="Helvetica"/>
          <w:color w:val="595959"/>
          <w:szCs w:val="20"/>
          <w:lang w:eastAsia="en-GB"/>
        </w:rPr>
        <w:br w:type="page"/>
      </w:r>
    </w:p>
    <w:p w14:paraId="24A83E02" w14:textId="0B4846F5" w:rsidR="00440E0A" w:rsidRPr="00FE6088" w:rsidRDefault="00CE66AD" w:rsidP="00CE66AD">
      <w:pPr>
        <w:tabs>
          <w:tab w:val="center" w:pos="3735"/>
          <w:tab w:val="left" w:pos="6060"/>
        </w:tabs>
        <w:spacing w:after="0" w:line="312" w:lineRule="auto"/>
        <w:contextualSpacing/>
        <w:rPr>
          <w:rFonts w:cs="Helvetica"/>
          <w:color w:val="595959"/>
          <w:szCs w:val="20"/>
          <w:lang w:eastAsia="en-GB"/>
        </w:rPr>
      </w:pPr>
      <w:r w:rsidRPr="00FE6088">
        <w:rPr>
          <w:rFonts w:cs="Helvetica"/>
          <w:color w:val="595959"/>
          <w:szCs w:val="20"/>
          <w:lang w:eastAsia="en-GB"/>
        </w:rPr>
        <w:lastRenderedPageBreak/>
        <w:tab/>
      </w:r>
      <w:r w:rsidR="00846950" w:rsidRPr="00FE6088">
        <w:rPr>
          <w:rFonts w:cs="Helvetica"/>
          <w:noProof/>
          <w:color w:val="595959"/>
          <w:szCs w:val="20"/>
          <w:lang w:eastAsia="zh-CN"/>
        </w:rPr>
        <mc:AlternateContent>
          <mc:Choice Requires="wps">
            <w:drawing>
              <wp:anchor distT="45720" distB="45720" distL="114300" distR="114300" simplePos="0" relativeHeight="251658254" behindDoc="0" locked="0" layoutInCell="1" allowOverlap="1" wp14:anchorId="188648F1" wp14:editId="72A90B62">
                <wp:simplePos x="0" y="0"/>
                <wp:positionH relativeFrom="margin">
                  <wp:align>center</wp:align>
                </wp:positionH>
                <wp:positionV relativeFrom="paragraph">
                  <wp:posOffset>8255</wp:posOffset>
                </wp:positionV>
                <wp:extent cx="1181100" cy="2667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noFill/>
                          <a:miter lim="800000"/>
                          <a:headEnd/>
                          <a:tailEnd/>
                        </a:ln>
                      </wps:spPr>
                      <wps:txbx>
                        <w:txbxContent>
                          <w:p w14:paraId="44D0C75A" w14:textId="77777777" w:rsidR="003E19DF" w:rsidRPr="001A5B9F" w:rsidRDefault="003E19DF" w:rsidP="00440E0A">
                            <w:pPr>
                              <w:rPr>
                                <w:rFonts w:cs="Helvetica"/>
                                <w:color w:val="808080" w:themeColor="background1" w:themeShade="80"/>
                                <w:szCs w:val="20"/>
                              </w:rPr>
                            </w:pPr>
                            <w:r w:rsidRPr="001A5B9F">
                              <w:rPr>
                                <w:rFonts w:cs="Helvetica"/>
                                <w:color w:val="808080" w:themeColor="background1" w:themeShade="80"/>
                                <w:szCs w:val="20"/>
                              </w:rPr>
                              <w:t>Thermal Energy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648F1" id="_x0000_s1036" type="#_x0000_t202" style="position:absolute;margin-left:0;margin-top:.65pt;width:93pt;height:21pt;z-index:25165825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" stroked="f">
                <v:textbox>
                  <w:txbxContent>
                    <w:p w14:paraId="44D0C75A" w14:textId="77777777" w:rsidR="003E19DF" w:rsidRPr="001A5B9F" w:rsidRDefault="003E19DF" w:rsidP="00440E0A">
                      <w:pPr>
                        <w:rPr>
                          <w:rFonts w:cs="Helvetica"/>
                          <w:color w:val="808080" w:themeColor="background1" w:themeShade="80"/>
                          <w:szCs w:val="20"/>
                        </w:rPr>
                      </w:pPr>
                      <w:r w:rsidRPr="001A5B9F">
                        <w:rPr>
                          <w:rFonts w:cs="Helvetica"/>
                          <w:color w:val="808080" w:themeColor="background1" w:themeShade="80"/>
                          <w:szCs w:val="20"/>
                        </w:rPr>
                        <w:t>Thermal Energy</w:t>
                      </w:r>
                    </w:p>
                  </w:txbxContent>
                </v:textbox>
                <w10:wrap anchorx="margin"/>
              </v:shape>
            </w:pict>
          </mc:Fallback>
        </mc:AlternateContent>
      </w:r>
      <w:r w:rsidR="00440E0A" w:rsidRPr="001A5B9F">
        <w:rPr>
          <w:rFonts w:cs="Helvetica"/>
          <w:noProof/>
          <w:color w:val="595959"/>
          <w:szCs w:val="20"/>
          <w:lang w:eastAsia="zh-CN"/>
        </w:rPr>
        <mc:AlternateContent>
          <mc:Choice Requires="wps">
            <w:drawing>
              <wp:anchor distT="0" distB="0" distL="114300" distR="114300" simplePos="0" relativeHeight="251658258" behindDoc="0" locked="0" layoutInCell="1" allowOverlap="1" wp14:anchorId="5A269387" wp14:editId="14F695A9">
                <wp:simplePos x="0" y="0"/>
                <wp:positionH relativeFrom="column">
                  <wp:posOffset>413385</wp:posOffset>
                </wp:positionH>
                <wp:positionV relativeFrom="paragraph">
                  <wp:posOffset>8255</wp:posOffset>
                </wp:positionV>
                <wp:extent cx="118110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noFill/>
                          <a:miter lim="800000"/>
                          <a:headEnd/>
                          <a:tailEnd/>
                        </a:ln>
                      </wps:spPr>
                      <wps:txbx>
                        <w:txbxContent>
                          <w:p w14:paraId="7FF4BA72" w14:textId="28CE431F" w:rsidR="003E19DF" w:rsidRPr="001A5B9F" w:rsidRDefault="00EC481B" w:rsidP="00440E0A">
                            <w:pPr>
                              <w:rPr>
                                <w:rFonts w:cs="Helvetica"/>
                                <w:color w:val="808080" w:themeColor="background1" w:themeShade="80"/>
                                <w:szCs w:val="20"/>
                              </w:rPr>
                            </w:pPr>
                            <w:r>
                              <w:rPr>
                                <w:rFonts w:cs="Helvetica"/>
                                <w:color w:val="808080" w:themeColor="background1" w:themeShade="80"/>
                                <w:szCs w:val="20"/>
                              </w:rPr>
                              <w:t>Direct Process</w:t>
                            </w:r>
                          </w:p>
                        </w:txbxContent>
                      </wps:txbx>
                      <wps:bodyPr rot="0" vert="horz" wrap="square" lIns="91440" tIns="45720" rIns="91440" bIns="45720" anchor="t" anchorCtr="0">
                        <a:noAutofit/>
                      </wps:bodyPr>
                    </wps:wsp>
                  </a:graphicData>
                </a:graphic>
              </wp:anchor>
            </w:drawing>
          </mc:Choice>
          <mc:Fallback>
            <w:pict>
              <v:shape w14:anchorId="5A269387" id="_x0000_s1037" type="#_x0000_t202" style="position:absolute;margin-left:32.55pt;margin-top:.65pt;width:93pt;height:21pt;z-index:2516582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" stroked="f">
                <v:textbox>
                  <w:txbxContent>
                    <w:p w14:paraId="7FF4BA72" w14:textId="28CE431F" w:rsidR="003E19DF" w:rsidRPr="001A5B9F" w:rsidRDefault="00EC481B" w:rsidP="00440E0A">
                      <w:pPr>
                        <w:rPr>
                          <w:rFonts w:cs="Helvetica"/>
                          <w:color w:val="808080" w:themeColor="background1" w:themeShade="80"/>
                          <w:szCs w:val="20"/>
                        </w:rPr>
                      </w:pPr>
                      <w:r>
                        <w:rPr>
                          <w:rFonts w:cs="Helvetica"/>
                          <w:color w:val="808080" w:themeColor="background1" w:themeShade="80"/>
                          <w:szCs w:val="20"/>
                        </w:rPr>
                        <w:t>Direct Process</w:t>
                      </w:r>
                    </w:p>
                  </w:txbxContent>
                </v:textbox>
              </v:shape>
            </w:pict>
          </mc:Fallback>
        </mc:AlternateContent>
      </w:r>
      <w:r w:rsidR="00440E0A" w:rsidRPr="001A5B9F">
        <w:rPr>
          <w:rFonts w:cs="Helvetica"/>
          <w:noProof/>
          <w:szCs w:val="20"/>
          <w:lang w:eastAsia="zh-CN"/>
        </w:rPr>
        <mc:AlternateContent>
          <mc:Choice Requires="wps">
            <w:drawing>
              <wp:anchor distT="0" distB="0" distL="114300" distR="114300" simplePos="0" relativeHeight="251658250" behindDoc="0" locked="0" layoutInCell="1" allowOverlap="1" wp14:anchorId="52D83249" wp14:editId="2CAA1A8F">
                <wp:simplePos x="0" y="0"/>
                <wp:positionH relativeFrom="margin">
                  <wp:posOffset>104775</wp:posOffset>
                </wp:positionH>
                <wp:positionV relativeFrom="paragraph">
                  <wp:posOffset>8890</wp:posOffset>
                </wp:positionV>
                <wp:extent cx="180000" cy="180000"/>
                <wp:effectExtent l="0" t="0" r="0" b="0"/>
                <wp:wrapNone/>
                <wp:docPr id="10" name="Rectangle 10"/>
                <wp:cNvGraphicFramePr/>
                <a:graphic xmlns:a="http://schemas.openxmlformats.org/drawingml/2006/main">
                  <a:graphicData uri="http://schemas.microsoft.com/office/word/2010/wordprocessingShape">
                    <wps:wsp>
                      <wps:cNvSpPr/>
                      <wps:spPr>
                        <a:xfrm>
                          <a:off x="0" y="0"/>
                          <a:ext cx="180000" cy="1800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20FE9" id="Rectangle 10" o:spid="_x0000_s1026" style="position:absolute;margin-left:8.25pt;margin-top:.7pt;width:14.15pt;height:14.15pt;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" fillcolor="#c6d997 [3205]" stroked="f" strokeweight="2pt">
                <w10:wrap anchorx="margin"/>
              </v:rect>
            </w:pict>
          </mc:Fallback>
        </mc:AlternateContent>
      </w:r>
      <w:r w:rsidR="00440E0A" w:rsidRPr="001A5B9F">
        <w:rPr>
          <w:rFonts w:cs="Helvetica"/>
          <w:noProof/>
          <w:szCs w:val="20"/>
          <w:lang w:eastAsia="zh-CN"/>
        </w:rPr>
        <mc:AlternateContent>
          <mc:Choice Requires="wps">
            <w:drawing>
              <wp:anchor distT="0" distB="0" distL="114300" distR="114300" simplePos="0" relativeHeight="251658252" behindDoc="0" locked="0" layoutInCell="1" allowOverlap="1" wp14:anchorId="7197FCC3" wp14:editId="5C62E563">
                <wp:simplePos x="0" y="0"/>
                <wp:positionH relativeFrom="column">
                  <wp:posOffset>2257425</wp:posOffset>
                </wp:positionH>
                <wp:positionV relativeFrom="paragraph">
                  <wp:posOffset>8890</wp:posOffset>
                </wp:positionV>
                <wp:extent cx="180000" cy="180000"/>
                <wp:effectExtent l="0" t="0" r="0" b="0"/>
                <wp:wrapNone/>
                <wp:docPr id="13" name="Rectangle 13"/>
                <wp:cNvGraphicFramePr/>
                <a:graphic xmlns:a="http://schemas.openxmlformats.org/drawingml/2006/main">
                  <a:graphicData uri="http://schemas.microsoft.com/office/word/2010/wordprocessingShape">
                    <wps:wsp>
                      <wps:cNvSpPr/>
                      <wps:spPr>
                        <a:xfrm>
                          <a:off x="0" y="0"/>
                          <a:ext cx="180000" cy="1800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4BE93" id="Rectangle 13" o:spid="_x0000_s1026" style="position:absolute;margin-left:177.75pt;margin-top:.7pt;width:14.15pt;height:14.1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" fillcolor="#454545 [3207]" stroked="f" strokeweight="2pt"/>
            </w:pict>
          </mc:Fallback>
        </mc:AlternateContent>
      </w:r>
      <w:r w:rsidR="00440E0A" w:rsidRPr="001A5B9F">
        <w:rPr>
          <w:rFonts w:cs="Helvetica"/>
          <w:noProof/>
          <w:szCs w:val="20"/>
          <w:lang w:eastAsia="zh-CN"/>
        </w:rPr>
        <mc:AlternateContent>
          <mc:Choice Requires="wps">
            <w:drawing>
              <wp:anchor distT="0" distB="0" distL="114300" distR="114300" simplePos="0" relativeHeight="251658251" behindDoc="0" locked="0" layoutInCell="1" allowOverlap="1" wp14:anchorId="278C8520" wp14:editId="54DBD665">
                <wp:simplePos x="0" y="0"/>
                <wp:positionH relativeFrom="column">
                  <wp:posOffset>4604385</wp:posOffset>
                </wp:positionH>
                <wp:positionV relativeFrom="paragraph">
                  <wp:posOffset>8890</wp:posOffset>
                </wp:positionV>
                <wp:extent cx="179705" cy="179705"/>
                <wp:effectExtent l="0" t="0" r="0" b="0"/>
                <wp:wrapNone/>
                <wp:docPr id="11" name="Rectangle 11"/>
                <wp:cNvGraphicFramePr/>
                <a:graphic xmlns:a="http://schemas.openxmlformats.org/drawingml/2006/main">
                  <a:graphicData uri="http://schemas.microsoft.com/office/word/2010/wordprocessingShape">
                    <wps:wsp>
                      <wps:cNvSpPr/>
                      <wps:spPr>
                        <a:xfrm>
                          <a:off x="0" y="0"/>
                          <a:ext cx="179705" cy="179705"/>
                        </a:xfrm>
                        <a:prstGeom prst="rect">
                          <a:avLst/>
                        </a:prstGeom>
                        <a:solidFill>
                          <a:srgbClr val="D374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1731B" id="Rectangle 11" o:spid="_x0000_s1026" style="position:absolute;margin-left:362.55pt;margin-top:.7pt;width:14.15pt;height:14.1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" fillcolor="#d3741f" stroked="f" strokeweight="2pt"/>
            </w:pict>
          </mc:Fallback>
        </mc:AlternateContent>
      </w:r>
      <w:r w:rsidR="00440E0A" w:rsidRPr="001A5B9F">
        <w:rPr>
          <w:rFonts w:cs="Helvetica"/>
          <w:noProof/>
          <w:color w:val="595959"/>
          <w:szCs w:val="20"/>
          <w:lang w:eastAsia="zh-CN"/>
        </w:rPr>
        <mc:AlternateContent>
          <mc:Choice Requires="wps">
            <w:drawing>
              <wp:anchor distT="45720" distB="45720" distL="114300" distR="114300" simplePos="0" relativeHeight="251658255" behindDoc="0" locked="0" layoutInCell="1" allowOverlap="1" wp14:anchorId="10BCBC42" wp14:editId="338EE21B">
                <wp:simplePos x="0" y="0"/>
                <wp:positionH relativeFrom="column">
                  <wp:posOffset>4857750</wp:posOffset>
                </wp:positionH>
                <wp:positionV relativeFrom="paragraph">
                  <wp:posOffset>8255</wp:posOffset>
                </wp:positionV>
                <wp:extent cx="1181100" cy="2667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noFill/>
                          <a:miter lim="800000"/>
                          <a:headEnd/>
                          <a:tailEnd/>
                        </a:ln>
                      </wps:spPr>
                      <wps:txbx>
                        <w:txbxContent>
                          <w:p w14:paraId="587CB524" w14:textId="77777777" w:rsidR="003E19DF" w:rsidRPr="001A5B9F" w:rsidRDefault="003E19DF" w:rsidP="00440E0A">
                            <w:pPr>
                              <w:rPr>
                                <w:rFonts w:cs="Helvetica"/>
                                <w:color w:val="808080" w:themeColor="background1" w:themeShade="80"/>
                                <w:szCs w:val="20"/>
                              </w:rPr>
                            </w:pPr>
                            <w:r w:rsidRPr="001A5B9F">
                              <w:rPr>
                                <w:rFonts w:cs="Helvetica"/>
                                <w:color w:val="808080" w:themeColor="background1" w:themeShade="80"/>
                                <w:szCs w:val="20"/>
                              </w:rPr>
                              <w:t>Ancillary Materials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CBC42" id="_x0000_s1038" type="#_x0000_t202" style="position:absolute;margin-left:382.5pt;margin-top:.65pt;width:93pt;height:21pt;z-index:25165825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" stroked="f">
                <v:textbox>
                  <w:txbxContent>
                    <w:p w14:paraId="587CB524" w14:textId="77777777" w:rsidR="003E19DF" w:rsidRPr="001A5B9F" w:rsidRDefault="003E19DF" w:rsidP="00440E0A">
                      <w:pPr>
                        <w:rPr>
                          <w:rFonts w:cs="Helvetica"/>
                          <w:color w:val="808080" w:themeColor="background1" w:themeShade="80"/>
                          <w:szCs w:val="20"/>
                        </w:rPr>
                      </w:pPr>
                      <w:r w:rsidRPr="001A5B9F">
                        <w:rPr>
                          <w:rFonts w:cs="Helvetica"/>
                          <w:color w:val="808080" w:themeColor="background1" w:themeShade="80"/>
                          <w:szCs w:val="20"/>
                        </w:rPr>
                        <w:t>Ancillary Materials</w:t>
                      </w:r>
                    </w:p>
                  </w:txbxContent>
                </v:textbox>
                <w10:wrap type="square"/>
              </v:shape>
            </w:pict>
          </mc:Fallback>
        </mc:AlternateContent>
      </w:r>
      <w:r w:rsidRPr="00FE6088">
        <w:rPr>
          <w:rFonts w:cs="Helvetica"/>
          <w:color w:val="595959"/>
          <w:szCs w:val="20"/>
          <w:lang w:eastAsia="en-GB"/>
        </w:rPr>
        <w:tab/>
      </w:r>
    </w:p>
    <w:p w14:paraId="655F8C6B" w14:textId="77777777" w:rsidR="00440E0A" w:rsidRDefault="00440E0A" w:rsidP="000D0304">
      <w:pPr>
        <w:spacing w:after="0" w:line="312" w:lineRule="auto"/>
        <w:contextualSpacing/>
        <w:jc w:val="center"/>
        <w:rPr>
          <w:rFonts w:cs="Helvetica"/>
          <w:color w:val="595959"/>
          <w:szCs w:val="20"/>
          <w:lang w:eastAsia="en-GB"/>
        </w:rPr>
      </w:pPr>
    </w:p>
    <w:p w14:paraId="38F59EC7" w14:textId="58BFB7E7" w:rsidR="00C73EA0" w:rsidRPr="000D0304" w:rsidRDefault="00440E0A" w:rsidP="00890788">
      <w:pPr>
        <w:spacing w:after="0" w:line="312" w:lineRule="auto"/>
        <w:contextualSpacing/>
        <w:jc w:val="center"/>
        <w:rPr>
          <w:rFonts w:cs="Helvetica"/>
          <w:color w:val="595959"/>
          <w:szCs w:val="20"/>
          <w:lang w:eastAsia="en-GB"/>
        </w:rPr>
      </w:pPr>
      <w:r w:rsidRPr="00FE6088">
        <w:rPr>
          <w:rFonts w:cs="Helvetica"/>
          <w:noProof/>
          <w:color w:val="595959"/>
          <w:szCs w:val="20"/>
          <w:lang w:eastAsia="zh-CN"/>
        </w:rPr>
        <mc:AlternateContent>
          <mc:Choice Requires="wps">
            <w:drawing>
              <wp:anchor distT="45720" distB="45720" distL="114300" distR="114300" simplePos="0" relativeHeight="251658257" behindDoc="0" locked="0" layoutInCell="1" allowOverlap="1" wp14:anchorId="0B84ED25" wp14:editId="058A54ED">
                <wp:simplePos x="0" y="0"/>
                <wp:positionH relativeFrom="column">
                  <wp:posOffset>2508885</wp:posOffset>
                </wp:positionH>
                <wp:positionV relativeFrom="paragraph">
                  <wp:posOffset>10160</wp:posOffset>
                </wp:positionV>
                <wp:extent cx="1181100" cy="2667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noFill/>
                          <a:miter lim="800000"/>
                          <a:headEnd/>
                          <a:tailEnd/>
                        </a:ln>
                      </wps:spPr>
                      <wps:txbx>
                        <w:txbxContent>
                          <w:p w14:paraId="3BA6D685" w14:textId="4A3B1F51" w:rsidR="003E19DF" w:rsidRPr="001A5B9F" w:rsidRDefault="00EC481B" w:rsidP="00440E0A">
                            <w:pPr>
                              <w:rPr>
                                <w:rFonts w:cs="Helvetica"/>
                                <w:color w:val="808080" w:themeColor="background1" w:themeShade="80"/>
                                <w:szCs w:val="20"/>
                              </w:rPr>
                            </w:pPr>
                            <w:r>
                              <w:rPr>
                                <w:rFonts w:cs="Helvetica"/>
                                <w:color w:val="808080" w:themeColor="background1" w:themeShade="80"/>
                                <w:szCs w:val="20"/>
                              </w:rPr>
                              <w:t>Transport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4ED25" id="_x0000_s1039" type="#_x0000_t202" style="position:absolute;left:0;text-align:left;margin-left:197.55pt;margin-top:.8pt;width:93pt;height:21pt;z-index:25165825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" stroked="f">
                <v:textbox>
                  <w:txbxContent>
                    <w:p w14:paraId="3BA6D685" w14:textId="4A3B1F51" w:rsidR="003E19DF" w:rsidRPr="001A5B9F" w:rsidRDefault="00EC481B" w:rsidP="00440E0A">
                      <w:pPr>
                        <w:rPr>
                          <w:rFonts w:cs="Helvetica"/>
                          <w:color w:val="808080" w:themeColor="background1" w:themeShade="80"/>
                          <w:szCs w:val="20"/>
                        </w:rPr>
                      </w:pPr>
                      <w:r>
                        <w:rPr>
                          <w:rFonts w:cs="Helvetica"/>
                          <w:color w:val="808080" w:themeColor="background1" w:themeShade="80"/>
                          <w:szCs w:val="20"/>
                        </w:rPr>
                        <w:t>Transport</w:t>
                      </w:r>
                    </w:p>
                  </w:txbxContent>
                </v:textbox>
              </v:shape>
            </w:pict>
          </mc:Fallback>
        </mc:AlternateContent>
      </w:r>
      <w:r w:rsidRPr="001A5B9F">
        <w:rPr>
          <w:rFonts w:cs="Helvetica"/>
          <w:noProof/>
          <w:szCs w:val="20"/>
          <w:lang w:eastAsia="zh-CN"/>
        </w:rPr>
        <mc:AlternateContent>
          <mc:Choice Requires="wps">
            <w:drawing>
              <wp:anchor distT="0" distB="0" distL="114300" distR="114300" simplePos="0" relativeHeight="251658249" behindDoc="0" locked="0" layoutInCell="1" allowOverlap="1" wp14:anchorId="26E8A938" wp14:editId="72BB997D">
                <wp:simplePos x="0" y="0"/>
                <wp:positionH relativeFrom="column">
                  <wp:posOffset>2273300</wp:posOffset>
                </wp:positionH>
                <wp:positionV relativeFrom="paragraph">
                  <wp:posOffset>11430</wp:posOffset>
                </wp:positionV>
                <wp:extent cx="180000" cy="180000"/>
                <wp:effectExtent l="0" t="0" r="0" b="0"/>
                <wp:wrapNone/>
                <wp:docPr id="9" name="Rectangle 9"/>
                <wp:cNvGraphicFramePr/>
                <a:graphic xmlns:a="http://schemas.openxmlformats.org/drawingml/2006/main">
                  <a:graphicData uri="http://schemas.microsoft.com/office/word/2010/wordprocessingShape">
                    <wps:wsp>
                      <wps:cNvSpPr/>
                      <wps:spPr>
                        <a:xfrm>
                          <a:off x="0" y="0"/>
                          <a:ext cx="180000" cy="1800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5E0CA" id="Rectangle 9" o:spid="_x0000_s1026" style="position:absolute;margin-left:179pt;margin-top:.9pt;width:14.15pt;height:14.1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" fillcolor="#dfb521 [3208]" stroked="f" strokeweight="2pt"/>
            </w:pict>
          </mc:Fallback>
        </mc:AlternateContent>
      </w:r>
      <w:r w:rsidRPr="001A5B9F">
        <w:rPr>
          <w:rFonts w:cs="Helvetica"/>
          <w:noProof/>
          <w:szCs w:val="20"/>
          <w:lang w:eastAsia="zh-CN"/>
        </w:rPr>
        <mc:AlternateContent>
          <mc:Choice Requires="wps">
            <w:drawing>
              <wp:anchor distT="0" distB="0" distL="114300" distR="114300" simplePos="0" relativeHeight="251658253" behindDoc="0" locked="0" layoutInCell="1" allowOverlap="1" wp14:anchorId="7D550313" wp14:editId="718B29A1">
                <wp:simplePos x="0" y="0"/>
                <wp:positionH relativeFrom="column">
                  <wp:posOffset>114300</wp:posOffset>
                </wp:positionH>
                <wp:positionV relativeFrom="paragraph">
                  <wp:posOffset>11430</wp:posOffset>
                </wp:positionV>
                <wp:extent cx="180000" cy="180000"/>
                <wp:effectExtent l="0" t="0" r="0" b="0"/>
                <wp:wrapNone/>
                <wp:docPr id="15" name="Rectangle 15"/>
                <wp:cNvGraphicFramePr/>
                <a:graphic xmlns:a="http://schemas.openxmlformats.org/drawingml/2006/main">
                  <a:graphicData uri="http://schemas.microsoft.com/office/word/2010/wordprocessingShape">
                    <wps:wsp>
                      <wps:cNvSpPr/>
                      <wps:spPr>
                        <a:xfrm>
                          <a:off x="0" y="0"/>
                          <a:ext cx="180000" cy="180000"/>
                        </a:xfrm>
                        <a:prstGeom prst="rect">
                          <a:avLst/>
                        </a:prstGeom>
                        <a:solidFill>
                          <a:srgbClr val="739F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629AF" id="Rectangle 15" o:spid="_x0000_s1026" style="position:absolute;margin-left:9pt;margin-top:.9pt;width:14.15pt;height:14.1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" fillcolor="#739faa" stroked="f" strokeweight="2pt"/>
            </w:pict>
          </mc:Fallback>
        </mc:AlternateContent>
      </w:r>
      <w:r w:rsidRPr="001A5B9F">
        <w:rPr>
          <w:rFonts w:cs="Helvetica"/>
          <w:noProof/>
          <w:color w:val="595959"/>
          <w:szCs w:val="20"/>
          <w:lang w:eastAsia="zh-CN"/>
        </w:rPr>
        <mc:AlternateContent>
          <mc:Choice Requires="wps">
            <w:drawing>
              <wp:anchor distT="45720" distB="45720" distL="114300" distR="114300" simplePos="0" relativeHeight="251658256" behindDoc="0" locked="0" layoutInCell="1" allowOverlap="1" wp14:anchorId="33BF7962" wp14:editId="63FE2EBD">
                <wp:simplePos x="0" y="0"/>
                <wp:positionH relativeFrom="column">
                  <wp:posOffset>441960</wp:posOffset>
                </wp:positionH>
                <wp:positionV relativeFrom="paragraph">
                  <wp:posOffset>10160</wp:posOffset>
                </wp:positionV>
                <wp:extent cx="1181100" cy="2667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noFill/>
                          <a:miter lim="800000"/>
                          <a:headEnd/>
                          <a:tailEnd/>
                        </a:ln>
                      </wps:spPr>
                      <wps:txbx>
                        <w:txbxContent>
                          <w:p w14:paraId="7DDE72C3" w14:textId="77777777" w:rsidR="003E19DF" w:rsidRPr="001A5B9F" w:rsidRDefault="003E19DF" w:rsidP="00440E0A">
                            <w:pPr>
                              <w:rPr>
                                <w:rFonts w:cs="Helvetica"/>
                                <w:color w:val="808080" w:themeColor="background1" w:themeShade="80"/>
                                <w:szCs w:val="20"/>
                              </w:rPr>
                            </w:pPr>
                            <w:r w:rsidRPr="001A5B9F">
                              <w:rPr>
                                <w:rFonts w:cs="Helvetica"/>
                                <w:color w:val="808080" w:themeColor="background1" w:themeShade="80"/>
                                <w:szCs w:val="20"/>
                              </w:rPr>
                              <w:t>Electricity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F7962" id="_x0000_s1040" type="#_x0000_t202" style="position:absolute;left:0;text-align:left;margin-left:34.8pt;margin-top:.8pt;width:93pt;height:21pt;z-index:251658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" stroked="f">
                <v:textbox>
                  <w:txbxContent>
                    <w:p w14:paraId="7DDE72C3" w14:textId="77777777" w:rsidR="003E19DF" w:rsidRPr="001A5B9F" w:rsidRDefault="003E19DF" w:rsidP="00440E0A">
                      <w:pPr>
                        <w:rPr>
                          <w:rFonts w:cs="Helvetica"/>
                          <w:color w:val="808080" w:themeColor="background1" w:themeShade="80"/>
                          <w:szCs w:val="20"/>
                        </w:rPr>
                      </w:pPr>
                      <w:r w:rsidRPr="001A5B9F">
                        <w:rPr>
                          <w:rFonts w:cs="Helvetica"/>
                          <w:color w:val="808080" w:themeColor="background1" w:themeShade="80"/>
                          <w:szCs w:val="20"/>
                        </w:rPr>
                        <w:t>Electricity</w:t>
                      </w:r>
                    </w:p>
                  </w:txbxContent>
                </v:textbox>
              </v:shape>
            </w:pict>
          </mc:Fallback>
        </mc:AlternateContent>
      </w:r>
      <w:r w:rsidR="00EC481B">
        <w:rPr>
          <w:rFonts w:cs="Helvetica"/>
          <w:color w:val="595959"/>
          <w:szCs w:val="20"/>
          <w:lang w:eastAsia="en-GB"/>
        </w:rPr>
        <w:t xml:space="preserve">     </w:t>
      </w:r>
    </w:p>
    <w:p w14:paraId="41D91461" w14:textId="4A435C2C" w:rsidR="00C73EA0" w:rsidRPr="000D0304" w:rsidRDefault="00102FBF" w:rsidP="00EC481B">
      <w:pPr>
        <w:spacing w:after="0" w:line="312" w:lineRule="auto"/>
        <w:ind w:hanging="426"/>
        <w:contextualSpacing/>
        <w:jc w:val="right"/>
        <w:rPr>
          <w:rFonts w:cs="Helvetica"/>
          <w:color w:val="595959"/>
          <w:szCs w:val="20"/>
          <w:lang w:eastAsia="en-GB"/>
        </w:rPr>
      </w:pPr>
      <w:r>
        <w:rPr>
          <w:rFonts w:cs="Helvetica"/>
          <w:color w:val="595959"/>
          <w:szCs w:val="20"/>
          <w:lang w:eastAsia="en-GB"/>
        </w:rPr>
        <w:tab/>
      </w:r>
      <w:r w:rsidR="00EC481B">
        <w:rPr>
          <w:rFonts w:cs="Helvetica"/>
          <w:color w:val="595959"/>
          <w:szCs w:val="20"/>
          <w:lang w:eastAsia="en-GB"/>
        </w:rPr>
        <w:t xml:space="preserve">        </w:t>
      </w:r>
    </w:p>
    <w:p w14:paraId="19F12C48" w14:textId="5D42C65E" w:rsidR="00297CDB" w:rsidRDefault="00A065F6" w:rsidP="000D0304">
      <w:pPr>
        <w:spacing w:after="0" w:line="312" w:lineRule="auto"/>
        <w:contextualSpacing/>
        <w:jc w:val="both"/>
        <w:rPr>
          <w:noProof/>
        </w:rPr>
      </w:pPr>
      <w:r>
        <w:rPr>
          <w:noProof/>
        </w:rPr>
        <w:drawing>
          <wp:inline distT="0" distB="0" distL="0" distR="0" wp14:anchorId="0D1665BE" wp14:editId="4F6D693D">
            <wp:extent cx="3019425" cy="2354580"/>
            <wp:effectExtent l="0" t="0" r="9525" b="7620"/>
            <wp:docPr id="35" name="Chart 35">
              <a:extLst xmlns:a="http://schemas.openxmlformats.org/drawingml/2006/main">
                <a:ext uri="{FF2B5EF4-FFF2-40B4-BE49-F238E27FC236}">
                  <a16:creationId xmlns:a16="http://schemas.microsoft.com/office/drawing/2014/main" id="{004E6417-5A18-4262-B225-1C9CD130D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F80402" w:rsidRPr="00F80402">
        <w:rPr>
          <w:noProof/>
        </w:rPr>
        <w:t xml:space="preserve"> </w:t>
      </w:r>
      <w:r>
        <w:rPr>
          <w:noProof/>
        </w:rPr>
        <w:drawing>
          <wp:inline distT="0" distB="0" distL="0" distR="0" wp14:anchorId="65C0F12B" wp14:editId="6EDF02EF">
            <wp:extent cx="2999740" cy="2354580"/>
            <wp:effectExtent l="0" t="0" r="10160" b="7620"/>
            <wp:docPr id="36" name="Chart 36">
              <a:extLst xmlns:a="http://schemas.openxmlformats.org/drawingml/2006/main">
                <a:ext uri="{FF2B5EF4-FFF2-40B4-BE49-F238E27FC236}">
                  <a16:creationId xmlns:a16="http://schemas.microsoft.com/office/drawing/2014/main" id="{9ECCD355-CAFA-44F5-8C35-7CC9DF7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6315110" w14:textId="015DC689" w:rsidR="00F81669" w:rsidRDefault="00A065F6" w:rsidP="000D0304">
      <w:pPr>
        <w:spacing w:after="0" w:line="312" w:lineRule="auto"/>
        <w:contextualSpacing/>
        <w:jc w:val="both"/>
        <w:rPr>
          <w:noProof/>
        </w:rPr>
      </w:pPr>
      <w:r>
        <w:rPr>
          <w:noProof/>
        </w:rPr>
        <w:drawing>
          <wp:inline distT="0" distB="0" distL="0" distR="0" wp14:anchorId="0794C69C" wp14:editId="773C0326">
            <wp:extent cx="3019425" cy="2259330"/>
            <wp:effectExtent l="0" t="0" r="9525" b="7620"/>
            <wp:docPr id="38" name="Chart 38">
              <a:extLst xmlns:a="http://schemas.openxmlformats.org/drawingml/2006/main">
                <a:ext uri="{FF2B5EF4-FFF2-40B4-BE49-F238E27FC236}">
                  <a16:creationId xmlns:a16="http://schemas.microsoft.com/office/drawing/2014/main" id="{B90ADA86-1D4D-49EC-935A-5C68F8A4E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0003131D" w:rsidRPr="0003131D">
        <w:rPr>
          <w:noProof/>
        </w:rPr>
        <w:t xml:space="preserve"> </w:t>
      </w:r>
      <w:r>
        <w:rPr>
          <w:noProof/>
        </w:rPr>
        <w:drawing>
          <wp:inline distT="0" distB="0" distL="0" distR="0" wp14:anchorId="05961984" wp14:editId="75214401">
            <wp:extent cx="2999740" cy="2259330"/>
            <wp:effectExtent l="0" t="0" r="10160" b="7620"/>
            <wp:docPr id="44" name="Chart 44">
              <a:extLst xmlns:a="http://schemas.openxmlformats.org/drawingml/2006/main">
                <a:ext uri="{FF2B5EF4-FFF2-40B4-BE49-F238E27FC236}">
                  <a16:creationId xmlns:a16="http://schemas.microsoft.com/office/drawing/2014/main" id="{ED116241-49A3-45CF-BED3-12BE0E684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6E9BB17" w14:textId="77777777" w:rsidR="00505008" w:rsidRPr="000D0304" w:rsidRDefault="00505008" w:rsidP="000D0304">
      <w:pPr>
        <w:spacing w:after="0" w:line="312" w:lineRule="auto"/>
        <w:contextualSpacing/>
        <w:jc w:val="both"/>
        <w:rPr>
          <w:rFonts w:cs="Helvetica"/>
          <w:color w:val="595959"/>
          <w:szCs w:val="20"/>
          <w:lang w:eastAsia="en-GB"/>
        </w:rPr>
      </w:pPr>
    </w:p>
    <w:p w14:paraId="04F10788" w14:textId="499E72C5" w:rsidR="00EF549B" w:rsidRDefault="0079371C" w:rsidP="001A5B9F">
      <w:pPr>
        <w:spacing w:after="0" w:line="312" w:lineRule="auto"/>
        <w:contextualSpacing/>
        <w:jc w:val="right"/>
        <w:rPr>
          <w:rFonts w:cs="Helvetica"/>
          <w:color w:val="595959"/>
          <w:szCs w:val="20"/>
          <w:lang w:eastAsia="en-GB"/>
        </w:rPr>
      </w:pPr>
      <w:r w:rsidRPr="000D0304">
        <w:rPr>
          <w:rFonts w:cs="Helvetica"/>
          <w:b/>
          <w:color w:val="595959"/>
          <w:szCs w:val="20"/>
          <w:lang w:eastAsia="en-GB"/>
        </w:rPr>
        <w:t xml:space="preserve">Figure </w:t>
      </w:r>
      <w:r w:rsidR="00C02790" w:rsidRPr="000D0304">
        <w:rPr>
          <w:rFonts w:cs="Helvetica"/>
          <w:b/>
          <w:color w:val="595959"/>
          <w:szCs w:val="20"/>
          <w:lang w:eastAsia="en-GB"/>
        </w:rPr>
        <w:t>1</w:t>
      </w:r>
      <w:r w:rsidR="00EF549B">
        <w:rPr>
          <w:rFonts w:cs="Helvetica"/>
          <w:b/>
          <w:color w:val="595959"/>
          <w:szCs w:val="20"/>
          <w:lang w:eastAsia="en-GB"/>
        </w:rPr>
        <w:t>4</w:t>
      </w:r>
      <w:r w:rsidRPr="000D0304">
        <w:rPr>
          <w:rFonts w:cs="Helvetica"/>
          <w:b/>
          <w:color w:val="595959"/>
          <w:szCs w:val="20"/>
          <w:lang w:eastAsia="en-GB"/>
        </w:rPr>
        <w:t>:Relative contribution of each process type to impact category indicator results by scenario</w:t>
      </w:r>
      <w:r w:rsidR="00EF549B">
        <w:rPr>
          <w:rFonts w:cs="Helvetica"/>
          <w:color w:val="595959"/>
          <w:szCs w:val="20"/>
          <w:lang w:eastAsia="en-GB"/>
        </w:rPr>
        <w:br w:type="page"/>
      </w:r>
    </w:p>
    <w:p w14:paraId="2DBA8DAD" w14:textId="77AE35F4" w:rsidR="002E0D81" w:rsidRPr="000D0304" w:rsidRDefault="002E0D81" w:rsidP="00DA5301">
      <w:pPr>
        <w:pStyle w:val="Heading3"/>
      </w:pPr>
      <w:bookmarkStart w:id="198" w:name="_Toc480555244"/>
      <w:bookmarkStart w:id="199" w:name="_Toc480555330"/>
      <w:bookmarkStart w:id="200" w:name="_Toc480555416"/>
      <w:bookmarkStart w:id="201" w:name="_Toc480555498"/>
      <w:bookmarkStart w:id="202" w:name="_Toc480971453"/>
      <w:bookmarkStart w:id="203" w:name="_Toc480555245"/>
      <w:bookmarkStart w:id="204" w:name="_Toc480555331"/>
      <w:bookmarkStart w:id="205" w:name="_Toc480555417"/>
      <w:bookmarkStart w:id="206" w:name="_Toc480555499"/>
      <w:bookmarkStart w:id="207" w:name="_Toc480971454"/>
      <w:bookmarkStart w:id="208" w:name="_Toc480555246"/>
      <w:bookmarkStart w:id="209" w:name="_Toc480555332"/>
      <w:bookmarkStart w:id="210" w:name="_Toc480555418"/>
      <w:bookmarkStart w:id="211" w:name="_Toc480555500"/>
      <w:bookmarkStart w:id="212" w:name="_Toc480971455"/>
      <w:bookmarkStart w:id="213" w:name="_Toc480555247"/>
      <w:bookmarkStart w:id="214" w:name="_Toc480555333"/>
      <w:bookmarkStart w:id="215" w:name="_Toc480555419"/>
      <w:bookmarkStart w:id="216" w:name="_Toc480555501"/>
      <w:bookmarkStart w:id="217" w:name="_Toc480971456"/>
      <w:bookmarkStart w:id="218" w:name="_Toc120111955"/>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r w:rsidRPr="000D0304">
        <w:lastRenderedPageBreak/>
        <w:t xml:space="preserve">Relative </w:t>
      </w:r>
      <w:r w:rsidR="000F5C89">
        <w:t>C</w:t>
      </w:r>
      <w:r w:rsidRPr="000D0304">
        <w:t xml:space="preserve">ontribution of Aluminium </w:t>
      </w:r>
      <w:r w:rsidR="00830A09" w:rsidRPr="000D0304">
        <w:t>Production</w:t>
      </w:r>
      <w:r w:rsidR="000F5C89">
        <w:t xml:space="preserve"> Unit</w:t>
      </w:r>
      <w:r w:rsidRPr="000D0304">
        <w:t xml:space="preserve"> Processes</w:t>
      </w:r>
      <w:r w:rsidR="00C02790" w:rsidRPr="000D0304">
        <w:t xml:space="preserve"> to </w:t>
      </w:r>
      <w:r w:rsidR="00CF7B7C" w:rsidRPr="000D0304">
        <w:t>G</w:t>
      </w:r>
      <w:r w:rsidR="00CF7B7C">
        <w:t>HG emissions</w:t>
      </w:r>
      <w:bookmarkEnd w:id="218"/>
    </w:p>
    <w:p w14:paraId="68D9F233" w14:textId="77777777" w:rsidR="00E74BF6" w:rsidRPr="000D0304" w:rsidRDefault="002E0D81" w:rsidP="009E11C8">
      <w:pPr>
        <w:spacing w:after="0" w:line="312" w:lineRule="auto"/>
        <w:contextualSpacing/>
        <w:jc w:val="both"/>
        <w:rPr>
          <w:rFonts w:cs="Helvetica"/>
          <w:color w:val="595959"/>
          <w:szCs w:val="20"/>
          <w:lang w:eastAsia="en-GB"/>
        </w:rPr>
      </w:pPr>
      <w:r w:rsidRPr="000D0304">
        <w:rPr>
          <w:rFonts w:cs="Helvetica"/>
          <w:color w:val="595959"/>
          <w:szCs w:val="20"/>
          <w:lang w:eastAsia="en-GB"/>
        </w:rPr>
        <w:t xml:space="preserve">The </w:t>
      </w:r>
      <w:r w:rsidR="000F5C89">
        <w:rPr>
          <w:rFonts w:cs="Helvetica"/>
          <w:color w:val="595959"/>
          <w:szCs w:val="20"/>
          <w:lang w:eastAsia="en-GB"/>
        </w:rPr>
        <w:t>most significant</w:t>
      </w:r>
      <w:r w:rsidR="000F5C89" w:rsidRPr="000D0304">
        <w:rPr>
          <w:rFonts w:cs="Helvetica"/>
          <w:color w:val="595959"/>
          <w:szCs w:val="20"/>
          <w:lang w:eastAsia="en-GB"/>
        </w:rPr>
        <w:t xml:space="preserve"> </w:t>
      </w:r>
      <w:r w:rsidRPr="000D0304">
        <w:rPr>
          <w:rFonts w:cs="Helvetica"/>
          <w:color w:val="595959"/>
          <w:szCs w:val="20"/>
          <w:lang w:eastAsia="en-GB"/>
        </w:rPr>
        <w:t xml:space="preserve">greenhouse gas contributions </w:t>
      </w:r>
      <w:r w:rsidR="00737EDF" w:rsidRPr="000D0304">
        <w:rPr>
          <w:rFonts w:cs="Helvetica"/>
          <w:color w:val="595959"/>
          <w:szCs w:val="20"/>
          <w:lang w:eastAsia="en-GB"/>
        </w:rPr>
        <w:t xml:space="preserve">at the global level </w:t>
      </w:r>
      <w:r w:rsidR="000F5C89">
        <w:rPr>
          <w:rFonts w:cs="Helvetica"/>
          <w:color w:val="595959"/>
          <w:szCs w:val="20"/>
          <w:lang w:eastAsia="en-GB"/>
        </w:rPr>
        <w:t>are</w:t>
      </w:r>
      <w:r w:rsidR="000F5C89" w:rsidRPr="000D0304">
        <w:rPr>
          <w:rFonts w:cs="Helvetica"/>
          <w:color w:val="595959"/>
          <w:szCs w:val="20"/>
          <w:lang w:eastAsia="en-GB"/>
        </w:rPr>
        <w:t xml:space="preserve"> </w:t>
      </w:r>
      <w:r w:rsidRPr="000D0304">
        <w:rPr>
          <w:rFonts w:cs="Helvetica"/>
          <w:color w:val="595959"/>
          <w:szCs w:val="20"/>
          <w:lang w:eastAsia="en-GB"/>
        </w:rPr>
        <w:t>attribut</w:t>
      </w:r>
      <w:r w:rsidR="000F5C89">
        <w:rPr>
          <w:rFonts w:cs="Helvetica"/>
          <w:color w:val="595959"/>
          <w:szCs w:val="20"/>
          <w:lang w:eastAsia="en-GB"/>
        </w:rPr>
        <w:t>able</w:t>
      </w:r>
      <w:r w:rsidRPr="000D0304">
        <w:rPr>
          <w:rFonts w:cs="Helvetica"/>
          <w:color w:val="595959"/>
          <w:szCs w:val="20"/>
          <w:lang w:eastAsia="en-GB"/>
        </w:rPr>
        <w:t xml:space="preserve"> to alumina </w:t>
      </w:r>
      <w:r w:rsidR="00CD325E" w:rsidRPr="000D0304">
        <w:rPr>
          <w:rFonts w:cs="Helvetica"/>
          <w:color w:val="595959"/>
          <w:szCs w:val="20"/>
          <w:lang w:eastAsia="en-GB"/>
        </w:rPr>
        <w:t>production</w:t>
      </w:r>
      <w:r w:rsidRPr="000D0304">
        <w:rPr>
          <w:rFonts w:cs="Helvetica"/>
          <w:color w:val="595959"/>
          <w:szCs w:val="20"/>
          <w:lang w:eastAsia="en-GB"/>
        </w:rPr>
        <w:t xml:space="preserve"> and electrolysis unit processes</w:t>
      </w:r>
      <w:r w:rsidR="009831A3">
        <w:rPr>
          <w:rFonts w:cs="Helvetica"/>
          <w:color w:val="595959"/>
          <w:szCs w:val="20"/>
          <w:lang w:eastAsia="en-GB"/>
        </w:rPr>
        <w:t xml:space="preserve">.  </w:t>
      </w:r>
      <w:r w:rsidR="00273B1A" w:rsidRPr="000D0304">
        <w:rPr>
          <w:rFonts w:cs="Helvetica"/>
          <w:color w:val="595959"/>
          <w:szCs w:val="20"/>
          <w:lang w:eastAsia="en-GB"/>
        </w:rPr>
        <w:t>The magnitude of greenhouse gas emissions</w:t>
      </w:r>
      <w:r w:rsidR="001D4CC8" w:rsidRPr="000D0304">
        <w:rPr>
          <w:rFonts w:cs="Helvetica"/>
          <w:color w:val="595959"/>
          <w:szCs w:val="20"/>
          <w:lang w:eastAsia="en-GB"/>
        </w:rPr>
        <w:t xml:space="preserve"> is a function of </w:t>
      </w:r>
      <w:r w:rsidR="00273B1A" w:rsidRPr="000D0304">
        <w:rPr>
          <w:rFonts w:cs="Helvetica"/>
          <w:color w:val="595959"/>
          <w:szCs w:val="20"/>
          <w:lang w:eastAsia="en-GB"/>
        </w:rPr>
        <w:t xml:space="preserve">thermal energy </w:t>
      </w:r>
      <w:r w:rsidR="000F5C89">
        <w:rPr>
          <w:rFonts w:cs="Helvetica"/>
          <w:color w:val="595959"/>
          <w:szCs w:val="20"/>
          <w:lang w:eastAsia="en-GB"/>
        </w:rPr>
        <w:t xml:space="preserve">fuel </w:t>
      </w:r>
      <w:r w:rsidR="00273B1A" w:rsidRPr="000D0304">
        <w:rPr>
          <w:rFonts w:cs="Helvetica"/>
          <w:color w:val="595959"/>
          <w:szCs w:val="20"/>
          <w:lang w:eastAsia="en-GB"/>
        </w:rPr>
        <w:t>mix and power mix</w:t>
      </w:r>
      <w:r w:rsidR="009831A3">
        <w:rPr>
          <w:rFonts w:cs="Helvetica"/>
          <w:color w:val="595959"/>
          <w:szCs w:val="20"/>
          <w:lang w:eastAsia="en-GB"/>
        </w:rPr>
        <w:t xml:space="preserve">.  </w:t>
      </w:r>
      <w:r w:rsidR="00273B1A" w:rsidRPr="000D0304">
        <w:rPr>
          <w:rFonts w:cs="Helvetica"/>
          <w:color w:val="595959"/>
          <w:szCs w:val="20"/>
          <w:lang w:eastAsia="en-GB"/>
        </w:rPr>
        <w:t>Th</w:t>
      </w:r>
      <w:r w:rsidR="000F5C89">
        <w:rPr>
          <w:rFonts w:cs="Helvetica"/>
          <w:color w:val="595959"/>
          <w:szCs w:val="20"/>
          <w:lang w:eastAsia="en-GB"/>
        </w:rPr>
        <w:t>e following analysis is based on a GaBi</w:t>
      </w:r>
      <w:r w:rsidR="00273B1A" w:rsidRPr="000D0304">
        <w:rPr>
          <w:rFonts w:cs="Helvetica"/>
          <w:color w:val="595959"/>
          <w:szCs w:val="20"/>
          <w:lang w:eastAsia="en-GB"/>
        </w:rPr>
        <w:t xml:space="preserve"> model</w:t>
      </w:r>
      <w:r w:rsidR="00C73EA0" w:rsidRPr="000D0304">
        <w:rPr>
          <w:rFonts w:cs="Helvetica"/>
          <w:color w:val="595959"/>
          <w:szCs w:val="20"/>
          <w:lang w:eastAsia="en-GB"/>
        </w:rPr>
        <w:t xml:space="preserve"> </w:t>
      </w:r>
      <w:r w:rsidR="007E41BE" w:rsidRPr="000D0304">
        <w:rPr>
          <w:rFonts w:cs="Helvetica"/>
          <w:color w:val="595959"/>
          <w:szCs w:val="20"/>
          <w:lang w:eastAsia="en-GB"/>
        </w:rPr>
        <w:t>populated with</w:t>
      </w:r>
      <w:r w:rsidR="0010194B" w:rsidRPr="000D0304">
        <w:rPr>
          <w:rFonts w:cs="Helvetica"/>
          <w:color w:val="595959"/>
          <w:szCs w:val="20"/>
          <w:lang w:eastAsia="en-GB"/>
        </w:rPr>
        <w:t xml:space="preserve"> the relevant thermal energy carrier and electricity mix </w:t>
      </w:r>
      <w:r w:rsidR="000F5C89">
        <w:rPr>
          <w:rFonts w:cs="Helvetica"/>
          <w:color w:val="595959"/>
          <w:szCs w:val="20"/>
          <w:lang w:eastAsia="en-GB"/>
        </w:rPr>
        <w:t xml:space="preserve">data </w:t>
      </w:r>
      <w:r w:rsidR="0010194B" w:rsidRPr="000D0304">
        <w:rPr>
          <w:rFonts w:cs="Helvetica"/>
          <w:color w:val="595959"/>
          <w:szCs w:val="20"/>
          <w:lang w:eastAsia="en-GB"/>
        </w:rPr>
        <w:t xml:space="preserve">reported to the IAI </w:t>
      </w:r>
      <w:r w:rsidR="000F5C89">
        <w:rPr>
          <w:rFonts w:cs="Helvetica"/>
          <w:color w:val="595959"/>
          <w:szCs w:val="20"/>
          <w:lang w:eastAsia="en-GB"/>
        </w:rPr>
        <w:t xml:space="preserve">as part of its </w:t>
      </w:r>
      <w:r w:rsidR="00E45FCE">
        <w:rPr>
          <w:rFonts w:cs="Helvetica"/>
          <w:color w:val="595959"/>
          <w:szCs w:val="20"/>
          <w:lang w:eastAsia="en-GB"/>
        </w:rPr>
        <w:t>annual</w:t>
      </w:r>
      <w:r w:rsidR="000F5C89">
        <w:rPr>
          <w:rFonts w:cs="Helvetica"/>
          <w:color w:val="595959"/>
          <w:szCs w:val="20"/>
          <w:lang w:eastAsia="en-GB"/>
        </w:rPr>
        <w:t xml:space="preserve"> energy surveys</w:t>
      </w:r>
      <w:r w:rsidR="00E45FCE">
        <w:rPr>
          <w:rFonts w:cs="Helvetica"/>
          <w:color w:val="595959"/>
          <w:szCs w:val="20"/>
          <w:lang w:eastAsia="en-GB"/>
        </w:rPr>
        <w:t xml:space="preserve"> (with consumption data from the LCI)</w:t>
      </w:r>
      <w:r w:rsidR="000F5C89">
        <w:rPr>
          <w:rFonts w:cs="Helvetica"/>
          <w:color w:val="595959"/>
          <w:szCs w:val="20"/>
          <w:lang w:eastAsia="en-GB"/>
        </w:rPr>
        <w:t>.  B</w:t>
      </w:r>
      <w:r w:rsidR="0010194B" w:rsidRPr="000D0304">
        <w:rPr>
          <w:rFonts w:cs="Helvetica"/>
          <w:color w:val="595959"/>
          <w:szCs w:val="20"/>
          <w:lang w:eastAsia="en-GB"/>
        </w:rPr>
        <w:t>eyond this</w:t>
      </w:r>
      <w:r w:rsidR="000F5C89">
        <w:rPr>
          <w:rFonts w:cs="Helvetica"/>
          <w:color w:val="595959"/>
          <w:szCs w:val="20"/>
          <w:lang w:eastAsia="en-GB"/>
        </w:rPr>
        <w:t xml:space="preserve"> direct industry data</w:t>
      </w:r>
      <w:r w:rsidR="0010194B" w:rsidRPr="000D0304">
        <w:rPr>
          <w:rFonts w:cs="Helvetica"/>
          <w:color w:val="595959"/>
          <w:szCs w:val="20"/>
          <w:lang w:eastAsia="en-GB"/>
        </w:rPr>
        <w:t xml:space="preserve">, </w:t>
      </w:r>
      <w:r w:rsidR="000F5C89">
        <w:rPr>
          <w:rFonts w:cs="Helvetica"/>
          <w:color w:val="595959"/>
          <w:szCs w:val="20"/>
          <w:lang w:eastAsia="en-GB"/>
        </w:rPr>
        <w:t xml:space="preserve">default background </w:t>
      </w:r>
      <w:r w:rsidR="00273B1A" w:rsidRPr="000D0304">
        <w:rPr>
          <w:rFonts w:cs="Helvetica"/>
          <w:color w:val="595959"/>
          <w:szCs w:val="20"/>
          <w:lang w:eastAsia="en-GB"/>
        </w:rPr>
        <w:t>data</w:t>
      </w:r>
      <w:r w:rsidR="00C73EA0" w:rsidRPr="000D0304">
        <w:rPr>
          <w:rFonts w:cs="Helvetica"/>
          <w:color w:val="595959"/>
          <w:szCs w:val="20"/>
          <w:lang w:eastAsia="en-GB"/>
        </w:rPr>
        <w:t xml:space="preserve"> and assumptions</w:t>
      </w:r>
      <w:r w:rsidR="00273B1A" w:rsidRPr="000D0304">
        <w:rPr>
          <w:rFonts w:cs="Helvetica"/>
          <w:color w:val="595959"/>
          <w:szCs w:val="20"/>
          <w:lang w:eastAsia="en-GB"/>
        </w:rPr>
        <w:t xml:space="preserve"> within GaBi </w:t>
      </w:r>
      <w:r w:rsidR="00C02790" w:rsidRPr="000D0304">
        <w:rPr>
          <w:rFonts w:cs="Helvetica"/>
          <w:color w:val="595959"/>
          <w:szCs w:val="20"/>
          <w:lang w:eastAsia="en-GB"/>
        </w:rPr>
        <w:t>w</w:t>
      </w:r>
      <w:r w:rsidR="00C73EA0" w:rsidRPr="000D0304">
        <w:rPr>
          <w:rFonts w:cs="Helvetica"/>
          <w:color w:val="595959"/>
          <w:szCs w:val="20"/>
          <w:lang w:eastAsia="en-GB"/>
        </w:rPr>
        <w:t>ere</w:t>
      </w:r>
      <w:r w:rsidR="0010194B" w:rsidRPr="000D0304">
        <w:rPr>
          <w:rFonts w:cs="Helvetica"/>
          <w:color w:val="595959"/>
          <w:szCs w:val="20"/>
          <w:lang w:eastAsia="en-GB"/>
        </w:rPr>
        <w:t xml:space="preserve"> used</w:t>
      </w:r>
      <w:r w:rsidR="001E03C5">
        <w:rPr>
          <w:rFonts w:cs="Helvetica"/>
          <w:color w:val="595959"/>
          <w:szCs w:val="20"/>
          <w:lang w:eastAsia="en-GB"/>
        </w:rPr>
        <w:t xml:space="preserve"> uncritically</w:t>
      </w:r>
      <w:r w:rsidR="009831A3">
        <w:rPr>
          <w:rFonts w:cs="Helvetica"/>
          <w:color w:val="595959"/>
          <w:szCs w:val="20"/>
          <w:lang w:eastAsia="en-GB"/>
        </w:rPr>
        <w:t xml:space="preserve">.  </w:t>
      </w:r>
    </w:p>
    <w:p w14:paraId="0C2D6BE4" w14:textId="2899B533" w:rsidR="0079371C" w:rsidRDefault="0079371C" w:rsidP="009E11C8">
      <w:pPr>
        <w:spacing w:after="0" w:line="312" w:lineRule="auto"/>
        <w:contextualSpacing/>
        <w:jc w:val="both"/>
        <w:rPr>
          <w:rFonts w:cs="Helvetica"/>
          <w:color w:val="595959"/>
          <w:szCs w:val="20"/>
          <w:lang w:eastAsia="en-GB"/>
        </w:rPr>
      </w:pPr>
    </w:p>
    <w:p w14:paraId="2BC92CC9" w14:textId="2A4CA4B2" w:rsidR="00B17582" w:rsidRPr="000D0304" w:rsidRDefault="0083151C" w:rsidP="009E11C8">
      <w:pPr>
        <w:spacing w:after="0" w:line="312" w:lineRule="auto"/>
        <w:contextualSpacing/>
        <w:jc w:val="both"/>
        <w:rPr>
          <w:rFonts w:cs="Helvetica"/>
          <w:color w:val="595959"/>
          <w:szCs w:val="20"/>
          <w:lang w:eastAsia="en-GB"/>
        </w:rPr>
      </w:pPr>
      <w:r>
        <w:rPr>
          <w:noProof/>
        </w:rPr>
        <w:drawing>
          <wp:inline distT="0" distB="0" distL="0" distR="0" wp14:anchorId="595707C5" wp14:editId="7AD1F8DD">
            <wp:extent cx="5867400" cy="2981325"/>
            <wp:effectExtent l="0" t="0" r="0" b="9525"/>
            <wp:docPr id="2" name="Chart 2">
              <a:extLst xmlns:a="http://schemas.openxmlformats.org/drawingml/2006/main">
                <a:ext uri="{FF2B5EF4-FFF2-40B4-BE49-F238E27FC236}">
                  <a16:creationId xmlns:a16="http://schemas.microsoft.com/office/drawing/2014/main" id="{1312C6F3-C714-4C7F-8439-65B6136271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590C9BE" w14:textId="35542CC1" w:rsidR="00E74BF6" w:rsidRPr="000D0304" w:rsidRDefault="00E74BF6" w:rsidP="009E11C8">
      <w:pPr>
        <w:spacing w:after="0" w:line="312" w:lineRule="auto"/>
        <w:contextualSpacing/>
        <w:jc w:val="both"/>
        <w:rPr>
          <w:rFonts w:cs="Helvetica"/>
          <w:color w:val="595959"/>
          <w:szCs w:val="20"/>
          <w:lang w:eastAsia="en-GB"/>
        </w:rPr>
      </w:pPr>
    </w:p>
    <w:p w14:paraId="5E98558A" w14:textId="7158C0FB" w:rsidR="00E74BF6" w:rsidRPr="000D0304" w:rsidRDefault="00C02790" w:rsidP="001A5B9F">
      <w:pPr>
        <w:spacing w:before="120" w:after="0" w:line="312" w:lineRule="auto"/>
        <w:jc w:val="right"/>
        <w:rPr>
          <w:rFonts w:cs="Helvetica"/>
          <w:b/>
          <w:color w:val="595959"/>
          <w:szCs w:val="20"/>
          <w:lang w:eastAsia="en-GB"/>
        </w:rPr>
      </w:pPr>
      <w:r w:rsidRPr="000D0304">
        <w:rPr>
          <w:rFonts w:cs="Helvetica"/>
          <w:b/>
          <w:color w:val="595959"/>
          <w:szCs w:val="20"/>
          <w:lang w:eastAsia="en-GB"/>
        </w:rPr>
        <w:t>Figure 1</w:t>
      </w:r>
      <w:r w:rsidR="00EF549B">
        <w:rPr>
          <w:rFonts w:cs="Helvetica"/>
          <w:b/>
          <w:color w:val="595959"/>
          <w:szCs w:val="20"/>
          <w:lang w:eastAsia="en-GB"/>
        </w:rPr>
        <w:t>5</w:t>
      </w:r>
      <w:r w:rsidRPr="000D0304">
        <w:rPr>
          <w:rFonts w:cs="Helvetica"/>
          <w:b/>
          <w:color w:val="595959"/>
          <w:szCs w:val="20"/>
          <w:lang w:eastAsia="en-GB"/>
        </w:rPr>
        <w:t>:</w:t>
      </w:r>
      <w:r w:rsidR="00EF549B">
        <w:rPr>
          <w:rFonts w:cs="Helvetica"/>
          <w:b/>
          <w:color w:val="595959"/>
          <w:szCs w:val="20"/>
          <w:lang w:eastAsia="en-GB"/>
        </w:rPr>
        <w:tab/>
      </w:r>
      <w:r w:rsidRPr="000D0304">
        <w:rPr>
          <w:rFonts w:cs="Helvetica"/>
          <w:b/>
          <w:color w:val="595959"/>
          <w:szCs w:val="20"/>
          <w:lang w:eastAsia="en-GB"/>
        </w:rPr>
        <w:t xml:space="preserve">Global </w:t>
      </w:r>
      <w:r w:rsidR="00564105">
        <w:rPr>
          <w:rFonts w:cs="Helvetica"/>
          <w:b/>
          <w:color w:val="595959"/>
          <w:szCs w:val="20"/>
          <w:lang w:eastAsia="en-GB"/>
        </w:rPr>
        <w:t>GHG emissions</w:t>
      </w:r>
      <w:r w:rsidR="00564105" w:rsidRPr="000D0304">
        <w:rPr>
          <w:rFonts w:cs="Helvetica"/>
          <w:b/>
          <w:color w:val="595959"/>
          <w:szCs w:val="20"/>
          <w:lang w:eastAsia="en-GB"/>
        </w:rPr>
        <w:t xml:space="preserve"> </w:t>
      </w:r>
      <w:r w:rsidRPr="000D0304">
        <w:rPr>
          <w:rFonts w:cs="Helvetica"/>
          <w:b/>
          <w:color w:val="595959"/>
          <w:szCs w:val="20"/>
          <w:lang w:eastAsia="en-GB"/>
        </w:rPr>
        <w:t>by unit process and process type</w:t>
      </w:r>
    </w:p>
    <w:p w14:paraId="61BF7E80" w14:textId="77777777" w:rsidR="006C6D6A" w:rsidRDefault="006C6D6A" w:rsidP="000D0304">
      <w:pPr>
        <w:spacing w:after="0" w:line="312" w:lineRule="auto"/>
        <w:jc w:val="both"/>
        <w:rPr>
          <w:rFonts w:cs="Helvetica"/>
          <w:color w:val="595959"/>
          <w:szCs w:val="20"/>
          <w:lang w:eastAsia="en-GB"/>
        </w:rPr>
      </w:pPr>
    </w:p>
    <w:p w14:paraId="493297B3" w14:textId="3DAE78DD" w:rsidR="001E03C5" w:rsidRDefault="001E03C5" w:rsidP="000D0304">
      <w:pPr>
        <w:spacing w:after="0" w:line="312" w:lineRule="auto"/>
        <w:jc w:val="both"/>
        <w:rPr>
          <w:rFonts w:cs="Helvetica"/>
          <w:color w:val="595959"/>
          <w:szCs w:val="20"/>
          <w:lang w:eastAsia="en-GB"/>
        </w:rPr>
      </w:pPr>
      <w:r>
        <w:rPr>
          <w:rFonts w:cs="Helvetica"/>
          <w:color w:val="595959"/>
          <w:szCs w:val="20"/>
          <w:lang w:eastAsia="en-GB"/>
        </w:rPr>
        <w:t>R</w:t>
      </w:r>
      <w:r w:rsidR="00C73EA0" w:rsidRPr="000D0304">
        <w:rPr>
          <w:rFonts w:cs="Helvetica"/>
          <w:color w:val="595959"/>
          <w:szCs w:val="20"/>
          <w:lang w:eastAsia="en-GB"/>
        </w:rPr>
        <w:t xml:space="preserve">esults for </w:t>
      </w:r>
      <w:r>
        <w:rPr>
          <w:rFonts w:cs="Helvetica"/>
          <w:color w:val="595959"/>
          <w:szCs w:val="20"/>
          <w:lang w:eastAsia="en-GB"/>
        </w:rPr>
        <w:t>the archetype</w:t>
      </w:r>
      <w:r w:rsidRPr="000D0304">
        <w:rPr>
          <w:rFonts w:cs="Helvetica"/>
          <w:color w:val="595959"/>
          <w:szCs w:val="20"/>
          <w:lang w:eastAsia="en-GB"/>
        </w:rPr>
        <w:t xml:space="preserve"> </w:t>
      </w:r>
      <w:r w:rsidR="00C73EA0" w:rsidRPr="000D0304">
        <w:rPr>
          <w:rFonts w:cs="Helvetica"/>
          <w:color w:val="595959"/>
          <w:szCs w:val="20"/>
          <w:lang w:eastAsia="en-GB"/>
        </w:rPr>
        <w:t xml:space="preserve">scenarios </w:t>
      </w:r>
      <w:r>
        <w:rPr>
          <w:rFonts w:cs="Helvetica"/>
          <w:color w:val="595959"/>
          <w:szCs w:val="20"/>
          <w:lang w:eastAsia="en-GB"/>
        </w:rPr>
        <w:t>are</w:t>
      </w:r>
      <w:r w:rsidR="00C73EA0" w:rsidRPr="000D0304">
        <w:rPr>
          <w:rFonts w:cs="Helvetica"/>
          <w:color w:val="595959"/>
          <w:szCs w:val="20"/>
          <w:lang w:eastAsia="en-GB"/>
        </w:rPr>
        <w:t xml:space="preserve"> shown in Figure 1</w:t>
      </w:r>
      <w:r>
        <w:rPr>
          <w:rFonts w:cs="Helvetica"/>
          <w:color w:val="595959"/>
          <w:szCs w:val="20"/>
          <w:lang w:eastAsia="en-GB"/>
        </w:rPr>
        <w:t>6</w:t>
      </w:r>
      <w:r w:rsidR="009831A3">
        <w:rPr>
          <w:rFonts w:cs="Helvetica"/>
          <w:color w:val="595959"/>
          <w:szCs w:val="20"/>
          <w:lang w:eastAsia="en-GB"/>
        </w:rPr>
        <w:t xml:space="preserve">.  </w:t>
      </w:r>
      <w:r>
        <w:rPr>
          <w:rFonts w:cs="Helvetica"/>
          <w:color w:val="595959"/>
          <w:szCs w:val="20"/>
          <w:lang w:eastAsia="en-GB"/>
        </w:rPr>
        <w:t>D</w:t>
      </w:r>
      <w:r w:rsidR="00C73EA0" w:rsidRPr="000D0304">
        <w:rPr>
          <w:rFonts w:cs="Helvetica"/>
          <w:color w:val="595959"/>
          <w:szCs w:val="20"/>
          <w:lang w:eastAsia="en-GB"/>
        </w:rPr>
        <w:t>irect</w:t>
      </w:r>
      <w:r w:rsidR="004A2CD6" w:rsidRPr="000D0304">
        <w:rPr>
          <w:rFonts w:cs="Helvetica"/>
          <w:color w:val="595959"/>
          <w:szCs w:val="20"/>
          <w:lang w:eastAsia="en-GB"/>
        </w:rPr>
        <w:t xml:space="preserve">, </w:t>
      </w:r>
      <w:r>
        <w:rPr>
          <w:rFonts w:cs="Helvetica"/>
          <w:color w:val="595959"/>
          <w:szCs w:val="20"/>
          <w:lang w:eastAsia="en-GB"/>
        </w:rPr>
        <w:t>ancillary</w:t>
      </w:r>
      <w:r w:rsidRPr="000D0304">
        <w:rPr>
          <w:rFonts w:cs="Helvetica"/>
          <w:color w:val="595959"/>
          <w:szCs w:val="20"/>
          <w:lang w:eastAsia="en-GB"/>
        </w:rPr>
        <w:t xml:space="preserve"> </w:t>
      </w:r>
      <w:r w:rsidR="004A2CD6" w:rsidRPr="000D0304">
        <w:rPr>
          <w:rFonts w:cs="Helvetica"/>
          <w:color w:val="595959"/>
          <w:szCs w:val="20"/>
          <w:lang w:eastAsia="en-GB"/>
        </w:rPr>
        <w:t xml:space="preserve">and transport </w:t>
      </w:r>
      <w:r>
        <w:rPr>
          <w:rFonts w:cs="Helvetica"/>
          <w:color w:val="595959"/>
          <w:szCs w:val="20"/>
          <w:lang w:eastAsia="en-GB"/>
        </w:rPr>
        <w:t xml:space="preserve">related emissions are similar across scenarios, </w:t>
      </w:r>
      <w:r w:rsidR="004A2CD6" w:rsidRPr="000D0304">
        <w:rPr>
          <w:rFonts w:cs="Helvetica"/>
          <w:color w:val="595959"/>
          <w:szCs w:val="20"/>
          <w:lang w:eastAsia="en-GB"/>
        </w:rPr>
        <w:t xml:space="preserve">as there is </w:t>
      </w:r>
      <w:r>
        <w:rPr>
          <w:rFonts w:cs="Helvetica"/>
          <w:color w:val="595959"/>
          <w:szCs w:val="20"/>
          <w:lang w:eastAsia="en-GB"/>
        </w:rPr>
        <w:t>only minor</w:t>
      </w:r>
      <w:r w:rsidRPr="000D0304">
        <w:rPr>
          <w:rFonts w:cs="Helvetica"/>
          <w:color w:val="595959"/>
          <w:szCs w:val="20"/>
          <w:lang w:eastAsia="en-GB"/>
        </w:rPr>
        <w:t xml:space="preserve"> </w:t>
      </w:r>
      <w:r w:rsidR="004A2CD6" w:rsidRPr="000D0304">
        <w:rPr>
          <w:rFonts w:cs="Helvetica"/>
          <w:color w:val="595959"/>
          <w:szCs w:val="20"/>
          <w:lang w:eastAsia="en-GB"/>
        </w:rPr>
        <w:t xml:space="preserve">variation </w:t>
      </w:r>
      <w:r>
        <w:rPr>
          <w:rFonts w:cs="Helvetica"/>
          <w:color w:val="595959"/>
          <w:szCs w:val="20"/>
          <w:lang w:eastAsia="en-GB"/>
        </w:rPr>
        <w:t>between</w:t>
      </w:r>
      <w:r w:rsidRPr="000D0304">
        <w:rPr>
          <w:rFonts w:cs="Helvetica"/>
          <w:color w:val="595959"/>
          <w:szCs w:val="20"/>
          <w:lang w:eastAsia="en-GB"/>
        </w:rPr>
        <w:t xml:space="preserve"> </w:t>
      </w:r>
      <w:r w:rsidR="004A2CD6" w:rsidRPr="000D0304">
        <w:rPr>
          <w:rFonts w:cs="Helvetica"/>
          <w:color w:val="595959"/>
          <w:szCs w:val="20"/>
          <w:lang w:eastAsia="en-GB"/>
        </w:rPr>
        <w:t>technologies and regions</w:t>
      </w:r>
      <w:r w:rsidR="009831A3">
        <w:rPr>
          <w:rFonts w:cs="Helvetica"/>
          <w:color w:val="595959"/>
          <w:szCs w:val="20"/>
          <w:lang w:eastAsia="en-GB"/>
        </w:rPr>
        <w:t xml:space="preserve">.  </w:t>
      </w:r>
      <w:r w:rsidR="004A2CD6" w:rsidRPr="000D0304">
        <w:rPr>
          <w:rFonts w:cs="Helvetica"/>
          <w:color w:val="595959"/>
          <w:szCs w:val="20"/>
          <w:lang w:eastAsia="en-GB"/>
        </w:rPr>
        <w:t>The relative contribution of each process</w:t>
      </w:r>
      <w:r w:rsidR="00E740BB">
        <w:rPr>
          <w:rFonts w:cs="Helvetica"/>
          <w:color w:val="595959"/>
          <w:szCs w:val="20"/>
          <w:lang w:eastAsia="en-GB"/>
        </w:rPr>
        <w:t xml:space="preserve"> type </w:t>
      </w:r>
      <w:r w:rsidR="004A2CD6" w:rsidRPr="000D0304">
        <w:rPr>
          <w:rFonts w:cs="Helvetica"/>
          <w:color w:val="595959"/>
          <w:szCs w:val="20"/>
          <w:lang w:eastAsia="en-GB"/>
        </w:rPr>
        <w:t>differ</w:t>
      </w:r>
      <w:r>
        <w:rPr>
          <w:rFonts w:cs="Helvetica"/>
          <w:color w:val="595959"/>
          <w:szCs w:val="20"/>
          <w:lang w:eastAsia="en-GB"/>
        </w:rPr>
        <w:t>s</w:t>
      </w:r>
      <w:r w:rsidR="004A2CD6" w:rsidRPr="000D0304">
        <w:rPr>
          <w:rFonts w:cs="Helvetica"/>
          <w:color w:val="595959"/>
          <w:szCs w:val="20"/>
          <w:lang w:eastAsia="en-GB"/>
        </w:rPr>
        <w:t xml:space="preserve"> depending on </w:t>
      </w:r>
      <w:r w:rsidR="00E740BB">
        <w:rPr>
          <w:rFonts w:cs="Helvetica"/>
          <w:color w:val="595959"/>
          <w:szCs w:val="20"/>
          <w:lang w:eastAsia="en-GB"/>
        </w:rPr>
        <w:t xml:space="preserve">the </w:t>
      </w:r>
      <w:r>
        <w:rPr>
          <w:rFonts w:cs="Helvetica"/>
          <w:color w:val="595959"/>
          <w:szCs w:val="20"/>
          <w:lang w:eastAsia="en-GB"/>
        </w:rPr>
        <w:t>total</w:t>
      </w:r>
      <w:r w:rsidRPr="000D0304">
        <w:rPr>
          <w:rFonts w:cs="Helvetica"/>
          <w:color w:val="595959"/>
          <w:szCs w:val="20"/>
          <w:lang w:eastAsia="en-GB"/>
        </w:rPr>
        <w:t xml:space="preserve"> </w:t>
      </w:r>
      <w:r w:rsidR="00900AAD">
        <w:rPr>
          <w:rFonts w:cs="Helvetica"/>
          <w:color w:val="595959"/>
          <w:szCs w:val="20"/>
          <w:lang w:eastAsia="en-GB"/>
        </w:rPr>
        <w:t>GHG emissions</w:t>
      </w:r>
      <w:r w:rsidR="004A2CD6" w:rsidRPr="000D0304">
        <w:rPr>
          <w:rFonts w:cs="Helvetica"/>
          <w:color w:val="595959"/>
          <w:szCs w:val="20"/>
          <w:lang w:eastAsia="en-GB"/>
        </w:rPr>
        <w:t xml:space="preserve"> and therefore the significance of each process type is depen</w:t>
      </w:r>
      <w:r w:rsidR="00E740BB">
        <w:rPr>
          <w:rFonts w:cs="Helvetica"/>
          <w:color w:val="595959"/>
          <w:szCs w:val="20"/>
          <w:lang w:eastAsia="en-GB"/>
        </w:rPr>
        <w:t>dent on the specific</w:t>
      </w:r>
      <w:r w:rsidR="004A2CD6" w:rsidRPr="000D0304">
        <w:rPr>
          <w:rFonts w:cs="Helvetica"/>
          <w:color w:val="595959"/>
          <w:szCs w:val="20"/>
          <w:lang w:eastAsia="en-GB"/>
        </w:rPr>
        <w:t xml:space="preserve"> scenario being modelled</w:t>
      </w:r>
      <w:r w:rsidR="009831A3">
        <w:rPr>
          <w:rFonts w:cs="Helvetica"/>
          <w:color w:val="595959"/>
          <w:szCs w:val="20"/>
          <w:lang w:eastAsia="en-GB"/>
        </w:rPr>
        <w:t xml:space="preserve">.  </w:t>
      </w:r>
      <w:r w:rsidR="00FD531D" w:rsidRPr="000D0304">
        <w:rPr>
          <w:rFonts w:cs="Helvetica"/>
          <w:color w:val="595959"/>
          <w:szCs w:val="20"/>
          <w:lang w:eastAsia="en-GB"/>
        </w:rPr>
        <w:t>The la</w:t>
      </w:r>
      <w:r w:rsidR="00C02790" w:rsidRPr="000D0304">
        <w:rPr>
          <w:rFonts w:cs="Helvetica"/>
          <w:color w:val="595959"/>
          <w:szCs w:val="20"/>
          <w:lang w:eastAsia="en-GB"/>
        </w:rPr>
        <w:t>rgest differences</w:t>
      </w:r>
      <w:r w:rsidR="00E740BB">
        <w:rPr>
          <w:rFonts w:cs="Helvetica"/>
          <w:color w:val="595959"/>
          <w:szCs w:val="20"/>
          <w:lang w:eastAsia="en-GB"/>
        </w:rPr>
        <w:t xml:space="preserve"> between the scenarios</w:t>
      </w:r>
      <w:r w:rsidR="00C02790" w:rsidRPr="000D0304">
        <w:rPr>
          <w:rFonts w:cs="Helvetica"/>
          <w:color w:val="595959"/>
          <w:szCs w:val="20"/>
          <w:lang w:eastAsia="en-GB"/>
        </w:rPr>
        <w:t xml:space="preserve"> </w:t>
      </w:r>
      <w:r>
        <w:rPr>
          <w:rFonts w:cs="Helvetica"/>
          <w:color w:val="595959"/>
          <w:szCs w:val="20"/>
          <w:lang w:eastAsia="en-GB"/>
        </w:rPr>
        <w:t>are</w:t>
      </w:r>
      <w:r w:rsidRPr="000D0304">
        <w:rPr>
          <w:rFonts w:cs="Helvetica"/>
          <w:color w:val="595959"/>
          <w:szCs w:val="20"/>
          <w:lang w:eastAsia="en-GB"/>
        </w:rPr>
        <w:t xml:space="preserve"> </w:t>
      </w:r>
      <w:r w:rsidR="00F249D1" w:rsidRPr="000D0304">
        <w:rPr>
          <w:rFonts w:cs="Helvetica"/>
          <w:color w:val="595959"/>
          <w:szCs w:val="20"/>
          <w:lang w:eastAsia="en-GB"/>
        </w:rPr>
        <w:t xml:space="preserve">associated with electricity </w:t>
      </w:r>
      <w:r>
        <w:rPr>
          <w:rFonts w:cs="Helvetica"/>
          <w:color w:val="595959"/>
          <w:szCs w:val="20"/>
          <w:lang w:eastAsia="en-GB"/>
        </w:rPr>
        <w:t xml:space="preserve">supply </w:t>
      </w:r>
      <w:r w:rsidR="00F249D1" w:rsidRPr="000D0304">
        <w:rPr>
          <w:rFonts w:cs="Helvetica"/>
          <w:color w:val="595959"/>
          <w:szCs w:val="20"/>
          <w:lang w:eastAsia="en-GB"/>
        </w:rPr>
        <w:t>and</w:t>
      </w:r>
      <w:r w:rsidR="004A2CD6" w:rsidRPr="000D0304">
        <w:rPr>
          <w:rFonts w:cs="Helvetica"/>
          <w:color w:val="595959"/>
          <w:szCs w:val="20"/>
          <w:lang w:eastAsia="en-GB"/>
        </w:rPr>
        <w:t xml:space="preserve">, to a lesser extent, </w:t>
      </w:r>
      <w:r w:rsidR="00F249D1" w:rsidRPr="000D0304">
        <w:rPr>
          <w:rFonts w:cs="Helvetica"/>
          <w:color w:val="595959"/>
          <w:szCs w:val="20"/>
          <w:lang w:eastAsia="en-GB"/>
        </w:rPr>
        <w:t>thermal energy</w:t>
      </w:r>
      <w:r w:rsidR="009831A3">
        <w:rPr>
          <w:rFonts w:cs="Helvetica"/>
          <w:color w:val="595959"/>
          <w:szCs w:val="20"/>
          <w:lang w:eastAsia="en-GB"/>
        </w:rPr>
        <w:t xml:space="preserve">.  </w:t>
      </w:r>
    </w:p>
    <w:p w14:paraId="34F293EE" w14:textId="77777777" w:rsidR="001E03C5" w:rsidRPr="000D0304" w:rsidRDefault="001E03C5" w:rsidP="000D0304">
      <w:pPr>
        <w:spacing w:after="0" w:line="312" w:lineRule="auto"/>
        <w:jc w:val="both"/>
        <w:rPr>
          <w:rFonts w:cs="Helvetica"/>
          <w:color w:val="595959"/>
          <w:szCs w:val="20"/>
          <w:lang w:eastAsia="en-GB"/>
        </w:rPr>
      </w:pPr>
    </w:p>
    <w:p w14:paraId="5921EC7F" w14:textId="0DD74E68" w:rsidR="002E0D81" w:rsidRDefault="002E0D81" w:rsidP="000D0304">
      <w:pPr>
        <w:spacing w:after="0" w:line="312" w:lineRule="auto"/>
        <w:jc w:val="both"/>
        <w:rPr>
          <w:rFonts w:cs="Helvetica"/>
          <w:color w:val="595959"/>
          <w:szCs w:val="20"/>
          <w:lang w:eastAsia="en-GB"/>
        </w:rPr>
      </w:pPr>
    </w:p>
    <w:p w14:paraId="431B888B" w14:textId="267FF893" w:rsidR="002C69CA" w:rsidRPr="000D0304" w:rsidRDefault="00A065F6" w:rsidP="000D0304">
      <w:pPr>
        <w:spacing w:after="0" w:line="312" w:lineRule="auto"/>
        <w:jc w:val="both"/>
        <w:rPr>
          <w:rFonts w:cs="Helvetica"/>
          <w:color w:val="595959"/>
          <w:szCs w:val="20"/>
          <w:lang w:eastAsia="en-GB"/>
        </w:rPr>
      </w:pPr>
      <w:r>
        <w:rPr>
          <w:noProof/>
        </w:rPr>
        <w:lastRenderedPageBreak/>
        <w:drawing>
          <wp:inline distT="0" distB="0" distL="0" distR="0" wp14:anchorId="166FD8A7" wp14:editId="6D3643F4">
            <wp:extent cx="6153150" cy="3200400"/>
            <wp:effectExtent l="0" t="0" r="0" b="0"/>
            <wp:docPr id="47" name="Chart 47">
              <a:extLst xmlns:a="http://schemas.openxmlformats.org/drawingml/2006/main">
                <a:ext uri="{FF2B5EF4-FFF2-40B4-BE49-F238E27FC236}">
                  <a16:creationId xmlns:a16="http://schemas.microsoft.com/office/drawing/2014/main" id="{7E11C6D2-6584-41FC-87C4-ECDDBECB4C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8AE77A2" w14:textId="77777777" w:rsidR="00DA5C75" w:rsidRDefault="00C73EA0" w:rsidP="001A5B9F">
      <w:pPr>
        <w:spacing w:before="120" w:after="0" w:line="312" w:lineRule="auto"/>
        <w:jc w:val="right"/>
        <w:rPr>
          <w:rFonts w:cs="Helvetica"/>
          <w:b/>
          <w:color w:val="595959"/>
          <w:szCs w:val="20"/>
          <w:lang w:eastAsia="en-GB"/>
        </w:rPr>
      </w:pPr>
      <w:r w:rsidRPr="000D0304">
        <w:rPr>
          <w:rFonts w:cs="Helvetica"/>
          <w:b/>
          <w:color w:val="595959"/>
          <w:szCs w:val="20"/>
          <w:lang w:eastAsia="en-GB"/>
        </w:rPr>
        <w:t>Figure 1</w:t>
      </w:r>
      <w:r w:rsidR="00EF549B">
        <w:rPr>
          <w:rFonts w:cs="Helvetica"/>
          <w:b/>
          <w:color w:val="595959"/>
          <w:szCs w:val="20"/>
          <w:lang w:eastAsia="en-GB"/>
        </w:rPr>
        <w:t>6</w:t>
      </w:r>
      <w:r w:rsidRPr="000D0304">
        <w:rPr>
          <w:rFonts w:cs="Helvetica"/>
          <w:b/>
          <w:color w:val="595959"/>
          <w:szCs w:val="20"/>
          <w:lang w:eastAsia="en-GB"/>
        </w:rPr>
        <w:t>:</w:t>
      </w:r>
      <w:r w:rsidR="00EF549B">
        <w:rPr>
          <w:rFonts w:cs="Helvetica"/>
          <w:b/>
          <w:color w:val="595959"/>
          <w:szCs w:val="20"/>
          <w:lang w:eastAsia="en-GB"/>
        </w:rPr>
        <w:tab/>
      </w:r>
      <w:r w:rsidR="00564105" w:rsidRPr="000D0304">
        <w:rPr>
          <w:rFonts w:cs="Helvetica"/>
          <w:b/>
          <w:color w:val="595959"/>
          <w:szCs w:val="20"/>
          <w:lang w:eastAsia="en-GB"/>
        </w:rPr>
        <w:t>G</w:t>
      </w:r>
      <w:r w:rsidR="00564105">
        <w:rPr>
          <w:rFonts w:cs="Helvetica"/>
          <w:b/>
          <w:color w:val="595959"/>
          <w:szCs w:val="20"/>
          <w:lang w:eastAsia="en-GB"/>
        </w:rPr>
        <w:t>HG emissions</w:t>
      </w:r>
      <w:r w:rsidR="00564105" w:rsidRPr="000D0304">
        <w:rPr>
          <w:rFonts w:cs="Helvetica"/>
          <w:b/>
          <w:color w:val="595959"/>
          <w:szCs w:val="20"/>
          <w:lang w:eastAsia="en-GB"/>
        </w:rPr>
        <w:t xml:space="preserve"> </w:t>
      </w:r>
      <w:r w:rsidRPr="000D0304">
        <w:rPr>
          <w:rFonts w:cs="Helvetica"/>
          <w:b/>
          <w:color w:val="595959"/>
          <w:szCs w:val="20"/>
          <w:lang w:eastAsia="en-GB"/>
        </w:rPr>
        <w:t xml:space="preserve">by </w:t>
      </w:r>
      <w:r w:rsidR="001E03C5">
        <w:rPr>
          <w:rFonts w:cs="Helvetica"/>
          <w:b/>
          <w:color w:val="595959"/>
          <w:szCs w:val="20"/>
          <w:lang w:eastAsia="en-GB"/>
        </w:rPr>
        <w:t>s</w:t>
      </w:r>
      <w:r w:rsidRPr="000D0304">
        <w:rPr>
          <w:rFonts w:cs="Helvetica"/>
          <w:b/>
          <w:color w:val="595959"/>
          <w:szCs w:val="20"/>
          <w:lang w:eastAsia="en-GB"/>
        </w:rPr>
        <w:t>cenario and by process</w:t>
      </w:r>
    </w:p>
    <w:p w14:paraId="4DC1321D" w14:textId="77777777" w:rsidR="004D1D9C" w:rsidRDefault="004D1D9C" w:rsidP="004D1D9C">
      <w:pPr>
        <w:spacing w:before="120" w:after="0" w:line="312" w:lineRule="auto"/>
        <w:rPr>
          <w:rFonts w:cs="Helvetica"/>
          <w:color w:val="595959"/>
          <w:szCs w:val="20"/>
          <w:lang w:eastAsia="en-GB"/>
        </w:rPr>
      </w:pPr>
    </w:p>
    <w:p w14:paraId="1345CAB8" w14:textId="7D07E183" w:rsidR="00DA5C75" w:rsidRPr="0086555B" w:rsidRDefault="00DA5C75" w:rsidP="004D1D9C">
      <w:pPr>
        <w:spacing w:before="120" w:after="0" w:line="312" w:lineRule="auto"/>
        <w:rPr>
          <w:rFonts w:cs="Helvetica"/>
          <w:color w:val="595959"/>
          <w:sz w:val="18"/>
          <w:szCs w:val="18"/>
          <w:lang w:eastAsia="en-GB"/>
        </w:rPr>
      </w:pPr>
      <w:r w:rsidRPr="00DA5C75">
        <w:rPr>
          <w:rFonts w:cs="Helvetica"/>
          <w:color w:val="595959"/>
          <w:sz w:val="18"/>
          <w:szCs w:val="18"/>
          <w:lang w:eastAsia="en-GB"/>
        </w:rPr>
        <w:t>Scenario 1: CNA-CNA-</w:t>
      </w:r>
      <w:r w:rsidR="004D1D9C" w:rsidRPr="0086555B">
        <w:rPr>
          <w:rFonts w:cs="Helvetica"/>
          <w:color w:val="595959"/>
          <w:sz w:val="18"/>
          <w:szCs w:val="18"/>
          <w:lang w:eastAsia="en-GB"/>
        </w:rPr>
        <w:t>CAN</w:t>
      </w:r>
    </w:p>
    <w:p w14:paraId="64A60B67" w14:textId="77777777" w:rsidR="004D1D9C" w:rsidRPr="0086555B" w:rsidRDefault="004D1D9C" w:rsidP="004D1D9C">
      <w:pPr>
        <w:spacing w:before="120" w:after="0" w:line="312" w:lineRule="auto"/>
        <w:rPr>
          <w:rFonts w:cs="Helvetica"/>
          <w:color w:val="595959"/>
          <w:sz w:val="18"/>
          <w:szCs w:val="18"/>
          <w:lang w:eastAsia="en-GB"/>
        </w:rPr>
      </w:pPr>
      <w:r w:rsidRPr="004D1D9C">
        <w:rPr>
          <w:rFonts w:cs="Helvetica"/>
          <w:color w:val="595959"/>
          <w:sz w:val="18"/>
          <w:szCs w:val="18"/>
          <w:lang w:eastAsia="en-GB"/>
        </w:rPr>
        <w:t>Scenario 2: OCA-OCA-GCC</w:t>
      </w:r>
    </w:p>
    <w:p w14:paraId="2D67039C" w14:textId="77777777" w:rsidR="004D1D9C" w:rsidRPr="0086555B" w:rsidRDefault="004D1D9C" w:rsidP="004D1D9C">
      <w:pPr>
        <w:spacing w:before="120" w:after="0" w:line="312" w:lineRule="auto"/>
        <w:rPr>
          <w:rFonts w:cs="Helvetica"/>
          <w:color w:val="595959"/>
          <w:sz w:val="18"/>
          <w:szCs w:val="18"/>
          <w:lang w:eastAsia="en-GB"/>
        </w:rPr>
      </w:pPr>
      <w:r w:rsidRPr="004D1D9C">
        <w:rPr>
          <w:rFonts w:cs="Helvetica"/>
          <w:color w:val="595959"/>
          <w:sz w:val="18"/>
          <w:szCs w:val="18"/>
          <w:lang w:eastAsia="en-GB"/>
        </w:rPr>
        <w:t>Scenario 3: AFR-EUR-EUR</w:t>
      </w:r>
    </w:p>
    <w:p w14:paraId="33AF953E" w14:textId="77777777" w:rsidR="00271213" w:rsidRPr="00271213" w:rsidRDefault="00271213" w:rsidP="00271213">
      <w:pPr>
        <w:spacing w:before="120" w:after="0" w:line="312" w:lineRule="auto"/>
        <w:rPr>
          <w:rFonts w:cs="Helvetica"/>
          <w:color w:val="595959"/>
          <w:sz w:val="18"/>
          <w:szCs w:val="18"/>
          <w:lang w:eastAsia="en-GB"/>
        </w:rPr>
      </w:pPr>
      <w:r w:rsidRPr="00271213">
        <w:rPr>
          <w:rFonts w:cs="Helvetica"/>
          <w:color w:val="595959"/>
          <w:sz w:val="18"/>
          <w:szCs w:val="18"/>
          <w:lang w:eastAsia="en-GB"/>
        </w:rPr>
        <w:t>Scenario 4: SAM-SAM-CAN</w:t>
      </w:r>
    </w:p>
    <w:p w14:paraId="4DECE31E" w14:textId="77777777" w:rsidR="00271213" w:rsidRPr="004D1D9C" w:rsidRDefault="00271213" w:rsidP="004D1D9C">
      <w:pPr>
        <w:spacing w:before="120" w:after="0" w:line="312" w:lineRule="auto"/>
        <w:rPr>
          <w:rFonts w:cs="Helvetica"/>
          <w:color w:val="595959"/>
          <w:szCs w:val="20"/>
          <w:lang w:eastAsia="en-GB"/>
        </w:rPr>
      </w:pPr>
    </w:p>
    <w:p w14:paraId="131617A0" w14:textId="77777777" w:rsidR="004D1D9C" w:rsidRPr="004D1D9C" w:rsidRDefault="004D1D9C" w:rsidP="004D1D9C">
      <w:pPr>
        <w:spacing w:before="120" w:after="0" w:line="312" w:lineRule="auto"/>
        <w:rPr>
          <w:rFonts w:cs="Helvetica"/>
          <w:color w:val="595959"/>
          <w:szCs w:val="20"/>
          <w:lang w:eastAsia="en-GB"/>
        </w:rPr>
      </w:pPr>
    </w:p>
    <w:p w14:paraId="7D2C6057" w14:textId="77777777" w:rsidR="004D1D9C" w:rsidRPr="00DA5C75" w:rsidRDefault="004D1D9C" w:rsidP="004D1D9C">
      <w:pPr>
        <w:spacing w:before="120" w:after="0" w:line="312" w:lineRule="auto"/>
        <w:rPr>
          <w:rFonts w:cs="Helvetica"/>
          <w:color w:val="595959"/>
          <w:szCs w:val="20"/>
          <w:lang w:eastAsia="en-GB"/>
        </w:rPr>
      </w:pPr>
    </w:p>
    <w:p w14:paraId="0231C75D" w14:textId="77777777" w:rsidR="00DA5C75" w:rsidRDefault="00DA5C75" w:rsidP="001A5B9F">
      <w:pPr>
        <w:spacing w:before="120" w:after="0" w:line="312" w:lineRule="auto"/>
        <w:jc w:val="right"/>
        <w:rPr>
          <w:rFonts w:cs="Helvetica"/>
          <w:b/>
          <w:color w:val="595959"/>
          <w:szCs w:val="20"/>
          <w:lang w:eastAsia="en-GB"/>
        </w:rPr>
      </w:pPr>
    </w:p>
    <w:p w14:paraId="057AB894" w14:textId="75578892" w:rsidR="00EF549B" w:rsidRDefault="00EF549B" w:rsidP="00DA5C75">
      <w:pPr>
        <w:spacing w:before="120" w:after="0" w:line="312" w:lineRule="auto"/>
        <w:rPr>
          <w:rFonts w:cs="Helvetica"/>
          <w:b/>
          <w:color w:val="595959"/>
          <w:szCs w:val="20"/>
          <w:lang w:eastAsia="en-GB"/>
        </w:rPr>
      </w:pPr>
      <w:r>
        <w:rPr>
          <w:rFonts w:cs="Helvetica"/>
          <w:b/>
          <w:color w:val="595959"/>
          <w:szCs w:val="20"/>
          <w:lang w:eastAsia="en-GB"/>
        </w:rPr>
        <w:br w:type="page"/>
      </w:r>
    </w:p>
    <w:p w14:paraId="0B4601B4" w14:textId="6C707697" w:rsidR="006D76FD" w:rsidRPr="000D0304" w:rsidRDefault="006D76FD" w:rsidP="00DA5301">
      <w:pPr>
        <w:pStyle w:val="Heading2"/>
      </w:pPr>
      <w:bookmarkStart w:id="219" w:name="_Toc480555249"/>
      <w:bookmarkStart w:id="220" w:name="_Toc480555335"/>
      <w:bookmarkStart w:id="221" w:name="_Toc480555421"/>
      <w:bookmarkStart w:id="222" w:name="_Toc480555503"/>
      <w:bookmarkStart w:id="223" w:name="_Toc480971458"/>
      <w:bookmarkStart w:id="224" w:name="_Toc480555250"/>
      <w:bookmarkStart w:id="225" w:name="_Toc480555336"/>
      <w:bookmarkStart w:id="226" w:name="_Toc480555422"/>
      <w:bookmarkStart w:id="227" w:name="_Toc480555504"/>
      <w:bookmarkStart w:id="228" w:name="_Toc480971459"/>
      <w:bookmarkStart w:id="229" w:name="_Toc480555252"/>
      <w:bookmarkStart w:id="230" w:name="_Toc480555338"/>
      <w:bookmarkStart w:id="231" w:name="_Toc480555424"/>
      <w:bookmarkStart w:id="232" w:name="_Toc480555506"/>
      <w:bookmarkStart w:id="233" w:name="_Toc480971461"/>
      <w:bookmarkStart w:id="234" w:name="_Toc120111956"/>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Pr="000D0304">
        <w:lastRenderedPageBreak/>
        <w:t>Interpretation and Conclusions</w:t>
      </w:r>
      <w:bookmarkEnd w:id="234"/>
    </w:p>
    <w:p w14:paraId="17BC0D8A" w14:textId="77777777" w:rsidR="006D76FD" w:rsidRPr="000D0304" w:rsidRDefault="00B92D77" w:rsidP="00DA5301">
      <w:pPr>
        <w:pStyle w:val="Heading3"/>
      </w:pPr>
      <w:bookmarkStart w:id="235" w:name="_Toc480555254"/>
      <w:bookmarkStart w:id="236" w:name="_Toc480555340"/>
      <w:bookmarkStart w:id="237" w:name="_Toc480555426"/>
      <w:bookmarkStart w:id="238" w:name="_Toc480555508"/>
      <w:bookmarkStart w:id="239" w:name="_Toc480971463"/>
      <w:bookmarkStart w:id="240" w:name="_Toc120111957"/>
      <w:bookmarkEnd w:id="235"/>
      <w:bookmarkEnd w:id="236"/>
      <w:bookmarkEnd w:id="237"/>
      <w:bookmarkEnd w:id="238"/>
      <w:bookmarkEnd w:id="239"/>
      <w:r w:rsidRPr="000D0304">
        <w:t>Significant Issues</w:t>
      </w:r>
      <w:bookmarkEnd w:id="240"/>
    </w:p>
    <w:p w14:paraId="246034FC" w14:textId="5E0B7E9A" w:rsidR="00E21AD4" w:rsidRDefault="00ED1581" w:rsidP="009E11C8">
      <w:pPr>
        <w:spacing w:after="0" w:line="312" w:lineRule="auto"/>
        <w:contextualSpacing/>
        <w:jc w:val="both"/>
        <w:rPr>
          <w:rFonts w:cs="Helvetica"/>
          <w:color w:val="595959"/>
          <w:szCs w:val="20"/>
          <w:lang w:eastAsia="en-GB"/>
        </w:rPr>
      </w:pPr>
      <w:r w:rsidRPr="000D0304">
        <w:rPr>
          <w:rFonts w:cs="Helvetica"/>
          <w:color w:val="595959"/>
          <w:szCs w:val="20"/>
          <w:lang w:eastAsia="en-GB"/>
        </w:rPr>
        <w:t>T</w:t>
      </w:r>
      <w:r w:rsidR="006C230F" w:rsidRPr="000D0304">
        <w:rPr>
          <w:rFonts w:cs="Helvetica"/>
          <w:color w:val="595959"/>
          <w:szCs w:val="20"/>
          <w:lang w:eastAsia="en-GB"/>
        </w:rPr>
        <w:t xml:space="preserve">he results presented </w:t>
      </w:r>
      <w:r w:rsidRPr="000D0304">
        <w:rPr>
          <w:rFonts w:cs="Helvetica"/>
          <w:color w:val="595959"/>
          <w:szCs w:val="20"/>
          <w:lang w:eastAsia="en-GB"/>
        </w:rPr>
        <w:t>in this study</w:t>
      </w:r>
      <w:r w:rsidR="006C230F" w:rsidRPr="000D0304">
        <w:rPr>
          <w:rFonts w:cs="Helvetica"/>
          <w:color w:val="595959"/>
          <w:szCs w:val="20"/>
          <w:lang w:eastAsia="en-GB"/>
        </w:rPr>
        <w:t xml:space="preserve"> </w:t>
      </w:r>
      <w:r w:rsidR="00151016" w:rsidRPr="000D0304">
        <w:rPr>
          <w:rFonts w:cs="Helvetica"/>
          <w:color w:val="595959"/>
          <w:szCs w:val="20"/>
          <w:lang w:eastAsia="en-GB"/>
        </w:rPr>
        <w:t>show</w:t>
      </w:r>
      <w:r w:rsidR="00214289" w:rsidRPr="000D0304">
        <w:rPr>
          <w:rFonts w:cs="Helvetica"/>
          <w:color w:val="595959"/>
          <w:szCs w:val="20"/>
          <w:lang w:eastAsia="en-GB"/>
        </w:rPr>
        <w:t xml:space="preserve"> that </w:t>
      </w:r>
      <w:r w:rsidR="006C230F" w:rsidRPr="000D0304">
        <w:rPr>
          <w:rFonts w:cs="Helvetica"/>
          <w:color w:val="595959"/>
          <w:szCs w:val="20"/>
          <w:lang w:eastAsia="en-GB"/>
        </w:rPr>
        <w:t>th</w:t>
      </w:r>
      <w:r w:rsidR="00214289" w:rsidRPr="000D0304">
        <w:rPr>
          <w:rFonts w:cs="Helvetica"/>
          <w:color w:val="595959"/>
          <w:szCs w:val="20"/>
          <w:lang w:eastAsia="en-GB"/>
        </w:rPr>
        <w:t xml:space="preserve">e </w:t>
      </w:r>
      <w:r w:rsidR="009D7A2B" w:rsidRPr="000D0304">
        <w:rPr>
          <w:rFonts w:cs="Helvetica"/>
          <w:color w:val="595959"/>
          <w:szCs w:val="20"/>
          <w:lang w:eastAsia="en-GB"/>
        </w:rPr>
        <w:t>impacts associated with</w:t>
      </w:r>
      <w:r w:rsidR="000D62DD" w:rsidRPr="000D0304">
        <w:rPr>
          <w:rFonts w:cs="Helvetica"/>
          <w:color w:val="595959"/>
          <w:szCs w:val="20"/>
          <w:lang w:eastAsia="en-GB"/>
        </w:rPr>
        <w:t xml:space="preserve"> the </w:t>
      </w:r>
      <w:r w:rsidR="00214289" w:rsidRPr="000D0304">
        <w:rPr>
          <w:rFonts w:cs="Helvetica"/>
          <w:color w:val="595959"/>
          <w:szCs w:val="20"/>
          <w:lang w:eastAsia="en-GB"/>
        </w:rPr>
        <w:t xml:space="preserve">production of </w:t>
      </w:r>
      <w:r w:rsidR="00CF57E6" w:rsidRPr="000D0304">
        <w:rPr>
          <w:rFonts w:cs="Helvetica"/>
          <w:color w:val="595959"/>
          <w:szCs w:val="20"/>
          <w:lang w:eastAsia="en-GB"/>
        </w:rPr>
        <w:t>electricity</w:t>
      </w:r>
      <w:r w:rsidR="00343DE9" w:rsidRPr="000D0304">
        <w:rPr>
          <w:rFonts w:cs="Helvetica"/>
          <w:color w:val="595959"/>
          <w:szCs w:val="20"/>
          <w:lang w:eastAsia="en-GB"/>
        </w:rPr>
        <w:t xml:space="preserve"> </w:t>
      </w:r>
      <w:r w:rsidR="0020199D">
        <w:rPr>
          <w:rFonts w:cs="Helvetica"/>
          <w:color w:val="595959"/>
          <w:szCs w:val="20"/>
          <w:lang w:eastAsia="en-GB"/>
        </w:rPr>
        <w:t>remain</w:t>
      </w:r>
      <w:r w:rsidR="00343DE9" w:rsidRPr="000D0304">
        <w:rPr>
          <w:rFonts w:cs="Helvetica"/>
          <w:color w:val="595959"/>
          <w:szCs w:val="20"/>
          <w:lang w:eastAsia="en-GB"/>
        </w:rPr>
        <w:t xml:space="preserve"> </w:t>
      </w:r>
      <w:r w:rsidR="00151016" w:rsidRPr="000D0304">
        <w:rPr>
          <w:rFonts w:cs="Helvetica"/>
          <w:color w:val="595959"/>
          <w:szCs w:val="20"/>
          <w:lang w:eastAsia="en-GB"/>
        </w:rPr>
        <w:t>the most</w:t>
      </w:r>
      <w:r w:rsidR="00343DE9" w:rsidRPr="000D0304">
        <w:rPr>
          <w:rFonts w:cs="Helvetica"/>
          <w:color w:val="595959"/>
          <w:szCs w:val="20"/>
          <w:lang w:eastAsia="en-GB"/>
        </w:rPr>
        <w:t xml:space="preserve"> significant contributor</w:t>
      </w:r>
      <w:r w:rsidR="006C230F" w:rsidRPr="000D0304">
        <w:rPr>
          <w:rFonts w:cs="Helvetica"/>
          <w:color w:val="595959"/>
          <w:szCs w:val="20"/>
          <w:lang w:eastAsia="en-GB"/>
        </w:rPr>
        <w:t xml:space="preserve"> to </w:t>
      </w:r>
      <w:r w:rsidR="000D62DD" w:rsidRPr="000D0304">
        <w:rPr>
          <w:rFonts w:cs="Helvetica"/>
          <w:color w:val="595959"/>
          <w:szCs w:val="20"/>
          <w:lang w:eastAsia="en-GB"/>
        </w:rPr>
        <w:t>overall environmental impact</w:t>
      </w:r>
      <w:r w:rsidRPr="000D0304">
        <w:rPr>
          <w:rFonts w:cs="Helvetica"/>
          <w:color w:val="595959"/>
          <w:szCs w:val="20"/>
          <w:lang w:eastAsia="en-GB"/>
        </w:rPr>
        <w:t xml:space="preserve"> </w:t>
      </w:r>
      <w:r w:rsidR="00E21AD4">
        <w:rPr>
          <w:rFonts w:cs="Helvetica"/>
          <w:color w:val="595959"/>
          <w:szCs w:val="20"/>
          <w:lang w:eastAsia="en-GB"/>
        </w:rPr>
        <w:t xml:space="preserve">of primary aluminium production </w:t>
      </w:r>
      <w:r w:rsidRPr="000D0304">
        <w:rPr>
          <w:rFonts w:cs="Helvetica"/>
          <w:color w:val="595959"/>
          <w:szCs w:val="20"/>
          <w:lang w:eastAsia="en-GB"/>
        </w:rPr>
        <w:t>at a global level</w:t>
      </w:r>
      <w:r w:rsidR="00E21AD4">
        <w:rPr>
          <w:rFonts w:cs="Helvetica"/>
          <w:color w:val="595959"/>
          <w:szCs w:val="20"/>
          <w:lang w:eastAsia="en-GB"/>
        </w:rPr>
        <w:t xml:space="preserve">; </w:t>
      </w:r>
      <w:r w:rsidR="0097062D">
        <w:rPr>
          <w:rFonts w:cs="Helvetica"/>
          <w:color w:val="595959"/>
          <w:szCs w:val="20"/>
          <w:lang w:eastAsia="en-GB"/>
        </w:rPr>
        <w:t>over</w:t>
      </w:r>
      <w:r w:rsidR="0097062D" w:rsidRPr="000D0304">
        <w:rPr>
          <w:rFonts w:cs="Helvetica"/>
          <w:color w:val="595959"/>
          <w:szCs w:val="20"/>
          <w:lang w:eastAsia="en-GB"/>
        </w:rPr>
        <w:t xml:space="preserve"> </w:t>
      </w:r>
      <w:r w:rsidR="00E96341">
        <w:rPr>
          <w:rFonts w:cs="Helvetica"/>
          <w:color w:val="595959"/>
          <w:szCs w:val="20"/>
          <w:lang w:eastAsia="en-GB"/>
        </w:rPr>
        <w:t>5</w:t>
      </w:r>
      <w:r w:rsidR="00E21AD4">
        <w:rPr>
          <w:rFonts w:cs="Helvetica"/>
          <w:color w:val="595959"/>
          <w:szCs w:val="20"/>
          <w:lang w:eastAsia="en-GB"/>
        </w:rPr>
        <w:t>0</w:t>
      </w:r>
      <w:r w:rsidR="0079371C" w:rsidRPr="000D0304">
        <w:rPr>
          <w:rFonts w:cs="Helvetica"/>
          <w:color w:val="595959"/>
          <w:szCs w:val="20"/>
          <w:lang w:eastAsia="en-GB"/>
        </w:rPr>
        <w:t>%</w:t>
      </w:r>
      <w:r w:rsidR="006C230F" w:rsidRPr="000D0304">
        <w:rPr>
          <w:rFonts w:cs="Helvetica"/>
          <w:color w:val="595959"/>
          <w:szCs w:val="20"/>
          <w:lang w:eastAsia="en-GB"/>
        </w:rPr>
        <w:t xml:space="preserve"> </w:t>
      </w:r>
      <w:r w:rsidR="00E21AD4">
        <w:rPr>
          <w:rFonts w:cs="Helvetica"/>
          <w:color w:val="595959"/>
          <w:szCs w:val="20"/>
          <w:lang w:eastAsia="en-GB"/>
        </w:rPr>
        <w:t>across</w:t>
      </w:r>
      <w:r w:rsidR="00E21AD4" w:rsidRPr="000D0304">
        <w:rPr>
          <w:rFonts w:cs="Helvetica"/>
          <w:color w:val="595959"/>
          <w:szCs w:val="20"/>
          <w:lang w:eastAsia="en-GB"/>
        </w:rPr>
        <w:t xml:space="preserve"> </w:t>
      </w:r>
      <w:r w:rsidR="0020199D">
        <w:rPr>
          <w:rFonts w:cs="Helvetica"/>
          <w:color w:val="595959"/>
          <w:szCs w:val="20"/>
          <w:lang w:eastAsia="en-GB"/>
        </w:rPr>
        <w:t>most</w:t>
      </w:r>
      <w:r w:rsidR="0020199D" w:rsidRPr="000D0304">
        <w:rPr>
          <w:rFonts w:cs="Helvetica"/>
          <w:color w:val="595959"/>
          <w:szCs w:val="20"/>
          <w:lang w:eastAsia="en-GB"/>
        </w:rPr>
        <w:t xml:space="preserve"> </w:t>
      </w:r>
      <w:r w:rsidR="000D62DD" w:rsidRPr="000D0304">
        <w:rPr>
          <w:rFonts w:cs="Helvetica"/>
          <w:color w:val="595959"/>
          <w:szCs w:val="20"/>
          <w:lang w:eastAsia="en-GB"/>
        </w:rPr>
        <w:t>impact category results</w:t>
      </w:r>
      <w:r w:rsidR="00E21AD4">
        <w:rPr>
          <w:rFonts w:cs="Helvetica"/>
          <w:color w:val="595959"/>
          <w:szCs w:val="20"/>
          <w:lang w:eastAsia="en-GB"/>
        </w:rPr>
        <w:t>.</w:t>
      </w:r>
    </w:p>
    <w:p w14:paraId="19DD76D3" w14:textId="77777777" w:rsidR="00E21AD4" w:rsidRDefault="00E21AD4" w:rsidP="009E11C8">
      <w:pPr>
        <w:spacing w:after="0" w:line="312" w:lineRule="auto"/>
        <w:contextualSpacing/>
        <w:jc w:val="both"/>
        <w:rPr>
          <w:rFonts w:cs="Helvetica"/>
          <w:color w:val="595959"/>
          <w:szCs w:val="20"/>
          <w:lang w:eastAsia="en-GB"/>
        </w:rPr>
      </w:pPr>
    </w:p>
    <w:p w14:paraId="602436DF" w14:textId="7A04C9A9" w:rsidR="000D62DD" w:rsidRPr="000D0304" w:rsidRDefault="00151016" w:rsidP="009E11C8">
      <w:pPr>
        <w:spacing w:after="0" w:line="312" w:lineRule="auto"/>
        <w:contextualSpacing/>
        <w:jc w:val="both"/>
        <w:rPr>
          <w:rFonts w:cs="Helvetica"/>
          <w:color w:val="595959"/>
          <w:szCs w:val="20"/>
          <w:lang w:eastAsia="en-GB"/>
        </w:rPr>
      </w:pPr>
      <w:r w:rsidRPr="000D0304">
        <w:rPr>
          <w:rFonts w:cs="Helvetica"/>
          <w:color w:val="595959"/>
          <w:szCs w:val="20"/>
          <w:lang w:eastAsia="en-GB"/>
        </w:rPr>
        <w:t>The</w:t>
      </w:r>
      <w:r w:rsidR="00E21AD4">
        <w:rPr>
          <w:rFonts w:cs="Helvetica"/>
          <w:color w:val="595959"/>
          <w:szCs w:val="20"/>
          <w:lang w:eastAsia="en-GB"/>
        </w:rPr>
        <w:t xml:space="preserve"> differential</w:t>
      </w:r>
      <w:r w:rsidRPr="000D0304">
        <w:rPr>
          <w:rFonts w:cs="Helvetica"/>
          <w:color w:val="595959"/>
          <w:szCs w:val="20"/>
          <w:lang w:eastAsia="en-GB"/>
        </w:rPr>
        <w:t xml:space="preserve"> impac</w:t>
      </w:r>
      <w:r w:rsidR="009D7A2B" w:rsidRPr="000D0304">
        <w:rPr>
          <w:rFonts w:cs="Helvetica"/>
          <w:color w:val="595959"/>
          <w:szCs w:val="20"/>
          <w:lang w:eastAsia="en-GB"/>
        </w:rPr>
        <w:t>t of energy sources is</w:t>
      </w:r>
      <w:r w:rsidRPr="000D0304">
        <w:rPr>
          <w:rFonts w:cs="Helvetica"/>
          <w:color w:val="595959"/>
          <w:szCs w:val="20"/>
          <w:lang w:eastAsia="en-GB"/>
        </w:rPr>
        <w:t xml:space="preserve"> demonstrated in the example s</w:t>
      </w:r>
      <w:r w:rsidR="000D62DD" w:rsidRPr="000D0304">
        <w:rPr>
          <w:rFonts w:cs="Helvetica"/>
          <w:color w:val="595959"/>
          <w:szCs w:val="20"/>
          <w:lang w:eastAsia="en-GB"/>
        </w:rPr>
        <w:t>cenarios</w:t>
      </w:r>
      <w:r w:rsidR="00E21AD4">
        <w:rPr>
          <w:rFonts w:cs="Helvetica"/>
          <w:color w:val="595959"/>
          <w:szCs w:val="20"/>
          <w:lang w:eastAsia="en-GB"/>
        </w:rPr>
        <w:t>,</w:t>
      </w:r>
      <w:r w:rsidR="000D62DD" w:rsidRPr="000D0304">
        <w:rPr>
          <w:rFonts w:cs="Helvetica"/>
          <w:color w:val="595959"/>
          <w:szCs w:val="20"/>
          <w:lang w:eastAsia="en-GB"/>
        </w:rPr>
        <w:t xml:space="preserve"> </w:t>
      </w:r>
      <w:r w:rsidRPr="000D0304">
        <w:rPr>
          <w:rFonts w:cs="Helvetica"/>
          <w:color w:val="595959"/>
          <w:szCs w:val="20"/>
          <w:lang w:eastAsia="en-GB"/>
        </w:rPr>
        <w:t>which</w:t>
      </w:r>
      <w:r w:rsidR="009D7A2B" w:rsidRPr="000D0304">
        <w:rPr>
          <w:rFonts w:cs="Helvetica"/>
          <w:color w:val="595959"/>
          <w:szCs w:val="20"/>
          <w:lang w:eastAsia="en-GB"/>
        </w:rPr>
        <w:t xml:space="preserve"> </w:t>
      </w:r>
      <w:r w:rsidR="00E21AD4">
        <w:rPr>
          <w:rFonts w:cs="Helvetica"/>
          <w:color w:val="595959"/>
          <w:szCs w:val="20"/>
          <w:lang w:eastAsia="en-GB"/>
        </w:rPr>
        <w:t>illustrate that</w:t>
      </w:r>
      <w:r w:rsidR="00E21AD4" w:rsidRPr="000D0304">
        <w:rPr>
          <w:rFonts w:cs="Helvetica"/>
          <w:color w:val="595959"/>
          <w:szCs w:val="20"/>
          <w:lang w:eastAsia="en-GB"/>
        </w:rPr>
        <w:t xml:space="preserve"> </w:t>
      </w:r>
      <w:r w:rsidR="000D62DD" w:rsidRPr="000D0304">
        <w:rPr>
          <w:rFonts w:cs="Helvetica"/>
          <w:color w:val="595959"/>
          <w:szCs w:val="20"/>
          <w:lang w:eastAsia="en-GB"/>
        </w:rPr>
        <w:t>aluminium production based on coal</w:t>
      </w:r>
      <w:r w:rsidRPr="000D0304">
        <w:rPr>
          <w:rFonts w:cs="Helvetica"/>
          <w:color w:val="595959"/>
          <w:szCs w:val="20"/>
          <w:lang w:eastAsia="en-GB"/>
        </w:rPr>
        <w:t>-fired</w:t>
      </w:r>
      <w:r w:rsidR="000D62DD" w:rsidRPr="000D0304">
        <w:rPr>
          <w:rFonts w:cs="Helvetica"/>
          <w:color w:val="595959"/>
          <w:szCs w:val="20"/>
          <w:lang w:eastAsia="en-GB"/>
        </w:rPr>
        <w:t xml:space="preserve"> electricity </w:t>
      </w:r>
      <w:r w:rsidR="009D7A2B" w:rsidRPr="000D0304">
        <w:rPr>
          <w:rFonts w:cs="Helvetica"/>
          <w:color w:val="595959"/>
          <w:szCs w:val="20"/>
          <w:lang w:eastAsia="en-GB"/>
        </w:rPr>
        <w:t>has</w:t>
      </w:r>
      <w:r w:rsidR="000D62DD" w:rsidRPr="000D0304">
        <w:rPr>
          <w:rFonts w:cs="Helvetica"/>
          <w:color w:val="595959"/>
          <w:szCs w:val="20"/>
          <w:lang w:eastAsia="en-GB"/>
        </w:rPr>
        <w:t xml:space="preserve"> a higher potential environmental </w:t>
      </w:r>
      <w:r w:rsidRPr="000D0304">
        <w:rPr>
          <w:rFonts w:cs="Helvetica"/>
          <w:color w:val="595959"/>
          <w:szCs w:val="20"/>
          <w:lang w:eastAsia="en-GB"/>
        </w:rPr>
        <w:t xml:space="preserve">impact </w:t>
      </w:r>
      <w:r w:rsidR="009910F9" w:rsidRPr="000D0304">
        <w:rPr>
          <w:rFonts w:cs="Helvetica"/>
          <w:color w:val="595959"/>
          <w:szCs w:val="20"/>
          <w:lang w:eastAsia="en-GB"/>
        </w:rPr>
        <w:t>compared to</w:t>
      </w:r>
      <w:r w:rsidRPr="000D0304">
        <w:rPr>
          <w:rFonts w:cs="Helvetica"/>
          <w:color w:val="595959"/>
          <w:szCs w:val="20"/>
          <w:lang w:eastAsia="en-GB"/>
        </w:rPr>
        <w:t xml:space="preserve"> </w:t>
      </w:r>
      <w:r w:rsidR="009D7A2B" w:rsidRPr="000D0304">
        <w:rPr>
          <w:rFonts w:cs="Helvetica"/>
          <w:color w:val="595959"/>
          <w:szCs w:val="20"/>
          <w:lang w:eastAsia="en-GB"/>
        </w:rPr>
        <w:t xml:space="preserve">primary aluminium </w:t>
      </w:r>
      <w:r w:rsidRPr="000D0304">
        <w:rPr>
          <w:rFonts w:cs="Helvetica"/>
          <w:color w:val="595959"/>
          <w:szCs w:val="20"/>
          <w:lang w:eastAsia="en-GB"/>
        </w:rPr>
        <w:t>production</w:t>
      </w:r>
      <w:r w:rsidR="009D7A2B" w:rsidRPr="000D0304">
        <w:rPr>
          <w:rFonts w:cs="Helvetica"/>
          <w:color w:val="595959"/>
          <w:szCs w:val="20"/>
          <w:lang w:eastAsia="en-GB"/>
        </w:rPr>
        <w:t xml:space="preserve"> based on </w:t>
      </w:r>
      <w:r w:rsidR="000D62DD" w:rsidRPr="000D0304">
        <w:rPr>
          <w:rFonts w:cs="Helvetica"/>
          <w:color w:val="595959"/>
          <w:szCs w:val="20"/>
          <w:lang w:eastAsia="en-GB"/>
        </w:rPr>
        <w:t>hydropo</w:t>
      </w:r>
      <w:r w:rsidRPr="000D0304">
        <w:rPr>
          <w:rFonts w:cs="Helvetica"/>
          <w:color w:val="595959"/>
          <w:szCs w:val="20"/>
          <w:lang w:eastAsia="en-GB"/>
        </w:rPr>
        <w:t>wer</w:t>
      </w:r>
      <w:r w:rsidR="00E21AD4">
        <w:rPr>
          <w:rFonts w:cs="Helvetica"/>
          <w:color w:val="595959"/>
          <w:szCs w:val="20"/>
          <w:lang w:eastAsia="en-GB"/>
        </w:rPr>
        <w:t xml:space="preserve"> or gas</w:t>
      </w:r>
      <w:r w:rsidR="009831A3">
        <w:rPr>
          <w:rFonts w:cs="Helvetica"/>
          <w:color w:val="595959"/>
          <w:szCs w:val="20"/>
          <w:lang w:eastAsia="en-GB"/>
        </w:rPr>
        <w:t xml:space="preserve">.  </w:t>
      </w:r>
    </w:p>
    <w:p w14:paraId="6859E805" w14:textId="77777777" w:rsidR="000D62DD" w:rsidRPr="000D0304" w:rsidRDefault="000D62DD" w:rsidP="009E11C8">
      <w:pPr>
        <w:spacing w:after="0" w:line="312" w:lineRule="auto"/>
        <w:contextualSpacing/>
        <w:jc w:val="both"/>
        <w:rPr>
          <w:rFonts w:cs="Helvetica"/>
          <w:color w:val="595959"/>
          <w:szCs w:val="20"/>
          <w:lang w:eastAsia="en-GB"/>
        </w:rPr>
      </w:pPr>
    </w:p>
    <w:p w14:paraId="5C26EDF1" w14:textId="43C875E2" w:rsidR="00DB3034" w:rsidRPr="000D0304" w:rsidRDefault="000D62DD" w:rsidP="009E11C8">
      <w:pPr>
        <w:spacing w:after="0" w:line="312" w:lineRule="auto"/>
        <w:contextualSpacing/>
        <w:jc w:val="both"/>
        <w:rPr>
          <w:rFonts w:cs="Helvetica"/>
          <w:color w:val="595959"/>
          <w:szCs w:val="20"/>
          <w:lang w:eastAsia="en-GB"/>
        </w:rPr>
      </w:pPr>
      <w:r w:rsidRPr="000D0304">
        <w:rPr>
          <w:rFonts w:cs="Helvetica"/>
          <w:color w:val="595959"/>
          <w:szCs w:val="20"/>
          <w:lang w:eastAsia="en-GB"/>
        </w:rPr>
        <w:t xml:space="preserve">Electricity </w:t>
      </w:r>
      <w:r w:rsidR="00780623" w:rsidRPr="000D0304">
        <w:rPr>
          <w:rFonts w:cs="Helvetica"/>
          <w:color w:val="595959"/>
          <w:szCs w:val="20"/>
          <w:lang w:eastAsia="en-GB"/>
        </w:rPr>
        <w:t>emissions</w:t>
      </w:r>
      <w:r w:rsidR="002F3CE2">
        <w:rPr>
          <w:rFonts w:cs="Helvetica"/>
          <w:color w:val="595959"/>
          <w:szCs w:val="20"/>
          <w:lang w:eastAsia="en-GB"/>
        </w:rPr>
        <w:t>,</w:t>
      </w:r>
      <w:r w:rsidR="002F3CE2" w:rsidRPr="002F3CE2">
        <w:rPr>
          <w:rFonts w:cs="Helvetica"/>
          <w:color w:val="595959"/>
          <w:szCs w:val="20"/>
          <w:lang w:eastAsia="en-GB"/>
        </w:rPr>
        <w:t xml:space="preserve"> </w:t>
      </w:r>
      <w:r w:rsidR="002F3CE2" w:rsidRPr="000D0304">
        <w:rPr>
          <w:rFonts w:cs="Helvetica"/>
          <w:color w:val="595959"/>
          <w:szCs w:val="20"/>
          <w:lang w:eastAsia="en-GB"/>
        </w:rPr>
        <w:t>contributing</w:t>
      </w:r>
      <w:r w:rsidR="002F3CE2">
        <w:rPr>
          <w:rFonts w:cs="Helvetica"/>
          <w:color w:val="595959"/>
          <w:szCs w:val="20"/>
          <w:lang w:eastAsia="en-GB"/>
        </w:rPr>
        <w:t xml:space="preserve"> around</w:t>
      </w:r>
      <w:r w:rsidR="002F3CE2" w:rsidRPr="000D0304">
        <w:rPr>
          <w:rFonts w:cs="Helvetica"/>
          <w:color w:val="595959"/>
          <w:szCs w:val="20"/>
          <w:lang w:eastAsia="en-GB"/>
        </w:rPr>
        <w:t xml:space="preserve"> 6</w:t>
      </w:r>
      <w:r w:rsidR="002F3CE2">
        <w:rPr>
          <w:rFonts w:cs="Helvetica"/>
          <w:color w:val="595959"/>
          <w:szCs w:val="20"/>
          <w:lang w:eastAsia="en-GB"/>
        </w:rPr>
        <w:t>5</w:t>
      </w:r>
      <w:r w:rsidR="002F3CE2" w:rsidRPr="000D0304">
        <w:rPr>
          <w:rFonts w:cs="Helvetica"/>
          <w:color w:val="595959"/>
          <w:szCs w:val="20"/>
          <w:lang w:eastAsia="en-GB"/>
        </w:rPr>
        <w:t xml:space="preserve">% </w:t>
      </w:r>
      <w:r w:rsidRPr="000D0304">
        <w:rPr>
          <w:rFonts w:cs="Helvetica"/>
          <w:color w:val="595959"/>
          <w:szCs w:val="20"/>
          <w:lang w:eastAsia="en-GB"/>
        </w:rPr>
        <w:t xml:space="preserve">to </w:t>
      </w:r>
      <w:r w:rsidR="008B77E2">
        <w:rPr>
          <w:rFonts w:cs="Helvetica"/>
          <w:color w:val="595959"/>
          <w:szCs w:val="20"/>
          <w:lang w:eastAsia="en-GB"/>
        </w:rPr>
        <w:t>GHG emissions</w:t>
      </w:r>
      <w:r w:rsidR="002F3CE2">
        <w:rPr>
          <w:rFonts w:cs="Helvetica"/>
          <w:color w:val="595959"/>
          <w:szCs w:val="20"/>
          <w:lang w:eastAsia="en-GB"/>
        </w:rPr>
        <w:t xml:space="preserve">, </w:t>
      </w:r>
      <w:r w:rsidR="002F3CE2" w:rsidRPr="000D0304">
        <w:rPr>
          <w:rFonts w:cs="Helvetica"/>
          <w:color w:val="595959"/>
          <w:szCs w:val="20"/>
          <w:lang w:eastAsia="en-GB"/>
        </w:rPr>
        <w:t>are the most significant contributors</w:t>
      </w:r>
      <w:r w:rsidRPr="000D0304">
        <w:rPr>
          <w:rFonts w:cs="Helvetica"/>
          <w:color w:val="595959"/>
          <w:szCs w:val="20"/>
          <w:lang w:eastAsia="en-GB"/>
        </w:rPr>
        <w:t xml:space="preserve"> at the global level</w:t>
      </w:r>
      <w:r w:rsidR="006E7CAA">
        <w:rPr>
          <w:rFonts w:cs="Helvetica"/>
          <w:color w:val="595959"/>
          <w:szCs w:val="20"/>
          <w:lang w:eastAsia="en-GB"/>
        </w:rPr>
        <w:t>.</w:t>
      </w:r>
      <w:r w:rsidR="00780623" w:rsidRPr="000D0304">
        <w:rPr>
          <w:rFonts w:cs="Helvetica"/>
          <w:color w:val="595959"/>
          <w:szCs w:val="20"/>
          <w:lang w:eastAsia="en-GB"/>
        </w:rPr>
        <w:t xml:space="preserve"> </w:t>
      </w:r>
      <w:r w:rsidR="009D7A2B" w:rsidRPr="000D0304">
        <w:rPr>
          <w:rFonts w:cs="Helvetica"/>
          <w:color w:val="595959"/>
          <w:szCs w:val="20"/>
          <w:lang w:eastAsia="en-GB"/>
        </w:rPr>
        <w:t xml:space="preserve">This is in line with the findings of </w:t>
      </w:r>
      <w:r w:rsidR="00E21AD4">
        <w:rPr>
          <w:rFonts w:cs="Helvetica"/>
          <w:color w:val="595959"/>
          <w:szCs w:val="20"/>
          <w:lang w:eastAsia="en-GB"/>
        </w:rPr>
        <w:t>previous analyse</w:t>
      </w:r>
      <w:r w:rsidR="00874DE5">
        <w:rPr>
          <w:rFonts w:cs="Helvetica"/>
          <w:color w:val="595959"/>
          <w:szCs w:val="20"/>
          <w:lang w:eastAsia="en-GB"/>
        </w:rPr>
        <w:t xml:space="preserve"> for 2015</w:t>
      </w:r>
      <w:r w:rsidR="009831A3">
        <w:rPr>
          <w:rFonts w:cs="Helvetica"/>
          <w:color w:val="595959"/>
          <w:szCs w:val="20"/>
          <w:lang w:eastAsia="en-GB"/>
        </w:rPr>
        <w:t>.</w:t>
      </w:r>
      <w:r w:rsidR="006A54C5">
        <w:rPr>
          <w:rFonts w:cs="Helvetica"/>
          <w:color w:val="595959"/>
          <w:szCs w:val="20"/>
          <w:lang w:eastAsia="en-GB"/>
        </w:rPr>
        <w:t xml:space="preserve"> </w:t>
      </w:r>
      <w:r w:rsidR="001936AC">
        <w:rPr>
          <w:rFonts w:cs="Helvetica"/>
          <w:color w:val="595959"/>
          <w:szCs w:val="20"/>
          <w:lang w:eastAsia="en-GB"/>
        </w:rPr>
        <w:t xml:space="preserve">Followed by </w:t>
      </w:r>
      <w:r w:rsidR="00E60A7E">
        <w:rPr>
          <w:rFonts w:cs="Helvetica"/>
          <w:color w:val="595959"/>
          <w:szCs w:val="20"/>
          <w:lang w:eastAsia="en-GB"/>
        </w:rPr>
        <w:t>direct process emissions as the 2</w:t>
      </w:r>
      <w:r w:rsidR="00E60A7E" w:rsidRPr="00FD4D41">
        <w:rPr>
          <w:rFonts w:cs="Helvetica"/>
          <w:color w:val="595959"/>
          <w:szCs w:val="20"/>
          <w:vertAlign w:val="superscript"/>
          <w:lang w:eastAsia="en-GB"/>
        </w:rPr>
        <w:t>nd</w:t>
      </w:r>
      <w:r w:rsidR="00E60A7E">
        <w:rPr>
          <w:rFonts w:cs="Helvetica"/>
          <w:color w:val="595959"/>
          <w:szCs w:val="20"/>
          <w:lang w:eastAsia="en-GB"/>
        </w:rPr>
        <w:t xml:space="preserve"> most significant</w:t>
      </w:r>
      <w:r w:rsidR="006A54C5">
        <w:rPr>
          <w:rFonts w:cs="Helvetica"/>
          <w:color w:val="595959"/>
          <w:szCs w:val="20"/>
          <w:lang w:eastAsia="en-GB"/>
        </w:rPr>
        <w:t>,</w:t>
      </w:r>
      <w:r w:rsidR="00E60A7E">
        <w:rPr>
          <w:rFonts w:cs="Helvetica"/>
          <w:color w:val="595959"/>
          <w:szCs w:val="20"/>
          <w:lang w:eastAsia="en-GB"/>
        </w:rPr>
        <w:t xml:space="preserve"> contribut</w:t>
      </w:r>
      <w:r w:rsidR="006A54C5">
        <w:rPr>
          <w:rFonts w:cs="Helvetica"/>
          <w:color w:val="595959"/>
          <w:szCs w:val="20"/>
          <w:lang w:eastAsia="en-GB"/>
        </w:rPr>
        <w:t>ing 14%.</w:t>
      </w:r>
      <w:r w:rsidR="009831A3">
        <w:rPr>
          <w:rFonts w:cs="Helvetica"/>
          <w:color w:val="595959"/>
          <w:szCs w:val="20"/>
          <w:lang w:eastAsia="en-GB"/>
        </w:rPr>
        <w:t xml:space="preserve">  </w:t>
      </w:r>
      <w:r w:rsidR="009D7A2B" w:rsidRPr="000D0304">
        <w:rPr>
          <w:rFonts w:cs="Helvetica"/>
          <w:color w:val="595959"/>
          <w:szCs w:val="20"/>
          <w:lang w:eastAsia="en-GB"/>
        </w:rPr>
        <w:t xml:space="preserve">Electricity and </w:t>
      </w:r>
      <w:r w:rsidR="00780623" w:rsidRPr="000D0304">
        <w:rPr>
          <w:rFonts w:cs="Helvetica"/>
          <w:color w:val="595959"/>
          <w:szCs w:val="20"/>
          <w:lang w:eastAsia="en-GB"/>
        </w:rPr>
        <w:t>direct process emissions</w:t>
      </w:r>
      <w:r w:rsidR="009D7A2B" w:rsidRPr="000D0304">
        <w:rPr>
          <w:rFonts w:cs="Helvetica"/>
          <w:color w:val="595959"/>
          <w:szCs w:val="20"/>
          <w:lang w:eastAsia="en-GB"/>
        </w:rPr>
        <w:t xml:space="preserve"> are also the most significant contributors </w:t>
      </w:r>
      <w:r w:rsidR="00E21AD4">
        <w:rPr>
          <w:rFonts w:cs="Helvetica"/>
          <w:color w:val="595959"/>
          <w:szCs w:val="20"/>
          <w:lang w:eastAsia="en-GB"/>
        </w:rPr>
        <w:t>in</w:t>
      </w:r>
      <w:r w:rsidR="00E21AD4" w:rsidRPr="000D0304">
        <w:rPr>
          <w:rFonts w:cs="Helvetica"/>
          <w:color w:val="595959"/>
          <w:szCs w:val="20"/>
          <w:lang w:eastAsia="en-GB"/>
        </w:rPr>
        <w:t xml:space="preserve"> </w:t>
      </w:r>
      <w:r w:rsidR="003B696A">
        <w:rPr>
          <w:rFonts w:cs="Helvetica"/>
          <w:color w:val="595959"/>
          <w:szCs w:val="20"/>
          <w:lang w:eastAsia="en-GB"/>
        </w:rPr>
        <w:t>three</w:t>
      </w:r>
      <w:r w:rsidR="003B696A" w:rsidRPr="000D0304">
        <w:rPr>
          <w:rFonts w:cs="Helvetica"/>
          <w:color w:val="595959"/>
          <w:szCs w:val="20"/>
          <w:lang w:eastAsia="en-GB"/>
        </w:rPr>
        <w:t xml:space="preserve"> </w:t>
      </w:r>
      <w:r w:rsidR="00151016" w:rsidRPr="000D0304">
        <w:rPr>
          <w:rFonts w:cs="Helvetica"/>
          <w:color w:val="595959"/>
          <w:szCs w:val="20"/>
          <w:lang w:eastAsia="en-GB"/>
        </w:rPr>
        <w:t>of the f</w:t>
      </w:r>
      <w:r w:rsidR="003B696A">
        <w:rPr>
          <w:rFonts w:cs="Helvetica"/>
          <w:color w:val="595959"/>
          <w:szCs w:val="20"/>
          <w:lang w:eastAsia="en-GB"/>
        </w:rPr>
        <w:t>our</w:t>
      </w:r>
      <w:r w:rsidR="00151016" w:rsidRPr="000D0304">
        <w:rPr>
          <w:rFonts w:cs="Helvetica"/>
          <w:color w:val="595959"/>
          <w:szCs w:val="20"/>
          <w:lang w:eastAsia="en-GB"/>
        </w:rPr>
        <w:t xml:space="preserve"> example </w:t>
      </w:r>
      <w:r w:rsidRPr="000D0304">
        <w:rPr>
          <w:rFonts w:cs="Helvetica"/>
          <w:color w:val="595959"/>
          <w:szCs w:val="20"/>
          <w:lang w:eastAsia="en-GB"/>
        </w:rPr>
        <w:t>scenarios</w:t>
      </w:r>
      <w:r w:rsidR="009831A3">
        <w:rPr>
          <w:rFonts w:cs="Helvetica"/>
          <w:color w:val="595959"/>
          <w:szCs w:val="20"/>
          <w:lang w:eastAsia="en-GB"/>
        </w:rPr>
        <w:t xml:space="preserve">.  </w:t>
      </w:r>
      <w:r w:rsidR="00151016" w:rsidRPr="000D0304">
        <w:rPr>
          <w:rFonts w:cs="Helvetica"/>
          <w:color w:val="595959"/>
          <w:szCs w:val="20"/>
          <w:lang w:eastAsia="en-GB"/>
        </w:rPr>
        <w:t>Scenar</w:t>
      </w:r>
      <w:r w:rsidR="009D7A2B" w:rsidRPr="000D0304">
        <w:rPr>
          <w:rFonts w:cs="Helvetica"/>
          <w:color w:val="595959"/>
          <w:szCs w:val="20"/>
          <w:lang w:eastAsia="en-GB"/>
        </w:rPr>
        <w:t>io</w:t>
      </w:r>
      <w:r w:rsidR="00453860">
        <w:rPr>
          <w:rFonts w:cs="Helvetica"/>
          <w:color w:val="595959"/>
          <w:szCs w:val="20"/>
          <w:lang w:eastAsia="en-GB"/>
        </w:rPr>
        <w:t xml:space="preserve"> </w:t>
      </w:r>
      <w:r w:rsidR="001023CD">
        <w:rPr>
          <w:rFonts w:cs="Helvetica"/>
          <w:color w:val="595959"/>
          <w:szCs w:val="20"/>
          <w:lang w:eastAsia="en-GB"/>
        </w:rPr>
        <w:t>4</w:t>
      </w:r>
      <w:r w:rsidR="009D7A2B" w:rsidRPr="000D0304">
        <w:rPr>
          <w:rFonts w:cs="Helvetica"/>
          <w:color w:val="595959"/>
          <w:szCs w:val="20"/>
          <w:lang w:eastAsia="en-GB"/>
        </w:rPr>
        <w:t xml:space="preserve">, </w:t>
      </w:r>
      <w:r w:rsidR="00ED1581" w:rsidRPr="000D0304">
        <w:rPr>
          <w:rFonts w:cs="Helvetica"/>
          <w:color w:val="595959"/>
          <w:szCs w:val="20"/>
          <w:lang w:eastAsia="en-GB"/>
        </w:rPr>
        <w:t>where</w:t>
      </w:r>
      <w:r w:rsidR="009D7A2B" w:rsidRPr="000D0304">
        <w:rPr>
          <w:rFonts w:cs="Helvetica"/>
          <w:color w:val="595959"/>
          <w:szCs w:val="20"/>
          <w:lang w:eastAsia="en-GB"/>
        </w:rPr>
        <w:t xml:space="preserve"> hydropower </w:t>
      </w:r>
      <w:r w:rsidR="00151016" w:rsidRPr="000D0304">
        <w:rPr>
          <w:rFonts w:cs="Helvetica"/>
          <w:color w:val="595959"/>
          <w:szCs w:val="20"/>
          <w:lang w:eastAsia="en-GB"/>
        </w:rPr>
        <w:t xml:space="preserve">electricity dominates, </w:t>
      </w:r>
      <w:r w:rsidR="00780623" w:rsidRPr="000D0304">
        <w:rPr>
          <w:rFonts w:cs="Helvetica"/>
          <w:color w:val="595959"/>
          <w:szCs w:val="20"/>
          <w:lang w:eastAsia="en-GB"/>
        </w:rPr>
        <w:t>is</w:t>
      </w:r>
      <w:r w:rsidR="00ED1581" w:rsidRPr="000D0304">
        <w:rPr>
          <w:rFonts w:cs="Helvetica"/>
          <w:color w:val="595959"/>
          <w:szCs w:val="20"/>
          <w:lang w:eastAsia="en-GB"/>
        </w:rPr>
        <w:t xml:space="preserve"> the exception to this</w:t>
      </w:r>
      <w:r w:rsidR="00780623" w:rsidRPr="000D0304">
        <w:rPr>
          <w:rFonts w:cs="Helvetica"/>
          <w:color w:val="595959"/>
          <w:szCs w:val="20"/>
          <w:lang w:eastAsia="en-GB"/>
        </w:rPr>
        <w:t xml:space="preserve">; </w:t>
      </w:r>
      <w:r w:rsidR="00ED1581" w:rsidRPr="000D0304">
        <w:rPr>
          <w:rFonts w:cs="Helvetica"/>
          <w:color w:val="595959"/>
          <w:szCs w:val="20"/>
          <w:lang w:eastAsia="en-GB"/>
        </w:rPr>
        <w:t>the main contributors</w:t>
      </w:r>
      <w:r w:rsidR="00780623" w:rsidRPr="000D0304">
        <w:rPr>
          <w:rFonts w:cs="Helvetica"/>
          <w:color w:val="595959"/>
          <w:szCs w:val="20"/>
          <w:lang w:eastAsia="en-GB"/>
        </w:rPr>
        <w:t xml:space="preserve"> are</w:t>
      </w:r>
      <w:r w:rsidR="00ED1581" w:rsidRPr="000D0304">
        <w:rPr>
          <w:rFonts w:cs="Helvetica"/>
          <w:color w:val="595959"/>
          <w:szCs w:val="20"/>
          <w:lang w:eastAsia="en-GB"/>
        </w:rPr>
        <w:t xml:space="preserve"> process emissions (</w:t>
      </w:r>
      <w:r w:rsidR="00FC28B9" w:rsidRPr="000D0304">
        <w:rPr>
          <w:rFonts w:cs="Helvetica"/>
          <w:color w:val="595959"/>
          <w:szCs w:val="20"/>
          <w:lang w:eastAsia="en-GB"/>
        </w:rPr>
        <w:t>4</w:t>
      </w:r>
      <w:r w:rsidR="00FC28B9">
        <w:rPr>
          <w:rFonts w:cs="Helvetica"/>
          <w:color w:val="595959"/>
          <w:szCs w:val="20"/>
          <w:lang w:eastAsia="en-GB"/>
        </w:rPr>
        <w:t>4</w:t>
      </w:r>
      <w:r w:rsidR="00ED1581" w:rsidRPr="000D0304">
        <w:rPr>
          <w:rFonts w:cs="Helvetica"/>
          <w:color w:val="595959"/>
          <w:szCs w:val="20"/>
          <w:lang w:eastAsia="en-GB"/>
        </w:rPr>
        <w:t>%) and thermal energy (</w:t>
      </w:r>
      <w:r w:rsidR="0024283A">
        <w:rPr>
          <w:rFonts w:cs="Helvetica"/>
          <w:color w:val="595959"/>
          <w:szCs w:val="20"/>
          <w:lang w:eastAsia="en-GB"/>
        </w:rPr>
        <w:t>2</w:t>
      </w:r>
      <w:r w:rsidR="00E21AD4">
        <w:rPr>
          <w:rFonts w:cs="Helvetica"/>
          <w:color w:val="595959"/>
          <w:szCs w:val="20"/>
          <w:lang w:eastAsia="en-GB"/>
        </w:rPr>
        <w:t>5</w:t>
      </w:r>
      <w:r w:rsidR="00ED1581" w:rsidRPr="000D0304">
        <w:rPr>
          <w:rFonts w:cs="Helvetica"/>
          <w:color w:val="595959"/>
          <w:szCs w:val="20"/>
          <w:lang w:eastAsia="en-GB"/>
        </w:rPr>
        <w:t>%)</w:t>
      </w:r>
      <w:r w:rsidR="009831A3">
        <w:rPr>
          <w:rFonts w:cs="Helvetica"/>
          <w:color w:val="595959"/>
          <w:szCs w:val="20"/>
          <w:lang w:eastAsia="en-GB"/>
        </w:rPr>
        <w:t xml:space="preserve">.  </w:t>
      </w:r>
    </w:p>
    <w:p w14:paraId="5C83267E" w14:textId="77777777" w:rsidR="00151016" w:rsidRPr="000D0304" w:rsidRDefault="00151016" w:rsidP="00B86E2D">
      <w:pPr>
        <w:spacing w:after="0" w:line="312" w:lineRule="auto"/>
        <w:contextualSpacing/>
        <w:jc w:val="both"/>
        <w:rPr>
          <w:rFonts w:cs="Helvetica"/>
          <w:color w:val="595959"/>
          <w:szCs w:val="20"/>
          <w:lang w:eastAsia="en-GB"/>
        </w:rPr>
      </w:pPr>
    </w:p>
    <w:p w14:paraId="2E6897DA" w14:textId="26320CA0" w:rsidR="00E21AD4" w:rsidRDefault="0020199D" w:rsidP="00B86E2D">
      <w:pPr>
        <w:spacing w:after="0" w:line="312" w:lineRule="auto"/>
        <w:contextualSpacing/>
        <w:jc w:val="both"/>
        <w:rPr>
          <w:rFonts w:cs="Helvetica"/>
          <w:color w:val="595959"/>
          <w:szCs w:val="20"/>
          <w:lang w:eastAsia="en-GB"/>
        </w:rPr>
      </w:pPr>
      <w:r>
        <w:rPr>
          <w:rFonts w:cs="Helvetica"/>
          <w:color w:val="595959"/>
          <w:szCs w:val="20"/>
          <w:lang w:eastAsia="en-GB"/>
        </w:rPr>
        <w:t>T</w:t>
      </w:r>
      <w:r w:rsidR="00780623" w:rsidRPr="000D0304">
        <w:rPr>
          <w:rFonts w:cs="Helvetica"/>
          <w:color w:val="595959"/>
          <w:szCs w:val="20"/>
          <w:lang w:eastAsia="en-GB"/>
        </w:rPr>
        <w:t xml:space="preserve">he </w:t>
      </w:r>
      <w:r w:rsidR="00E21AD4">
        <w:rPr>
          <w:rFonts w:cs="Helvetica"/>
          <w:color w:val="595959"/>
          <w:szCs w:val="20"/>
          <w:lang w:eastAsia="en-GB"/>
        </w:rPr>
        <w:t xml:space="preserve">share of </w:t>
      </w:r>
      <w:r>
        <w:rPr>
          <w:rFonts w:cs="Helvetica"/>
          <w:color w:val="595959"/>
          <w:szCs w:val="20"/>
          <w:lang w:eastAsia="en-GB"/>
        </w:rPr>
        <w:t>coal and oil</w:t>
      </w:r>
      <w:r w:rsidR="00780623" w:rsidRPr="000D0304">
        <w:rPr>
          <w:rFonts w:cs="Helvetica"/>
          <w:color w:val="595959"/>
          <w:szCs w:val="20"/>
          <w:lang w:eastAsia="en-GB"/>
        </w:rPr>
        <w:t xml:space="preserve"> </w:t>
      </w:r>
      <w:r w:rsidR="00E21AD4">
        <w:rPr>
          <w:rFonts w:cs="Helvetica"/>
          <w:color w:val="595959"/>
          <w:szCs w:val="20"/>
          <w:lang w:eastAsia="en-GB"/>
        </w:rPr>
        <w:t xml:space="preserve">consumed by the </w:t>
      </w:r>
      <w:r>
        <w:rPr>
          <w:rFonts w:cs="Helvetica"/>
          <w:color w:val="595959"/>
          <w:szCs w:val="20"/>
          <w:lang w:eastAsia="en-GB"/>
        </w:rPr>
        <w:t xml:space="preserve">production of both alumina and </w:t>
      </w:r>
      <w:r w:rsidR="00E21AD4">
        <w:rPr>
          <w:rFonts w:cs="Helvetica"/>
          <w:color w:val="595959"/>
          <w:szCs w:val="20"/>
          <w:lang w:eastAsia="en-GB"/>
        </w:rPr>
        <w:t xml:space="preserve">aluminium has </w:t>
      </w:r>
      <w:r>
        <w:rPr>
          <w:rFonts w:cs="Helvetica"/>
          <w:color w:val="595959"/>
          <w:szCs w:val="20"/>
          <w:lang w:eastAsia="en-GB"/>
        </w:rPr>
        <w:t xml:space="preserve">decreased </w:t>
      </w:r>
      <w:r w:rsidR="00E21AD4">
        <w:rPr>
          <w:rFonts w:cs="Helvetica"/>
          <w:color w:val="595959"/>
          <w:szCs w:val="20"/>
          <w:lang w:eastAsia="en-GB"/>
        </w:rPr>
        <w:t>over the past decade</w:t>
      </w:r>
      <w:r w:rsidR="00073B0F">
        <w:rPr>
          <w:rStyle w:val="FootnoteReference"/>
          <w:rFonts w:cs="Helvetica"/>
          <w:color w:val="595959"/>
          <w:szCs w:val="20"/>
          <w:lang w:eastAsia="en-GB"/>
        </w:rPr>
        <w:footnoteReference w:id="6"/>
      </w:r>
      <w:r>
        <w:rPr>
          <w:rFonts w:cs="Helvetica"/>
          <w:color w:val="595959"/>
          <w:szCs w:val="20"/>
          <w:lang w:eastAsia="en-GB"/>
        </w:rPr>
        <w:t>.</w:t>
      </w:r>
      <w:r w:rsidR="00E21AD4">
        <w:rPr>
          <w:rFonts w:cs="Helvetica"/>
          <w:color w:val="595959"/>
          <w:szCs w:val="20"/>
          <w:lang w:eastAsia="en-GB"/>
        </w:rPr>
        <w:t xml:space="preserve"> </w:t>
      </w:r>
      <w:r w:rsidR="00780623" w:rsidRPr="000D0304">
        <w:rPr>
          <w:rFonts w:cs="Helvetica"/>
          <w:color w:val="595959"/>
          <w:szCs w:val="20"/>
          <w:lang w:eastAsia="en-GB"/>
        </w:rPr>
        <w:t xml:space="preserve"> </w:t>
      </w:r>
      <w:r>
        <w:rPr>
          <w:rFonts w:cs="Helvetica"/>
          <w:color w:val="595959"/>
          <w:szCs w:val="20"/>
          <w:lang w:eastAsia="en-GB"/>
        </w:rPr>
        <w:t xml:space="preserve">Also, </w:t>
      </w:r>
      <w:r w:rsidR="00780623" w:rsidRPr="000D0304">
        <w:rPr>
          <w:rFonts w:cs="Helvetica"/>
          <w:color w:val="595959"/>
          <w:szCs w:val="20"/>
          <w:lang w:eastAsia="en-GB"/>
        </w:rPr>
        <w:t>the</w:t>
      </w:r>
      <w:r w:rsidR="00E91821" w:rsidRPr="000D0304">
        <w:rPr>
          <w:rFonts w:cs="Helvetica"/>
          <w:color w:val="595959"/>
          <w:szCs w:val="20"/>
          <w:lang w:eastAsia="en-GB"/>
        </w:rPr>
        <w:t xml:space="preserve"> </w:t>
      </w:r>
      <w:r w:rsidR="00780623" w:rsidRPr="000D0304">
        <w:rPr>
          <w:rFonts w:cs="Helvetica"/>
          <w:color w:val="595959"/>
          <w:szCs w:val="20"/>
          <w:lang w:eastAsia="en-GB"/>
        </w:rPr>
        <w:t>us</w:t>
      </w:r>
      <w:r w:rsidR="00E91821" w:rsidRPr="000D0304">
        <w:rPr>
          <w:rFonts w:cs="Helvetica"/>
          <w:color w:val="595959"/>
          <w:szCs w:val="20"/>
          <w:lang w:eastAsia="en-GB"/>
        </w:rPr>
        <w:t xml:space="preserve">e of </w:t>
      </w:r>
      <w:r w:rsidR="00780623" w:rsidRPr="000D0304">
        <w:rPr>
          <w:rFonts w:cs="Helvetica"/>
          <w:color w:val="595959"/>
          <w:szCs w:val="20"/>
          <w:lang w:eastAsia="en-GB"/>
        </w:rPr>
        <w:t xml:space="preserve">best available </w:t>
      </w:r>
      <w:r w:rsidR="00E21AD4">
        <w:rPr>
          <w:rFonts w:cs="Helvetica"/>
          <w:color w:val="595959"/>
          <w:szCs w:val="20"/>
          <w:lang w:eastAsia="en-GB"/>
        </w:rPr>
        <w:t xml:space="preserve">smelting </w:t>
      </w:r>
      <w:r w:rsidR="00780623" w:rsidRPr="000D0304">
        <w:rPr>
          <w:rFonts w:cs="Helvetica"/>
          <w:color w:val="595959"/>
          <w:szCs w:val="20"/>
          <w:lang w:eastAsia="en-GB"/>
        </w:rPr>
        <w:t>technolog</w:t>
      </w:r>
      <w:r w:rsidR="00E21AD4">
        <w:rPr>
          <w:rFonts w:cs="Helvetica"/>
          <w:color w:val="595959"/>
          <w:szCs w:val="20"/>
          <w:lang w:eastAsia="en-GB"/>
        </w:rPr>
        <w:t>ies</w:t>
      </w:r>
      <w:r w:rsidR="00E91821" w:rsidRPr="000D0304">
        <w:rPr>
          <w:rFonts w:cs="Helvetica"/>
          <w:color w:val="595959"/>
          <w:szCs w:val="20"/>
          <w:lang w:eastAsia="en-GB"/>
        </w:rPr>
        <w:t xml:space="preserve"> in </w:t>
      </w:r>
      <w:r>
        <w:rPr>
          <w:rFonts w:cs="Helvetica"/>
          <w:color w:val="595959"/>
          <w:szCs w:val="20"/>
          <w:lang w:eastAsia="en-GB"/>
        </w:rPr>
        <w:t>the new capacity</w:t>
      </w:r>
      <w:r w:rsidR="00E91821" w:rsidRPr="000D0304">
        <w:rPr>
          <w:rFonts w:cs="Helvetica"/>
          <w:color w:val="595959"/>
          <w:szCs w:val="20"/>
          <w:lang w:eastAsia="en-GB"/>
        </w:rPr>
        <w:t xml:space="preserve">, paired with the </w:t>
      </w:r>
      <w:r w:rsidR="00780623" w:rsidRPr="000D0304">
        <w:rPr>
          <w:rFonts w:cs="Helvetica"/>
          <w:color w:val="595959"/>
          <w:szCs w:val="20"/>
          <w:lang w:eastAsia="en-GB"/>
        </w:rPr>
        <w:t>closure of old</w:t>
      </w:r>
      <w:r w:rsidR="00E21AD4">
        <w:rPr>
          <w:rFonts w:cs="Helvetica"/>
          <w:color w:val="595959"/>
          <w:szCs w:val="20"/>
          <w:lang w:eastAsia="en-GB"/>
        </w:rPr>
        <w:t>er, less efficient</w:t>
      </w:r>
      <w:r w:rsidR="00780623" w:rsidRPr="000D0304">
        <w:rPr>
          <w:rFonts w:cs="Helvetica"/>
          <w:color w:val="595959"/>
          <w:szCs w:val="20"/>
          <w:lang w:eastAsia="en-GB"/>
        </w:rPr>
        <w:t xml:space="preserve"> facilities has reduced </w:t>
      </w:r>
      <w:r w:rsidR="00E21AD4">
        <w:rPr>
          <w:rFonts w:cs="Helvetica"/>
          <w:color w:val="595959"/>
          <w:szCs w:val="20"/>
          <w:lang w:eastAsia="en-GB"/>
        </w:rPr>
        <w:t xml:space="preserve">process </w:t>
      </w:r>
      <w:r w:rsidR="00151016" w:rsidRPr="000D0304">
        <w:rPr>
          <w:rFonts w:cs="Helvetica"/>
          <w:color w:val="595959"/>
          <w:szCs w:val="20"/>
          <w:lang w:eastAsia="en-GB"/>
        </w:rPr>
        <w:t>energy intensity</w:t>
      </w:r>
      <w:r w:rsidR="00073B0F">
        <w:rPr>
          <w:rStyle w:val="FootnoteReference"/>
          <w:rFonts w:cs="Helvetica"/>
          <w:color w:val="595959"/>
          <w:szCs w:val="20"/>
          <w:lang w:eastAsia="en-GB"/>
        </w:rPr>
        <w:footnoteReference w:id="7"/>
      </w:r>
      <w:r w:rsidR="00E21AD4">
        <w:rPr>
          <w:rFonts w:cs="Helvetica"/>
          <w:color w:val="595959"/>
          <w:szCs w:val="20"/>
          <w:lang w:eastAsia="en-GB"/>
        </w:rPr>
        <w:t xml:space="preserve">. </w:t>
      </w:r>
    </w:p>
    <w:p w14:paraId="7D964522" w14:textId="77777777" w:rsidR="00E21AD4" w:rsidRDefault="00E21AD4" w:rsidP="00B86E2D">
      <w:pPr>
        <w:spacing w:after="0" w:line="312" w:lineRule="auto"/>
        <w:contextualSpacing/>
        <w:jc w:val="both"/>
        <w:rPr>
          <w:rFonts w:cs="Helvetica"/>
          <w:color w:val="595959"/>
          <w:szCs w:val="20"/>
          <w:lang w:eastAsia="en-GB"/>
        </w:rPr>
      </w:pPr>
    </w:p>
    <w:p w14:paraId="08E71960" w14:textId="77777777" w:rsidR="006D76FD" w:rsidRPr="000D0304" w:rsidRDefault="006D76FD" w:rsidP="00DA5301">
      <w:pPr>
        <w:pStyle w:val="Heading3"/>
      </w:pPr>
      <w:bookmarkStart w:id="241" w:name="_Toc480555256"/>
      <w:bookmarkStart w:id="242" w:name="_Toc480555342"/>
      <w:bookmarkStart w:id="243" w:name="_Toc480555428"/>
      <w:bookmarkStart w:id="244" w:name="_Toc480555510"/>
      <w:bookmarkStart w:id="245" w:name="_Toc480971465"/>
      <w:bookmarkStart w:id="246" w:name="_Toc120111958"/>
      <w:bookmarkEnd w:id="241"/>
      <w:bookmarkEnd w:id="242"/>
      <w:bookmarkEnd w:id="243"/>
      <w:bookmarkEnd w:id="244"/>
      <w:bookmarkEnd w:id="245"/>
      <w:r w:rsidRPr="000D0304">
        <w:t>Limitations</w:t>
      </w:r>
      <w:bookmarkEnd w:id="246"/>
    </w:p>
    <w:p w14:paraId="24C51A45" w14:textId="0EEB9327" w:rsidR="00343DE9" w:rsidRPr="000D0304" w:rsidRDefault="00343DE9" w:rsidP="009E11C8">
      <w:pPr>
        <w:spacing w:after="0" w:line="312" w:lineRule="auto"/>
        <w:contextualSpacing/>
        <w:jc w:val="both"/>
        <w:rPr>
          <w:rFonts w:cs="Helvetica"/>
          <w:color w:val="595959"/>
          <w:szCs w:val="20"/>
          <w:lang w:eastAsia="en-GB"/>
        </w:rPr>
      </w:pPr>
      <w:r w:rsidRPr="000D0304">
        <w:rPr>
          <w:rFonts w:cs="Helvetica"/>
          <w:b/>
          <w:color w:val="595959"/>
          <w:szCs w:val="20"/>
          <w:lang w:eastAsia="en-GB"/>
        </w:rPr>
        <w:t>Data quality:</w:t>
      </w:r>
      <w:r w:rsidRPr="000D0304">
        <w:rPr>
          <w:rFonts w:cs="Helvetica"/>
          <w:color w:val="595959"/>
          <w:szCs w:val="20"/>
          <w:lang w:eastAsia="en-GB"/>
        </w:rPr>
        <w:t xml:space="preserve"> </w:t>
      </w:r>
      <w:r w:rsidR="00273C3F" w:rsidRPr="000D0304">
        <w:rPr>
          <w:rFonts w:cs="Helvetica"/>
          <w:color w:val="595959"/>
          <w:szCs w:val="20"/>
          <w:lang w:eastAsia="en-GB"/>
        </w:rPr>
        <w:t>a</w:t>
      </w:r>
      <w:r w:rsidRPr="000D0304">
        <w:rPr>
          <w:rFonts w:cs="Helvetica"/>
          <w:color w:val="595959"/>
          <w:szCs w:val="20"/>
          <w:lang w:eastAsia="en-GB"/>
        </w:rPr>
        <w:t xml:space="preserve">s reported in </w:t>
      </w:r>
      <w:r w:rsidR="00273C3F" w:rsidRPr="000D0304">
        <w:rPr>
          <w:rFonts w:cs="Helvetica"/>
          <w:color w:val="595959"/>
          <w:szCs w:val="20"/>
          <w:lang w:eastAsia="en-GB"/>
        </w:rPr>
        <w:t>Chapter 2</w:t>
      </w:r>
      <w:r w:rsidRPr="000D0304">
        <w:rPr>
          <w:rFonts w:cs="Helvetica"/>
          <w:color w:val="595959"/>
          <w:szCs w:val="20"/>
          <w:lang w:eastAsia="en-GB"/>
        </w:rPr>
        <w:t xml:space="preserve">, all reported data points were checked individually </w:t>
      </w:r>
      <w:r w:rsidR="00273C3F" w:rsidRPr="000D0304">
        <w:rPr>
          <w:rFonts w:cs="Helvetica"/>
          <w:color w:val="595959"/>
          <w:szCs w:val="20"/>
          <w:lang w:eastAsia="en-GB"/>
        </w:rPr>
        <w:t>using</w:t>
      </w:r>
      <w:r w:rsidRPr="000D0304">
        <w:rPr>
          <w:rFonts w:cs="Helvetica"/>
          <w:color w:val="595959"/>
          <w:szCs w:val="20"/>
          <w:lang w:eastAsia="en-GB"/>
        </w:rPr>
        <w:t xml:space="preserve"> a systematic approach</w:t>
      </w:r>
      <w:r w:rsidR="009831A3">
        <w:rPr>
          <w:rFonts w:cs="Helvetica"/>
          <w:color w:val="595959"/>
          <w:szCs w:val="20"/>
          <w:lang w:eastAsia="en-GB"/>
        </w:rPr>
        <w:t xml:space="preserve">.  </w:t>
      </w:r>
      <w:r w:rsidRPr="000D0304">
        <w:rPr>
          <w:rFonts w:cs="Helvetica"/>
          <w:color w:val="595959"/>
          <w:szCs w:val="20"/>
          <w:lang w:eastAsia="en-GB"/>
        </w:rPr>
        <w:t xml:space="preserve">Significant variations (+/- 2STD) in reported data, </w:t>
      </w:r>
      <w:r w:rsidR="00273C3F" w:rsidRPr="000D0304">
        <w:rPr>
          <w:rFonts w:cs="Helvetica"/>
          <w:color w:val="595959"/>
          <w:szCs w:val="20"/>
          <w:lang w:eastAsia="en-GB"/>
        </w:rPr>
        <w:t>or +/- 1</w:t>
      </w:r>
      <w:r w:rsidR="00F1299F">
        <w:rPr>
          <w:rFonts w:cs="Helvetica"/>
          <w:color w:val="595959"/>
          <w:szCs w:val="20"/>
          <w:lang w:eastAsia="en-GB"/>
        </w:rPr>
        <w:t>5</w:t>
      </w:r>
      <w:r w:rsidR="00273C3F" w:rsidRPr="000D0304">
        <w:rPr>
          <w:rFonts w:cs="Helvetica"/>
          <w:color w:val="595959"/>
          <w:szCs w:val="20"/>
          <w:lang w:eastAsia="en-GB"/>
        </w:rPr>
        <w:t xml:space="preserve">% </w:t>
      </w:r>
      <w:r w:rsidRPr="000D0304">
        <w:rPr>
          <w:rFonts w:cs="Helvetica"/>
          <w:color w:val="595959"/>
          <w:szCs w:val="20"/>
          <w:lang w:eastAsia="en-GB"/>
        </w:rPr>
        <w:t xml:space="preserve">when compared with </w:t>
      </w:r>
      <w:r w:rsidR="0020199D" w:rsidRPr="000D0304">
        <w:rPr>
          <w:rFonts w:cs="Helvetica"/>
          <w:color w:val="595959"/>
          <w:szCs w:val="20"/>
          <w:lang w:eastAsia="en-GB"/>
        </w:rPr>
        <w:t>201</w:t>
      </w:r>
      <w:r w:rsidR="0020199D">
        <w:rPr>
          <w:rFonts w:cs="Helvetica"/>
          <w:color w:val="595959"/>
          <w:szCs w:val="20"/>
          <w:lang w:eastAsia="en-GB"/>
        </w:rPr>
        <w:t>5</w:t>
      </w:r>
      <w:r w:rsidR="0020199D" w:rsidRPr="000D0304">
        <w:rPr>
          <w:rFonts w:cs="Helvetica"/>
          <w:color w:val="595959"/>
          <w:szCs w:val="20"/>
          <w:lang w:eastAsia="en-GB"/>
        </w:rPr>
        <w:t xml:space="preserve"> </w:t>
      </w:r>
      <w:r w:rsidR="00FE1B02" w:rsidRPr="000D0304">
        <w:rPr>
          <w:rFonts w:cs="Helvetica"/>
          <w:color w:val="595959"/>
          <w:szCs w:val="20"/>
          <w:lang w:eastAsia="en-GB"/>
        </w:rPr>
        <w:t xml:space="preserve">data and without obvious reason </w:t>
      </w:r>
      <w:r w:rsidR="00A443DA">
        <w:rPr>
          <w:rFonts w:cs="Helvetica"/>
          <w:color w:val="595959"/>
          <w:szCs w:val="20"/>
          <w:lang w:eastAsia="en-GB"/>
        </w:rPr>
        <w:t>(</w:t>
      </w:r>
      <w:r w:rsidR="00FE1B02" w:rsidRPr="000D0304">
        <w:rPr>
          <w:rFonts w:cs="Helvetica"/>
          <w:color w:val="595959"/>
          <w:szCs w:val="20"/>
          <w:lang w:eastAsia="en-GB"/>
        </w:rPr>
        <w:t>e.g</w:t>
      </w:r>
      <w:r w:rsidR="00A443DA">
        <w:rPr>
          <w:rFonts w:cs="Helvetica"/>
          <w:color w:val="595959"/>
          <w:szCs w:val="20"/>
          <w:lang w:eastAsia="en-GB"/>
        </w:rPr>
        <w:t xml:space="preserve">. </w:t>
      </w:r>
      <w:r w:rsidR="00FE1B02" w:rsidRPr="000D0304">
        <w:rPr>
          <w:rFonts w:cs="Helvetica"/>
          <w:color w:val="595959"/>
          <w:szCs w:val="20"/>
          <w:lang w:eastAsia="en-GB"/>
        </w:rPr>
        <w:t>production change</w:t>
      </w:r>
      <w:r w:rsidR="00A443DA">
        <w:rPr>
          <w:rFonts w:cs="Helvetica"/>
          <w:color w:val="595959"/>
          <w:szCs w:val="20"/>
          <w:lang w:eastAsia="en-GB"/>
        </w:rPr>
        <w:t>)</w:t>
      </w:r>
      <w:r w:rsidR="00FE1B02" w:rsidRPr="000D0304">
        <w:rPr>
          <w:rFonts w:cs="Helvetica"/>
          <w:color w:val="595959"/>
          <w:szCs w:val="20"/>
          <w:lang w:eastAsia="en-GB"/>
        </w:rPr>
        <w:t xml:space="preserve">, </w:t>
      </w:r>
      <w:r w:rsidRPr="000D0304">
        <w:rPr>
          <w:rFonts w:cs="Helvetica"/>
          <w:color w:val="595959"/>
          <w:szCs w:val="20"/>
          <w:lang w:eastAsia="en-GB"/>
        </w:rPr>
        <w:t>were queried with reporters and either confirmed or amended as appropriate</w:t>
      </w:r>
      <w:r w:rsidR="009831A3">
        <w:rPr>
          <w:rFonts w:cs="Helvetica"/>
          <w:color w:val="595959"/>
          <w:szCs w:val="20"/>
          <w:lang w:eastAsia="en-GB"/>
        </w:rPr>
        <w:t xml:space="preserve">.  </w:t>
      </w:r>
      <w:r w:rsidR="00CA3C45" w:rsidRPr="000D0304">
        <w:rPr>
          <w:rFonts w:cs="Helvetica"/>
          <w:color w:val="595959"/>
          <w:szCs w:val="20"/>
          <w:lang w:eastAsia="en-GB"/>
        </w:rPr>
        <w:t>S</w:t>
      </w:r>
      <w:r w:rsidR="00D00640" w:rsidRPr="000D0304">
        <w:rPr>
          <w:rFonts w:cs="Helvetica"/>
          <w:color w:val="595959"/>
          <w:szCs w:val="20"/>
          <w:lang w:eastAsia="en-GB"/>
        </w:rPr>
        <w:t xml:space="preserve">urvey data quality is also dependent on the interpretation of the reporter </w:t>
      </w:r>
      <w:r w:rsidR="00CA3C45" w:rsidRPr="000D0304">
        <w:rPr>
          <w:rFonts w:cs="Helvetica"/>
          <w:color w:val="595959"/>
          <w:szCs w:val="20"/>
          <w:lang w:eastAsia="en-GB"/>
        </w:rPr>
        <w:t>on</w:t>
      </w:r>
      <w:r w:rsidR="00D00640" w:rsidRPr="000D0304">
        <w:rPr>
          <w:rFonts w:cs="Helvetica"/>
          <w:color w:val="595959"/>
          <w:szCs w:val="20"/>
          <w:lang w:eastAsia="en-GB"/>
        </w:rPr>
        <w:t xml:space="preserve"> the scope of the data point</w:t>
      </w:r>
      <w:r w:rsidR="00257C24" w:rsidRPr="000D0304">
        <w:rPr>
          <w:rFonts w:cs="Helvetica"/>
          <w:color w:val="595959"/>
          <w:szCs w:val="20"/>
          <w:lang w:eastAsia="en-GB"/>
        </w:rPr>
        <w:t xml:space="preserve"> being surveyed</w:t>
      </w:r>
      <w:r w:rsidR="009831A3">
        <w:rPr>
          <w:rFonts w:cs="Helvetica"/>
          <w:color w:val="595959"/>
          <w:szCs w:val="20"/>
          <w:lang w:eastAsia="en-GB"/>
        </w:rPr>
        <w:t xml:space="preserve">.  </w:t>
      </w:r>
      <w:r w:rsidR="00D00640" w:rsidRPr="000D0304">
        <w:rPr>
          <w:rFonts w:cs="Helvetica"/>
          <w:color w:val="595959"/>
          <w:szCs w:val="20"/>
          <w:lang w:eastAsia="en-GB"/>
        </w:rPr>
        <w:t xml:space="preserve">IAI includes detailed notes </w:t>
      </w:r>
      <w:r w:rsidR="00FE1B02" w:rsidRPr="000D0304">
        <w:rPr>
          <w:rFonts w:cs="Helvetica"/>
          <w:color w:val="595959"/>
          <w:szCs w:val="20"/>
          <w:lang w:eastAsia="en-GB"/>
        </w:rPr>
        <w:t xml:space="preserve">in the LCI survey sent to reporters </w:t>
      </w:r>
      <w:r w:rsidR="00D00640" w:rsidRPr="000D0304">
        <w:rPr>
          <w:rFonts w:cs="Helvetica"/>
          <w:color w:val="595959"/>
          <w:szCs w:val="20"/>
          <w:lang w:eastAsia="en-GB"/>
        </w:rPr>
        <w:t xml:space="preserve">about data points that </w:t>
      </w:r>
      <w:r w:rsidR="00117712" w:rsidRPr="000D0304">
        <w:rPr>
          <w:rFonts w:cs="Helvetica"/>
          <w:color w:val="595959"/>
          <w:szCs w:val="20"/>
          <w:lang w:eastAsia="en-GB"/>
        </w:rPr>
        <w:t>are</w:t>
      </w:r>
      <w:r w:rsidR="00D00640" w:rsidRPr="000D0304">
        <w:rPr>
          <w:rFonts w:cs="Helvetica"/>
          <w:color w:val="595959"/>
          <w:szCs w:val="20"/>
          <w:lang w:eastAsia="en-GB"/>
        </w:rPr>
        <w:t xml:space="preserve"> open to greater interpretation </w:t>
      </w:r>
      <w:r w:rsidR="00117712" w:rsidRPr="000D0304">
        <w:rPr>
          <w:rFonts w:cs="Helvetica"/>
          <w:color w:val="595959"/>
          <w:szCs w:val="20"/>
          <w:lang w:eastAsia="en-GB"/>
        </w:rPr>
        <w:t>to</w:t>
      </w:r>
      <w:r w:rsidR="00D00640" w:rsidRPr="000D0304">
        <w:rPr>
          <w:rFonts w:cs="Helvetica"/>
          <w:color w:val="595959"/>
          <w:szCs w:val="20"/>
          <w:lang w:eastAsia="en-GB"/>
        </w:rPr>
        <w:t xml:space="preserve"> encourage </w:t>
      </w:r>
      <w:r w:rsidR="00FE1B02" w:rsidRPr="000D0304">
        <w:rPr>
          <w:rFonts w:cs="Helvetica"/>
          <w:color w:val="595959"/>
          <w:szCs w:val="20"/>
          <w:lang w:eastAsia="en-GB"/>
        </w:rPr>
        <w:t xml:space="preserve">consistent reporting of </w:t>
      </w:r>
      <w:r w:rsidR="00D00640" w:rsidRPr="000D0304">
        <w:rPr>
          <w:rFonts w:cs="Helvetica"/>
          <w:color w:val="595959"/>
          <w:szCs w:val="20"/>
          <w:lang w:eastAsia="en-GB"/>
        </w:rPr>
        <w:t>data</w:t>
      </w:r>
      <w:r w:rsidR="009831A3">
        <w:rPr>
          <w:rFonts w:cs="Helvetica"/>
          <w:color w:val="595959"/>
          <w:szCs w:val="20"/>
          <w:lang w:eastAsia="en-GB"/>
        </w:rPr>
        <w:t xml:space="preserve">.  </w:t>
      </w:r>
    </w:p>
    <w:p w14:paraId="388D8ADB" w14:textId="77777777" w:rsidR="00343DE9" w:rsidRPr="000D0304" w:rsidRDefault="00343DE9" w:rsidP="009E11C8">
      <w:pPr>
        <w:spacing w:after="0" w:line="312" w:lineRule="auto"/>
        <w:contextualSpacing/>
        <w:jc w:val="both"/>
        <w:rPr>
          <w:rFonts w:cs="Helvetica"/>
          <w:color w:val="595959"/>
          <w:szCs w:val="20"/>
          <w:lang w:eastAsia="en-GB"/>
        </w:rPr>
      </w:pPr>
    </w:p>
    <w:p w14:paraId="2914B978" w14:textId="6C6CEDB4" w:rsidR="00343DE9" w:rsidRPr="000D0304" w:rsidRDefault="00343DE9" w:rsidP="009E11C8">
      <w:pPr>
        <w:spacing w:after="0" w:line="312" w:lineRule="auto"/>
        <w:contextualSpacing/>
        <w:jc w:val="both"/>
        <w:rPr>
          <w:rFonts w:cs="Helvetica"/>
          <w:b/>
          <w:color w:val="595959"/>
          <w:szCs w:val="20"/>
          <w:lang w:eastAsia="en-GB"/>
        </w:rPr>
      </w:pPr>
      <w:r w:rsidRPr="000D0304">
        <w:rPr>
          <w:rFonts w:cs="Helvetica"/>
          <w:b/>
          <w:color w:val="595959"/>
          <w:szCs w:val="20"/>
          <w:lang w:eastAsia="en-GB"/>
        </w:rPr>
        <w:t xml:space="preserve">Reporting rates: </w:t>
      </w:r>
      <w:r w:rsidR="00D00640" w:rsidRPr="000D0304">
        <w:rPr>
          <w:rFonts w:cs="Helvetica"/>
          <w:color w:val="595959"/>
          <w:szCs w:val="20"/>
          <w:lang w:eastAsia="en-GB"/>
        </w:rPr>
        <w:t xml:space="preserve">reporting rates for the life cycle inventory survey </w:t>
      </w:r>
      <w:r w:rsidR="00A443DA">
        <w:rPr>
          <w:rFonts w:cs="Helvetica"/>
          <w:color w:val="595959"/>
          <w:szCs w:val="20"/>
          <w:lang w:eastAsia="en-GB"/>
        </w:rPr>
        <w:t>are</w:t>
      </w:r>
      <w:r w:rsidR="00D00640" w:rsidRPr="000D0304">
        <w:rPr>
          <w:rFonts w:cs="Helvetica"/>
          <w:color w:val="595959"/>
          <w:szCs w:val="20"/>
          <w:lang w:eastAsia="en-GB"/>
        </w:rPr>
        <w:t xml:space="preserve"> discussed in Chapter 2</w:t>
      </w:r>
      <w:r w:rsidR="009831A3">
        <w:rPr>
          <w:rFonts w:cs="Helvetica"/>
          <w:color w:val="595959"/>
          <w:szCs w:val="20"/>
          <w:lang w:eastAsia="en-GB"/>
        </w:rPr>
        <w:t xml:space="preserve">.  </w:t>
      </w:r>
      <w:r w:rsidR="00D00640" w:rsidRPr="000D0304">
        <w:rPr>
          <w:rFonts w:cs="Helvetica"/>
          <w:color w:val="595959"/>
          <w:szCs w:val="20"/>
          <w:lang w:eastAsia="en-GB"/>
        </w:rPr>
        <w:t>Reporting rates for individual data points vary and</w:t>
      </w:r>
      <w:r w:rsidR="00A443DA">
        <w:rPr>
          <w:rFonts w:cs="Helvetica"/>
          <w:color w:val="595959"/>
          <w:szCs w:val="20"/>
          <w:lang w:eastAsia="en-GB"/>
        </w:rPr>
        <w:t>,</w:t>
      </w:r>
      <w:r w:rsidR="00D00640" w:rsidRPr="000D0304">
        <w:rPr>
          <w:rFonts w:cs="Helvetica"/>
          <w:color w:val="595959"/>
          <w:szCs w:val="20"/>
          <w:lang w:eastAsia="en-GB"/>
        </w:rPr>
        <w:t xml:space="preserve"> </w:t>
      </w:r>
      <w:r w:rsidR="00B42259" w:rsidRPr="000D0304">
        <w:rPr>
          <w:rFonts w:cs="Helvetica"/>
          <w:color w:val="595959"/>
          <w:szCs w:val="20"/>
          <w:lang w:eastAsia="en-GB"/>
        </w:rPr>
        <w:t xml:space="preserve">for </w:t>
      </w:r>
      <w:r w:rsidR="00D00640" w:rsidRPr="000D0304">
        <w:rPr>
          <w:rFonts w:cs="Helvetica"/>
          <w:color w:val="595959"/>
          <w:szCs w:val="20"/>
          <w:lang w:eastAsia="en-GB"/>
        </w:rPr>
        <w:t>some</w:t>
      </w:r>
      <w:r w:rsidR="00B42259" w:rsidRPr="000D0304">
        <w:rPr>
          <w:rFonts w:cs="Helvetica"/>
          <w:color w:val="595959"/>
          <w:szCs w:val="20"/>
          <w:lang w:eastAsia="en-GB"/>
        </w:rPr>
        <w:t xml:space="preserve">, </w:t>
      </w:r>
      <w:r w:rsidR="00007DDB" w:rsidRPr="000D0304">
        <w:rPr>
          <w:rFonts w:cs="Helvetica"/>
          <w:color w:val="595959"/>
          <w:szCs w:val="20"/>
          <w:lang w:eastAsia="en-GB"/>
        </w:rPr>
        <w:t>the inventory averages represent</w:t>
      </w:r>
      <w:r w:rsidR="00D00640" w:rsidRPr="000D0304">
        <w:rPr>
          <w:rFonts w:cs="Helvetica"/>
          <w:color w:val="595959"/>
          <w:szCs w:val="20"/>
          <w:lang w:eastAsia="en-GB"/>
        </w:rPr>
        <w:t xml:space="preserve"> a very small percentage of the global or regional production and s</w:t>
      </w:r>
      <w:r w:rsidR="00B42259" w:rsidRPr="000D0304">
        <w:rPr>
          <w:rFonts w:cs="Helvetica"/>
          <w:color w:val="595959"/>
          <w:szCs w:val="20"/>
          <w:lang w:eastAsia="en-GB"/>
        </w:rPr>
        <w:t xml:space="preserve">o </w:t>
      </w:r>
      <w:r w:rsidR="00257C24" w:rsidRPr="000D0304">
        <w:rPr>
          <w:rFonts w:cs="Helvetica"/>
          <w:color w:val="595959"/>
          <w:szCs w:val="20"/>
          <w:lang w:eastAsia="en-GB"/>
        </w:rPr>
        <w:t>are</w:t>
      </w:r>
      <w:r w:rsidR="00B42259" w:rsidRPr="000D0304">
        <w:rPr>
          <w:rFonts w:cs="Helvetica"/>
          <w:color w:val="595959"/>
          <w:szCs w:val="20"/>
          <w:lang w:eastAsia="en-GB"/>
        </w:rPr>
        <w:t xml:space="preserve"> accompanied by a </w:t>
      </w:r>
      <w:r w:rsidR="00D00640" w:rsidRPr="000D0304">
        <w:rPr>
          <w:rFonts w:cs="Helvetica"/>
          <w:color w:val="595959"/>
          <w:szCs w:val="20"/>
          <w:lang w:eastAsia="en-GB"/>
        </w:rPr>
        <w:t>high level of uncertainty</w:t>
      </w:r>
      <w:r w:rsidR="009831A3">
        <w:rPr>
          <w:rFonts w:cs="Helvetica"/>
          <w:color w:val="595959"/>
          <w:szCs w:val="20"/>
          <w:lang w:eastAsia="en-GB"/>
        </w:rPr>
        <w:t xml:space="preserve">.  </w:t>
      </w:r>
      <w:r w:rsidR="00257C24" w:rsidRPr="000D0304">
        <w:rPr>
          <w:rFonts w:cs="Helvetica"/>
          <w:color w:val="595959"/>
          <w:szCs w:val="20"/>
          <w:lang w:eastAsia="en-GB"/>
        </w:rPr>
        <w:t xml:space="preserve">Reporting rates are published with each data point </w:t>
      </w:r>
      <w:r w:rsidR="00A443DA" w:rsidRPr="002C6AFD">
        <w:rPr>
          <w:rFonts w:cs="Helvetica"/>
          <w:color w:val="595959"/>
          <w:szCs w:val="20"/>
          <w:lang w:eastAsia="en-GB"/>
        </w:rPr>
        <w:t xml:space="preserve">in Appendix </w:t>
      </w:r>
      <w:r w:rsidR="002C6AFD" w:rsidRPr="002C6AFD">
        <w:rPr>
          <w:rFonts w:cs="Helvetica"/>
          <w:color w:val="595959"/>
          <w:szCs w:val="20"/>
          <w:lang w:eastAsia="en-GB"/>
        </w:rPr>
        <w:t>A</w:t>
      </w:r>
      <w:r w:rsidR="00A443DA">
        <w:rPr>
          <w:rFonts w:cs="Helvetica"/>
          <w:color w:val="595959"/>
          <w:szCs w:val="20"/>
          <w:lang w:eastAsia="en-GB"/>
        </w:rPr>
        <w:t xml:space="preserve"> </w:t>
      </w:r>
      <w:r w:rsidR="00257C24" w:rsidRPr="000D0304">
        <w:rPr>
          <w:rFonts w:cs="Helvetica"/>
          <w:color w:val="595959"/>
          <w:szCs w:val="20"/>
          <w:lang w:eastAsia="en-GB"/>
        </w:rPr>
        <w:t xml:space="preserve">to inform users on </w:t>
      </w:r>
      <w:r w:rsidR="00B217EE">
        <w:rPr>
          <w:rFonts w:cs="Helvetica"/>
          <w:color w:val="595959"/>
          <w:szCs w:val="20"/>
          <w:lang w:eastAsia="en-GB"/>
        </w:rPr>
        <w:t xml:space="preserve">the </w:t>
      </w:r>
      <w:r w:rsidR="00257C24" w:rsidRPr="000D0304">
        <w:rPr>
          <w:rFonts w:cs="Helvetica"/>
          <w:color w:val="595959"/>
          <w:szCs w:val="20"/>
          <w:lang w:eastAsia="en-GB"/>
        </w:rPr>
        <w:t>representative</w:t>
      </w:r>
      <w:r w:rsidR="00A443DA">
        <w:rPr>
          <w:rFonts w:cs="Helvetica"/>
          <w:color w:val="595959"/>
          <w:szCs w:val="20"/>
          <w:lang w:eastAsia="en-GB"/>
        </w:rPr>
        <w:t>ness of</w:t>
      </w:r>
      <w:r w:rsidR="00257C24" w:rsidRPr="000D0304">
        <w:rPr>
          <w:rFonts w:cs="Helvetica"/>
          <w:color w:val="595959"/>
          <w:szCs w:val="20"/>
          <w:lang w:eastAsia="en-GB"/>
        </w:rPr>
        <w:t xml:space="preserve"> the inventory data</w:t>
      </w:r>
      <w:r w:rsidR="009831A3">
        <w:rPr>
          <w:rFonts w:cs="Helvetica"/>
          <w:color w:val="595959"/>
          <w:szCs w:val="20"/>
          <w:lang w:eastAsia="en-GB"/>
        </w:rPr>
        <w:t xml:space="preserve">.  </w:t>
      </w:r>
      <w:r w:rsidR="00D00640" w:rsidRPr="000D0304">
        <w:rPr>
          <w:rFonts w:cs="Helvetica"/>
          <w:color w:val="595959"/>
          <w:szCs w:val="20"/>
          <w:lang w:eastAsia="en-GB"/>
        </w:rPr>
        <w:t xml:space="preserve">Overall, </w:t>
      </w:r>
      <w:r w:rsidR="00B42259" w:rsidRPr="000D0304">
        <w:rPr>
          <w:rFonts w:cs="Helvetica"/>
          <w:color w:val="595959"/>
          <w:szCs w:val="20"/>
          <w:lang w:eastAsia="en-GB"/>
        </w:rPr>
        <w:t xml:space="preserve">reporting rates </w:t>
      </w:r>
      <w:r w:rsidR="0020199D">
        <w:rPr>
          <w:rFonts w:cs="Helvetica"/>
          <w:color w:val="595959"/>
          <w:szCs w:val="20"/>
          <w:lang w:eastAsia="en-GB"/>
        </w:rPr>
        <w:t xml:space="preserve">have been improved since 2015. However, the data representativeness </w:t>
      </w:r>
      <w:r w:rsidR="00B42259" w:rsidRPr="000D0304">
        <w:rPr>
          <w:rFonts w:cs="Helvetica"/>
          <w:color w:val="595959"/>
          <w:szCs w:val="20"/>
          <w:lang w:eastAsia="en-GB"/>
        </w:rPr>
        <w:t xml:space="preserve">could be </w:t>
      </w:r>
      <w:r w:rsidR="0020199D">
        <w:rPr>
          <w:rFonts w:cs="Helvetica"/>
          <w:color w:val="595959"/>
          <w:szCs w:val="20"/>
          <w:lang w:eastAsia="en-GB"/>
        </w:rPr>
        <w:t>better if there is</w:t>
      </w:r>
      <w:r w:rsidR="00B42259" w:rsidRPr="000D0304">
        <w:rPr>
          <w:rFonts w:cs="Helvetica"/>
          <w:color w:val="595959"/>
          <w:szCs w:val="20"/>
          <w:lang w:eastAsia="en-GB"/>
        </w:rPr>
        <w:t xml:space="preserve"> greater coverage of newer and emergent regions of production such as China and Other Asia</w:t>
      </w:r>
      <w:r w:rsidR="009831A3">
        <w:rPr>
          <w:rFonts w:cs="Helvetica"/>
          <w:color w:val="595959"/>
          <w:szCs w:val="20"/>
          <w:lang w:eastAsia="en-GB"/>
        </w:rPr>
        <w:t xml:space="preserve">.  </w:t>
      </w:r>
    </w:p>
    <w:p w14:paraId="1B1BF621" w14:textId="77777777" w:rsidR="00343DE9" w:rsidRPr="000D0304" w:rsidRDefault="00343DE9" w:rsidP="009E11C8">
      <w:pPr>
        <w:spacing w:after="0" w:line="312" w:lineRule="auto"/>
        <w:contextualSpacing/>
        <w:jc w:val="both"/>
        <w:rPr>
          <w:rFonts w:cs="Helvetica"/>
          <w:szCs w:val="20"/>
        </w:rPr>
      </w:pPr>
    </w:p>
    <w:p w14:paraId="1ABE190C" w14:textId="7D28DB3E" w:rsidR="00343DE9" w:rsidRDefault="00343DE9" w:rsidP="009E11C8">
      <w:pPr>
        <w:spacing w:after="0" w:line="312" w:lineRule="auto"/>
        <w:contextualSpacing/>
        <w:jc w:val="both"/>
        <w:rPr>
          <w:rFonts w:cs="Helvetica"/>
          <w:color w:val="595959"/>
          <w:szCs w:val="20"/>
          <w:lang w:eastAsia="en-GB"/>
        </w:rPr>
      </w:pPr>
      <w:r w:rsidRPr="00F1299F">
        <w:rPr>
          <w:rFonts w:cs="Helvetica"/>
          <w:b/>
          <w:color w:val="595959"/>
          <w:szCs w:val="20"/>
          <w:lang w:eastAsia="en-GB"/>
        </w:rPr>
        <w:lastRenderedPageBreak/>
        <w:t>M</w:t>
      </w:r>
      <w:r w:rsidRPr="000D0304">
        <w:rPr>
          <w:rFonts w:cs="Helvetica"/>
          <w:b/>
          <w:color w:val="595959"/>
          <w:szCs w:val="20"/>
          <w:lang w:eastAsia="en-GB"/>
        </w:rPr>
        <w:t xml:space="preserve">odelling and Background Data: </w:t>
      </w:r>
      <w:r w:rsidRPr="000D0304">
        <w:rPr>
          <w:rFonts w:cs="Helvetica"/>
          <w:color w:val="595959"/>
          <w:szCs w:val="20"/>
          <w:lang w:eastAsia="en-GB"/>
        </w:rPr>
        <w:t>With regards to modelling in the G</w:t>
      </w:r>
      <w:r w:rsidR="00D00640" w:rsidRPr="000D0304">
        <w:rPr>
          <w:rFonts w:cs="Helvetica"/>
          <w:color w:val="595959"/>
          <w:szCs w:val="20"/>
          <w:lang w:eastAsia="en-GB"/>
        </w:rPr>
        <w:t>aBi</w:t>
      </w:r>
      <w:r w:rsidRPr="000D0304">
        <w:rPr>
          <w:rFonts w:cs="Helvetica"/>
          <w:color w:val="595959"/>
          <w:szCs w:val="20"/>
          <w:lang w:eastAsia="en-GB"/>
        </w:rPr>
        <w:t xml:space="preserve"> database, there are inevitably some limitations to the accuracy of the results given that the quality of background dataset can vary considerably</w:t>
      </w:r>
      <w:r w:rsidR="009831A3">
        <w:rPr>
          <w:rFonts w:cs="Helvetica"/>
          <w:color w:val="595959"/>
          <w:szCs w:val="20"/>
          <w:lang w:eastAsia="en-GB"/>
        </w:rPr>
        <w:t xml:space="preserve">.  </w:t>
      </w:r>
      <w:r w:rsidRPr="000D0304">
        <w:rPr>
          <w:rFonts w:cs="Helvetica"/>
          <w:color w:val="595959"/>
          <w:szCs w:val="20"/>
          <w:lang w:eastAsia="en-GB"/>
        </w:rPr>
        <w:t>In addition, proxy datasets have been used when the required datasets were not available</w:t>
      </w:r>
      <w:r w:rsidR="009831A3">
        <w:rPr>
          <w:rFonts w:cs="Helvetica"/>
          <w:color w:val="595959"/>
          <w:szCs w:val="20"/>
          <w:lang w:eastAsia="en-GB"/>
        </w:rPr>
        <w:t xml:space="preserve">.  </w:t>
      </w:r>
      <w:r w:rsidR="00D00640" w:rsidRPr="000D0304">
        <w:rPr>
          <w:rFonts w:cs="Helvetica"/>
          <w:color w:val="595959"/>
          <w:szCs w:val="20"/>
          <w:lang w:eastAsia="en-GB"/>
        </w:rPr>
        <w:t xml:space="preserve">IAI recognises that </w:t>
      </w:r>
      <w:r w:rsidR="00F1299F">
        <w:rPr>
          <w:rFonts w:cs="Helvetica"/>
          <w:color w:val="595959"/>
          <w:szCs w:val="20"/>
          <w:lang w:eastAsia="en-GB"/>
        </w:rPr>
        <w:t xml:space="preserve">limitations associated with the model and the </w:t>
      </w:r>
      <w:r w:rsidR="00D00640" w:rsidRPr="000D0304">
        <w:rPr>
          <w:rFonts w:cs="Helvetica"/>
          <w:color w:val="595959"/>
          <w:szCs w:val="20"/>
          <w:lang w:eastAsia="en-GB"/>
        </w:rPr>
        <w:t>r</w:t>
      </w:r>
      <w:r w:rsidR="00F1299F">
        <w:rPr>
          <w:rFonts w:cs="Helvetica"/>
          <w:color w:val="595959"/>
          <w:szCs w:val="20"/>
          <w:lang w:eastAsia="en-GB"/>
        </w:rPr>
        <w:t>obustness of background data have</w:t>
      </w:r>
      <w:r w:rsidR="00D00640" w:rsidRPr="000D0304">
        <w:rPr>
          <w:rFonts w:cs="Helvetica"/>
          <w:color w:val="595959"/>
          <w:szCs w:val="20"/>
          <w:lang w:eastAsia="en-GB"/>
        </w:rPr>
        <w:t xml:space="preserve"> significant implications for the impact indicator results in this study</w:t>
      </w:r>
      <w:r w:rsidR="007A00B9">
        <w:rPr>
          <w:rFonts w:cs="Helvetica"/>
          <w:color w:val="595959"/>
          <w:szCs w:val="20"/>
          <w:lang w:eastAsia="en-GB"/>
        </w:rPr>
        <w:t xml:space="preserve">. </w:t>
      </w:r>
      <w:r w:rsidR="009831A3">
        <w:rPr>
          <w:rFonts w:cs="Helvetica"/>
          <w:color w:val="595959"/>
          <w:szCs w:val="20"/>
          <w:lang w:eastAsia="en-GB"/>
        </w:rPr>
        <w:t xml:space="preserve"> </w:t>
      </w:r>
    </w:p>
    <w:p w14:paraId="236FD42F" w14:textId="77777777" w:rsidR="00292041" w:rsidRPr="000D0304" w:rsidRDefault="00292041" w:rsidP="009E11C8">
      <w:pPr>
        <w:spacing w:after="0" w:line="312" w:lineRule="auto"/>
        <w:contextualSpacing/>
        <w:jc w:val="both"/>
        <w:rPr>
          <w:rFonts w:cs="Helvetica"/>
          <w:color w:val="595959"/>
          <w:szCs w:val="20"/>
          <w:lang w:eastAsia="en-GB"/>
        </w:rPr>
      </w:pPr>
    </w:p>
    <w:p w14:paraId="09D398A9" w14:textId="77777777" w:rsidR="006D76FD" w:rsidRPr="000D0304" w:rsidRDefault="006D76FD" w:rsidP="00DA5301">
      <w:pPr>
        <w:pStyle w:val="Heading3"/>
      </w:pPr>
      <w:bookmarkStart w:id="247" w:name="_Toc480555258"/>
      <w:bookmarkStart w:id="248" w:name="_Toc480555344"/>
      <w:bookmarkStart w:id="249" w:name="_Toc480555430"/>
      <w:bookmarkStart w:id="250" w:name="_Toc480555512"/>
      <w:bookmarkStart w:id="251" w:name="_Toc480971467"/>
      <w:bookmarkStart w:id="252" w:name="_Toc120111959"/>
      <w:bookmarkEnd w:id="247"/>
      <w:bookmarkEnd w:id="248"/>
      <w:bookmarkEnd w:id="249"/>
      <w:bookmarkEnd w:id="250"/>
      <w:bookmarkEnd w:id="251"/>
      <w:r w:rsidRPr="000D0304">
        <w:t>Conclusions and Next Steps</w:t>
      </w:r>
      <w:bookmarkEnd w:id="252"/>
    </w:p>
    <w:p w14:paraId="159440D2" w14:textId="25EAF15E" w:rsidR="001112B7" w:rsidRPr="000D0304" w:rsidRDefault="001112B7" w:rsidP="009E11C8">
      <w:pPr>
        <w:spacing w:after="0" w:line="312" w:lineRule="auto"/>
        <w:contextualSpacing/>
        <w:jc w:val="both"/>
        <w:rPr>
          <w:rFonts w:cs="Helvetica"/>
          <w:color w:val="595959"/>
          <w:szCs w:val="20"/>
          <w:lang w:eastAsia="en-GB"/>
        </w:rPr>
      </w:pPr>
      <w:r w:rsidRPr="000D0304">
        <w:rPr>
          <w:rFonts w:cs="Helvetica"/>
          <w:color w:val="595959"/>
          <w:szCs w:val="20"/>
          <w:lang w:eastAsia="en-GB"/>
        </w:rPr>
        <w:t>Overall, the results from this study validate previous findings</w:t>
      </w:r>
      <w:r w:rsidR="0020199D">
        <w:rPr>
          <w:rFonts w:cs="Helvetica"/>
          <w:color w:val="595959"/>
          <w:szCs w:val="20"/>
          <w:lang w:eastAsia="en-GB"/>
        </w:rPr>
        <w:t>.</w:t>
      </w:r>
      <w:r w:rsidR="009831A3">
        <w:rPr>
          <w:rFonts w:cs="Helvetica"/>
          <w:color w:val="595959"/>
          <w:szCs w:val="20"/>
          <w:lang w:eastAsia="en-GB"/>
        </w:rPr>
        <w:t xml:space="preserve">  </w:t>
      </w:r>
    </w:p>
    <w:p w14:paraId="73877F51" w14:textId="77777777" w:rsidR="001112B7" w:rsidRPr="000D0304" w:rsidRDefault="001112B7" w:rsidP="009E11C8">
      <w:pPr>
        <w:spacing w:after="0" w:line="312" w:lineRule="auto"/>
        <w:contextualSpacing/>
        <w:jc w:val="both"/>
        <w:rPr>
          <w:rFonts w:cs="Helvetica"/>
          <w:color w:val="595959"/>
          <w:szCs w:val="20"/>
          <w:lang w:eastAsia="en-GB"/>
        </w:rPr>
      </w:pPr>
    </w:p>
    <w:p w14:paraId="302C4E1F" w14:textId="72ABFE13" w:rsidR="00FA7F99" w:rsidRDefault="001112B7" w:rsidP="009E11C8">
      <w:pPr>
        <w:spacing w:after="0" w:line="312" w:lineRule="auto"/>
        <w:contextualSpacing/>
        <w:jc w:val="both"/>
        <w:rPr>
          <w:rFonts w:cs="Helvetica"/>
          <w:color w:val="595959"/>
          <w:szCs w:val="20"/>
          <w:lang w:eastAsia="en-GB"/>
        </w:rPr>
      </w:pPr>
      <w:r w:rsidRPr="000D0304">
        <w:rPr>
          <w:rFonts w:cs="Helvetica"/>
          <w:color w:val="595959"/>
          <w:szCs w:val="20"/>
          <w:lang w:eastAsia="en-GB"/>
        </w:rPr>
        <w:t>The global industry, through the Institute will continue to ensure that up to date, robust inventory and power mix data is available for use by LCA practitioners</w:t>
      </w:r>
      <w:r w:rsidR="009831A3">
        <w:rPr>
          <w:rFonts w:cs="Helvetica"/>
          <w:color w:val="595959"/>
          <w:szCs w:val="20"/>
          <w:lang w:eastAsia="en-GB"/>
        </w:rPr>
        <w:t xml:space="preserve">.  </w:t>
      </w:r>
      <w:r w:rsidR="00FA7F99" w:rsidRPr="000D0304">
        <w:rPr>
          <w:rFonts w:cs="Helvetica"/>
          <w:color w:val="595959"/>
          <w:szCs w:val="20"/>
          <w:lang w:eastAsia="en-GB"/>
        </w:rPr>
        <w:t xml:space="preserve">Life cycle inventory data is updated at </w:t>
      </w:r>
      <w:r w:rsidR="00390602" w:rsidRPr="000D0304">
        <w:rPr>
          <w:rFonts w:cs="Helvetica"/>
          <w:color w:val="595959"/>
          <w:szCs w:val="20"/>
          <w:lang w:eastAsia="en-GB"/>
        </w:rPr>
        <w:t>five-year</w:t>
      </w:r>
      <w:r w:rsidR="00FA7F99" w:rsidRPr="000D0304">
        <w:rPr>
          <w:rFonts w:cs="Helvetica"/>
          <w:color w:val="595959"/>
          <w:szCs w:val="20"/>
          <w:lang w:eastAsia="en-GB"/>
        </w:rPr>
        <w:t xml:space="preserve"> intervals and as such, the next update will likely be published in </w:t>
      </w:r>
      <w:r w:rsidR="0020199D" w:rsidRPr="000D0304">
        <w:rPr>
          <w:rFonts w:cs="Helvetica"/>
          <w:color w:val="595959"/>
          <w:szCs w:val="20"/>
          <w:lang w:eastAsia="en-GB"/>
        </w:rPr>
        <w:t>202</w:t>
      </w:r>
      <w:r w:rsidR="0020199D">
        <w:rPr>
          <w:rFonts w:cs="Helvetica"/>
          <w:color w:val="595959"/>
          <w:szCs w:val="20"/>
          <w:lang w:eastAsia="en-GB"/>
        </w:rPr>
        <w:t>7</w:t>
      </w:r>
      <w:r w:rsidR="0020199D" w:rsidRPr="000D0304">
        <w:rPr>
          <w:rFonts w:cs="Helvetica"/>
          <w:color w:val="595959"/>
          <w:szCs w:val="20"/>
          <w:lang w:eastAsia="en-GB"/>
        </w:rPr>
        <w:t xml:space="preserve"> </w:t>
      </w:r>
      <w:r w:rsidR="00FA7F99" w:rsidRPr="000D0304">
        <w:rPr>
          <w:rFonts w:cs="Helvetica"/>
          <w:color w:val="595959"/>
          <w:szCs w:val="20"/>
          <w:lang w:eastAsia="en-GB"/>
        </w:rPr>
        <w:t xml:space="preserve">representing data for the year </w:t>
      </w:r>
      <w:r w:rsidR="0020199D" w:rsidRPr="000D0304">
        <w:rPr>
          <w:rFonts w:cs="Helvetica"/>
          <w:color w:val="595959"/>
          <w:szCs w:val="20"/>
          <w:lang w:eastAsia="en-GB"/>
        </w:rPr>
        <w:t>202</w:t>
      </w:r>
      <w:r w:rsidR="0020199D">
        <w:rPr>
          <w:rFonts w:cs="Helvetica"/>
          <w:color w:val="595959"/>
          <w:szCs w:val="20"/>
          <w:lang w:eastAsia="en-GB"/>
        </w:rPr>
        <w:t>5</w:t>
      </w:r>
      <w:r w:rsidR="009831A3">
        <w:rPr>
          <w:rFonts w:cs="Helvetica"/>
          <w:color w:val="595959"/>
          <w:szCs w:val="20"/>
          <w:lang w:eastAsia="en-GB"/>
        </w:rPr>
        <w:t xml:space="preserve">.  </w:t>
      </w:r>
    </w:p>
    <w:p w14:paraId="590122E9" w14:textId="77777777" w:rsidR="00DB2969" w:rsidRPr="000D0304" w:rsidRDefault="00DB2969" w:rsidP="009E11C8">
      <w:pPr>
        <w:spacing w:after="0" w:line="312" w:lineRule="auto"/>
        <w:contextualSpacing/>
        <w:jc w:val="both"/>
        <w:rPr>
          <w:rFonts w:cs="Helvetica"/>
          <w:color w:val="595959"/>
          <w:szCs w:val="20"/>
          <w:lang w:eastAsia="en-GB"/>
        </w:rPr>
      </w:pPr>
    </w:p>
    <w:p w14:paraId="1BA5303E" w14:textId="089F99A6" w:rsidR="00FA5B2D" w:rsidRDefault="00FA5B2D" w:rsidP="000D0304">
      <w:pPr>
        <w:spacing w:after="0" w:line="312" w:lineRule="auto"/>
        <w:jc w:val="both"/>
        <w:rPr>
          <w:rFonts w:cs="Helvetica"/>
          <w:color w:val="595959"/>
          <w:szCs w:val="20"/>
          <w:lang w:eastAsia="en-GB"/>
        </w:rPr>
      </w:pPr>
      <w:r w:rsidRPr="000D0304">
        <w:rPr>
          <w:rFonts w:cs="Helvetica"/>
          <w:color w:val="595959"/>
          <w:szCs w:val="20"/>
          <w:lang w:eastAsia="en-GB"/>
        </w:rPr>
        <w:t xml:space="preserve">The data, methods and analysis included in this study have been subject to ongoing, independent </w:t>
      </w:r>
      <w:r w:rsidR="005604F8" w:rsidRPr="000D0304">
        <w:rPr>
          <w:rFonts w:cs="Helvetica"/>
          <w:color w:val="595959"/>
          <w:szCs w:val="20"/>
          <w:lang w:eastAsia="en-GB"/>
        </w:rPr>
        <w:t>third-party</w:t>
      </w:r>
      <w:r w:rsidRPr="000D0304">
        <w:rPr>
          <w:rFonts w:cs="Helvetica"/>
          <w:color w:val="595959"/>
          <w:szCs w:val="20"/>
          <w:lang w:eastAsia="en-GB"/>
        </w:rPr>
        <w:t xml:space="preserve"> review</w:t>
      </w:r>
      <w:r w:rsidR="009831A3">
        <w:rPr>
          <w:rFonts w:cs="Helvetica"/>
          <w:color w:val="595959"/>
          <w:szCs w:val="20"/>
          <w:lang w:eastAsia="en-GB"/>
        </w:rPr>
        <w:t xml:space="preserve">.  </w:t>
      </w:r>
      <w:r w:rsidRPr="000D0304">
        <w:rPr>
          <w:rFonts w:cs="Helvetica"/>
          <w:color w:val="595959"/>
          <w:szCs w:val="20"/>
          <w:lang w:eastAsia="en-GB"/>
        </w:rPr>
        <w:t>The review panel</w:t>
      </w:r>
      <w:r w:rsidR="00A443DA">
        <w:rPr>
          <w:rFonts w:cs="Helvetica"/>
          <w:color w:val="595959"/>
          <w:szCs w:val="20"/>
          <w:lang w:eastAsia="en-GB"/>
        </w:rPr>
        <w:t xml:space="preserve"> </w:t>
      </w:r>
      <w:r w:rsidRPr="000D0304">
        <w:rPr>
          <w:rFonts w:cs="Helvetica"/>
          <w:color w:val="595959"/>
          <w:szCs w:val="20"/>
          <w:lang w:eastAsia="en-GB"/>
        </w:rPr>
        <w:t>have provided feedback at key stages in the study and have greatly improved the study as a result</w:t>
      </w:r>
      <w:r w:rsidR="009831A3">
        <w:rPr>
          <w:rFonts w:cs="Helvetica"/>
          <w:color w:val="595959"/>
          <w:szCs w:val="20"/>
          <w:lang w:eastAsia="en-GB"/>
        </w:rPr>
        <w:t xml:space="preserve">.  </w:t>
      </w:r>
      <w:r w:rsidRPr="00BB6586">
        <w:rPr>
          <w:rFonts w:cs="Helvetica"/>
          <w:color w:val="595959"/>
          <w:szCs w:val="20"/>
          <w:lang w:eastAsia="en-GB"/>
        </w:rPr>
        <w:t xml:space="preserve">A summary report by the review panel is attached as Appendix </w:t>
      </w:r>
      <w:r w:rsidR="00BD3D29" w:rsidRPr="00BB6586">
        <w:rPr>
          <w:rFonts w:cs="Helvetica"/>
          <w:color w:val="595959"/>
          <w:szCs w:val="20"/>
          <w:lang w:eastAsia="en-GB"/>
        </w:rPr>
        <w:t>E</w:t>
      </w:r>
      <w:r w:rsidRPr="00BB6586">
        <w:rPr>
          <w:rFonts w:cs="Helvetica"/>
          <w:color w:val="595959"/>
          <w:szCs w:val="20"/>
          <w:lang w:eastAsia="en-GB"/>
        </w:rPr>
        <w:t xml:space="preserve"> to this report</w:t>
      </w:r>
      <w:r w:rsidR="009831A3" w:rsidRPr="00BB6586">
        <w:rPr>
          <w:rFonts w:cs="Helvetica"/>
          <w:color w:val="595959"/>
          <w:szCs w:val="20"/>
          <w:lang w:eastAsia="en-GB"/>
        </w:rPr>
        <w:t xml:space="preserve">.  </w:t>
      </w:r>
      <w:r w:rsidRPr="00BB6586">
        <w:rPr>
          <w:rFonts w:cs="Helvetica"/>
          <w:color w:val="595959"/>
          <w:szCs w:val="20"/>
          <w:lang w:eastAsia="en-GB"/>
        </w:rPr>
        <w:t>Highlight</w:t>
      </w:r>
      <w:r w:rsidR="00A443DA" w:rsidRPr="00BB6586">
        <w:rPr>
          <w:rFonts w:cs="Helvetica"/>
          <w:color w:val="595959"/>
          <w:szCs w:val="20"/>
          <w:lang w:eastAsia="en-GB"/>
        </w:rPr>
        <w:t xml:space="preserve">s </w:t>
      </w:r>
      <w:r w:rsidRPr="00BB6586">
        <w:rPr>
          <w:rFonts w:cs="Helvetica"/>
          <w:color w:val="595959"/>
          <w:szCs w:val="20"/>
          <w:lang w:eastAsia="en-GB"/>
        </w:rPr>
        <w:t>include</w:t>
      </w:r>
      <w:r w:rsidR="00A443DA">
        <w:rPr>
          <w:rFonts w:cs="Helvetica"/>
          <w:color w:val="595959"/>
          <w:szCs w:val="20"/>
          <w:lang w:eastAsia="en-GB"/>
        </w:rPr>
        <w:t xml:space="preserve"> </w:t>
      </w:r>
      <w:r w:rsidR="00893CAF" w:rsidRPr="00BB6586">
        <w:rPr>
          <w:rFonts w:cs="Helvetica"/>
          <w:color w:val="595959"/>
          <w:szCs w:val="20"/>
          <w:lang w:eastAsia="en-GB"/>
        </w:rPr>
        <w:t xml:space="preserve">data used in the foreground are solid, quality checked, reasonable and as complete as possible; </w:t>
      </w:r>
      <w:r w:rsidR="00893CAF">
        <w:rPr>
          <w:rFonts w:cs="Helvetica"/>
          <w:color w:val="595959"/>
          <w:szCs w:val="20"/>
          <w:lang w:eastAsia="en-GB"/>
        </w:rPr>
        <w:t>t</w:t>
      </w:r>
      <w:r w:rsidR="00893CAF" w:rsidRPr="00BB6586">
        <w:rPr>
          <w:rFonts w:cs="Helvetica"/>
          <w:color w:val="595959"/>
          <w:szCs w:val="20"/>
          <w:lang w:eastAsia="en-GB"/>
        </w:rPr>
        <w:t xml:space="preserve">he inventory analysis methods applied are consistent with the ISO standards; the derivation of average unit processes from raw data and information, and the inventory models are scientifically and technically valid.  It is recommended to address toxicity and land use in future update of the LCI data of the aluminium supply chain. Also, it is recommended to continue increasing the data coverage, as well as regional impact assessment. The change of method for Water Scarcity Footprint assessment, from WSI to AWARE, does not allow results comparison between 2015 and 2019 – although AWARE method is recommended by the Life Cycle Initiative of UN Environment. </w:t>
      </w:r>
    </w:p>
    <w:p w14:paraId="5E11F413" w14:textId="77777777" w:rsidR="00A443DA" w:rsidRPr="00FE6088" w:rsidRDefault="00A443DA">
      <w:pPr>
        <w:pStyle w:val="CommentText"/>
        <w:spacing w:after="0" w:line="312" w:lineRule="auto"/>
        <w:jc w:val="both"/>
        <w:rPr>
          <w:rFonts w:cs="Helvetica"/>
          <w:color w:val="595959"/>
          <w:lang w:eastAsia="en-GB"/>
        </w:rPr>
      </w:pPr>
    </w:p>
    <w:p w14:paraId="6F57F249" w14:textId="77777777" w:rsidR="009058BE" w:rsidRDefault="00FA7F99" w:rsidP="000D0304">
      <w:pPr>
        <w:spacing w:after="0" w:line="312" w:lineRule="auto"/>
        <w:jc w:val="both"/>
        <w:rPr>
          <w:color w:val="595959"/>
          <w:lang w:eastAsia="en-GB"/>
        </w:rPr>
      </w:pPr>
      <w:r w:rsidRPr="001A5B9F">
        <w:rPr>
          <w:color w:val="595959"/>
          <w:lang w:eastAsia="en-GB"/>
        </w:rPr>
        <w:t xml:space="preserve">The iterative nature of life cycle assessment means that the results of this study </w:t>
      </w:r>
      <w:r w:rsidR="003D17A9" w:rsidRPr="001A5B9F">
        <w:rPr>
          <w:color w:val="595959"/>
          <w:lang w:eastAsia="en-GB"/>
        </w:rPr>
        <w:t xml:space="preserve">should be reviewed prior to the next iteration so that </w:t>
      </w:r>
      <w:r w:rsidRPr="001A5B9F">
        <w:rPr>
          <w:color w:val="595959"/>
          <w:lang w:eastAsia="en-GB"/>
        </w:rPr>
        <w:t xml:space="preserve">inventory flows which are now </w:t>
      </w:r>
      <w:r w:rsidR="00005900" w:rsidRPr="001A5B9F">
        <w:rPr>
          <w:color w:val="595959"/>
          <w:lang w:eastAsia="en-GB"/>
        </w:rPr>
        <w:t>less significant contributors to environmental impacts</w:t>
      </w:r>
      <w:r w:rsidR="003D17A9" w:rsidRPr="001A5B9F">
        <w:rPr>
          <w:color w:val="595959"/>
          <w:lang w:eastAsia="en-GB"/>
        </w:rPr>
        <w:t xml:space="preserve"> can be replaced by those which are of greater significance</w:t>
      </w:r>
      <w:r w:rsidR="009831A3" w:rsidRPr="001A5B9F">
        <w:rPr>
          <w:color w:val="595959"/>
          <w:lang w:eastAsia="en-GB"/>
        </w:rPr>
        <w:t xml:space="preserve">. </w:t>
      </w:r>
      <w:r w:rsidR="003C0DAB" w:rsidRPr="001A5B9F">
        <w:rPr>
          <w:color w:val="595959"/>
          <w:lang w:eastAsia="en-GB"/>
        </w:rPr>
        <w:t>Again, it is important to acknowledge that the materiality of inventory flows is dependent on the exact scenario being modelled and so the results of contribution analyses will vary</w:t>
      </w:r>
      <w:r w:rsidR="009831A3" w:rsidRPr="001A5B9F">
        <w:rPr>
          <w:color w:val="595959"/>
          <w:lang w:eastAsia="en-GB"/>
        </w:rPr>
        <w:t xml:space="preserve">.  </w:t>
      </w:r>
      <w:r w:rsidR="003C0DAB" w:rsidRPr="001A5B9F">
        <w:rPr>
          <w:color w:val="595959"/>
          <w:lang w:eastAsia="en-GB"/>
        </w:rPr>
        <w:t xml:space="preserve">At the global </w:t>
      </w:r>
      <w:r w:rsidR="00CC4646" w:rsidRPr="001A5B9F">
        <w:rPr>
          <w:color w:val="595959"/>
          <w:lang w:eastAsia="en-GB"/>
        </w:rPr>
        <w:t>level</w:t>
      </w:r>
      <w:r w:rsidR="00A443DA" w:rsidRPr="001A5B9F">
        <w:rPr>
          <w:color w:val="595959"/>
          <w:lang w:eastAsia="en-GB"/>
        </w:rPr>
        <w:t>,</w:t>
      </w:r>
      <w:r w:rsidR="00CC4646" w:rsidRPr="001A5B9F">
        <w:rPr>
          <w:color w:val="595959"/>
          <w:lang w:eastAsia="en-GB"/>
        </w:rPr>
        <w:t xml:space="preserve"> </w:t>
      </w:r>
      <w:r w:rsidR="003C0DAB" w:rsidRPr="001A5B9F">
        <w:rPr>
          <w:color w:val="595959"/>
          <w:lang w:eastAsia="en-GB"/>
        </w:rPr>
        <w:t>however, it is clear that f</w:t>
      </w:r>
      <w:r w:rsidR="00B43711" w:rsidRPr="001A5B9F">
        <w:rPr>
          <w:color w:val="595959"/>
          <w:lang w:eastAsia="en-GB"/>
        </w:rPr>
        <w:t xml:space="preserve">urther work </w:t>
      </w:r>
      <w:r w:rsidR="003C0DAB" w:rsidRPr="001A5B9F">
        <w:rPr>
          <w:color w:val="595959"/>
          <w:lang w:eastAsia="en-GB"/>
        </w:rPr>
        <w:t xml:space="preserve">should be undertaken with regards to background data </w:t>
      </w:r>
      <w:r w:rsidR="00CC4646" w:rsidRPr="001A5B9F">
        <w:rPr>
          <w:color w:val="595959"/>
          <w:lang w:eastAsia="en-GB"/>
        </w:rPr>
        <w:t>T</w:t>
      </w:r>
      <w:r w:rsidR="001112B7" w:rsidRPr="001A5B9F">
        <w:rPr>
          <w:color w:val="595959"/>
          <w:lang w:eastAsia="en-GB"/>
        </w:rPr>
        <w:t xml:space="preserve">he Institute’s long term objective </w:t>
      </w:r>
      <w:r w:rsidR="00351D63" w:rsidRPr="001A5B9F">
        <w:rPr>
          <w:color w:val="595959"/>
          <w:lang w:eastAsia="en-GB"/>
        </w:rPr>
        <w:t>is for such nuanced data to be made available for use by practitioners, allowing more accurate calculation of potential impacts across space and through time.</w:t>
      </w:r>
      <w:r w:rsidR="00043DA6">
        <w:rPr>
          <w:color w:val="595959"/>
          <w:lang w:eastAsia="en-GB"/>
        </w:rPr>
        <w:t xml:space="preserve"> </w:t>
      </w:r>
    </w:p>
    <w:p w14:paraId="07355F9D" w14:textId="77777777" w:rsidR="009058BE" w:rsidRDefault="009058BE" w:rsidP="000D0304">
      <w:pPr>
        <w:spacing w:after="0" w:line="312" w:lineRule="auto"/>
        <w:jc w:val="both"/>
        <w:rPr>
          <w:color w:val="595959"/>
          <w:lang w:eastAsia="en-GB"/>
        </w:rPr>
      </w:pPr>
    </w:p>
    <w:p w14:paraId="3C019842" w14:textId="4EAE13AB" w:rsidR="004014A7" w:rsidRDefault="004014A7" w:rsidP="000D0304">
      <w:pPr>
        <w:spacing w:after="0" w:line="312" w:lineRule="auto"/>
        <w:jc w:val="both"/>
        <w:rPr>
          <w:rFonts w:cs="Helvetica"/>
          <w:color w:val="595959"/>
          <w:szCs w:val="20"/>
          <w:lang w:eastAsia="en-GB"/>
        </w:rPr>
      </w:pPr>
      <w:r w:rsidRPr="000D0304">
        <w:rPr>
          <w:rFonts w:cs="Helvetica"/>
          <w:color w:val="595959"/>
          <w:szCs w:val="20"/>
          <w:lang w:eastAsia="en-GB"/>
        </w:rPr>
        <w:t xml:space="preserve">The inventory datasets published as part of this study, </w:t>
      </w:r>
      <w:r w:rsidR="00351D63">
        <w:rPr>
          <w:rFonts w:cs="Helvetica"/>
          <w:color w:val="595959"/>
          <w:szCs w:val="20"/>
          <w:lang w:eastAsia="en-GB"/>
        </w:rPr>
        <w:t>are</w:t>
      </w:r>
      <w:r w:rsidRPr="000D0304">
        <w:rPr>
          <w:rFonts w:cs="Helvetica"/>
          <w:color w:val="595959"/>
          <w:szCs w:val="20"/>
          <w:lang w:eastAsia="en-GB"/>
        </w:rPr>
        <w:t xml:space="preserve"> the most accurate and up-to-date of any available LCI on primary aluminium production</w:t>
      </w:r>
      <w:r w:rsidR="009831A3">
        <w:rPr>
          <w:rFonts w:cs="Helvetica"/>
          <w:color w:val="595959"/>
          <w:szCs w:val="20"/>
          <w:lang w:eastAsia="en-GB"/>
        </w:rPr>
        <w:t xml:space="preserve">.  </w:t>
      </w:r>
      <w:r w:rsidRPr="000D0304">
        <w:rPr>
          <w:rFonts w:cs="Helvetica"/>
          <w:color w:val="595959"/>
          <w:szCs w:val="20"/>
          <w:lang w:eastAsia="en-GB"/>
        </w:rPr>
        <w:t xml:space="preserve">They should be used by </w:t>
      </w:r>
      <w:r w:rsidR="00351D63">
        <w:rPr>
          <w:rFonts w:cs="Helvetica"/>
          <w:color w:val="595959"/>
          <w:szCs w:val="20"/>
          <w:lang w:eastAsia="en-GB"/>
        </w:rPr>
        <w:t>life cycle</w:t>
      </w:r>
      <w:r w:rsidR="00351D63" w:rsidRPr="000D0304">
        <w:rPr>
          <w:rFonts w:cs="Helvetica"/>
          <w:color w:val="595959"/>
          <w:szCs w:val="20"/>
          <w:lang w:eastAsia="en-GB"/>
        </w:rPr>
        <w:t xml:space="preserve"> </w:t>
      </w:r>
      <w:r w:rsidRPr="000D0304">
        <w:rPr>
          <w:rFonts w:cs="Helvetica"/>
          <w:color w:val="595959"/>
          <w:szCs w:val="20"/>
          <w:lang w:eastAsia="en-GB"/>
        </w:rPr>
        <w:t>practitioners in LCAs of aluminium containing products where specific supply-chain data is not available</w:t>
      </w:r>
      <w:r w:rsidR="009831A3">
        <w:rPr>
          <w:rFonts w:cs="Helvetica"/>
          <w:color w:val="595959"/>
          <w:szCs w:val="20"/>
          <w:lang w:eastAsia="en-GB"/>
        </w:rPr>
        <w:t xml:space="preserve">.  </w:t>
      </w:r>
      <w:r w:rsidRPr="000D0304">
        <w:rPr>
          <w:rFonts w:cs="Helvetica"/>
          <w:color w:val="595959"/>
          <w:szCs w:val="20"/>
          <w:lang w:eastAsia="en-GB"/>
        </w:rPr>
        <w:t xml:space="preserve">The </w:t>
      </w:r>
      <w:r w:rsidR="0020199D" w:rsidRPr="000D0304">
        <w:rPr>
          <w:rFonts w:cs="Helvetica"/>
          <w:color w:val="595959"/>
          <w:szCs w:val="20"/>
          <w:lang w:eastAsia="en-GB"/>
        </w:rPr>
        <w:t>201</w:t>
      </w:r>
      <w:r w:rsidR="0020199D">
        <w:rPr>
          <w:rFonts w:cs="Helvetica"/>
          <w:color w:val="595959"/>
          <w:szCs w:val="20"/>
          <w:lang w:eastAsia="en-GB"/>
        </w:rPr>
        <w:t>9</w:t>
      </w:r>
      <w:r w:rsidR="0020199D" w:rsidRPr="000D0304">
        <w:rPr>
          <w:rFonts w:cs="Helvetica"/>
          <w:color w:val="595959"/>
          <w:szCs w:val="20"/>
          <w:lang w:eastAsia="en-GB"/>
        </w:rPr>
        <w:t xml:space="preserve"> </w:t>
      </w:r>
      <w:r w:rsidRPr="000D0304">
        <w:rPr>
          <w:rFonts w:cs="Helvetica"/>
          <w:color w:val="595959"/>
          <w:szCs w:val="20"/>
          <w:lang w:eastAsia="en-GB"/>
        </w:rPr>
        <w:t xml:space="preserve">dataset </w:t>
      </w:r>
      <w:r w:rsidR="00351D63">
        <w:rPr>
          <w:rFonts w:cs="Helvetica"/>
          <w:color w:val="595959"/>
          <w:szCs w:val="20"/>
          <w:lang w:eastAsia="en-GB"/>
        </w:rPr>
        <w:t>for the first time includes</w:t>
      </w:r>
      <w:r w:rsidRPr="000D0304">
        <w:rPr>
          <w:rFonts w:cs="Helvetica"/>
          <w:color w:val="595959"/>
          <w:szCs w:val="20"/>
          <w:lang w:eastAsia="en-GB"/>
        </w:rPr>
        <w:t xml:space="preserve"> regionalised</w:t>
      </w:r>
      <w:r w:rsidR="0020199D">
        <w:rPr>
          <w:rFonts w:cs="Helvetica"/>
          <w:color w:val="595959"/>
          <w:szCs w:val="20"/>
          <w:lang w:eastAsia="en-GB"/>
        </w:rPr>
        <w:t xml:space="preserve"> mining data</w:t>
      </w:r>
      <w:r w:rsidRPr="000D0304">
        <w:rPr>
          <w:rFonts w:cs="Helvetica"/>
          <w:color w:val="595959"/>
          <w:szCs w:val="20"/>
          <w:lang w:eastAsia="en-GB"/>
        </w:rPr>
        <w:t>, unit process level</w:t>
      </w:r>
      <w:r w:rsidR="00351D63">
        <w:rPr>
          <w:rFonts w:cs="Helvetica"/>
          <w:color w:val="595959"/>
          <w:szCs w:val="20"/>
          <w:lang w:eastAsia="en-GB"/>
        </w:rPr>
        <w:t xml:space="preserve"> data</w:t>
      </w:r>
      <w:r w:rsidR="009831A3">
        <w:rPr>
          <w:rFonts w:cs="Helvetica"/>
          <w:color w:val="595959"/>
          <w:szCs w:val="20"/>
          <w:lang w:eastAsia="en-GB"/>
        </w:rPr>
        <w:t xml:space="preserve">.  </w:t>
      </w:r>
      <w:r w:rsidRPr="000D0304">
        <w:rPr>
          <w:rFonts w:cs="Helvetica"/>
          <w:color w:val="595959"/>
          <w:szCs w:val="20"/>
          <w:lang w:eastAsia="en-GB"/>
        </w:rPr>
        <w:t>This should better equip LCA practitioners and allow for aluminium product LCAs that are more representative of material produced in specific regions</w:t>
      </w:r>
      <w:r w:rsidR="00351D63">
        <w:rPr>
          <w:rFonts w:cs="Helvetica"/>
          <w:color w:val="595959"/>
          <w:szCs w:val="20"/>
          <w:lang w:eastAsia="en-GB"/>
        </w:rPr>
        <w:t xml:space="preserve"> and reflect changes in production centres over time</w:t>
      </w:r>
      <w:r w:rsidR="009831A3">
        <w:rPr>
          <w:rFonts w:cs="Helvetica"/>
          <w:color w:val="595959"/>
          <w:szCs w:val="20"/>
          <w:lang w:eastAsia="en-GB"/>
        </w:rPr>
        <w:t>.</w:t>
      </w:r>
      <w:r w:rsidR="0035548B">
        <w:rPr>
          <w:rFonts w:cs="Helvetica"/>
          <w:color w:val="595959"/>
          <w:szCs w:val="20"/>
          <w:lang w:eastAsia="en-GB"/>
        </w:rPr>
        <w:t xml:space="preserve"> </w:t>
      </w:r>
    </w:p>
    <w:p w14:paraId="243ADDFE" w14:textId="77777777" w:rsidR="004A6F36" w:rsidRPr="000D0304" w:rsidRDefault="004A6F36" w:rsidP="000D0304">
      <w:pPr>
        <w:spacing w:after="0" w:line="312" w:lineRule="auto"/>
        <w:jc w:val="both"/>
        <w:rPr>
          <w:rFonts w:cs="Helvetica"/>
          <w:color w:val="595959"/>
          <w:szCs w:val="20"/>
          <w:lang w:eastAsia="en-GB"/>
        </w:rPr>
      </w:pPr>
    </w:p>
    <w:p w14:paraId="501251BD" w14:textId="4DC1769A" w:rsidR="009058BE" w:rsidRDefault="004014A7" w:rsidP="00345000">
      <w:pPr>
        <w:spacing w:after="0" w:line="312" w:lineRule="auto"/>
        <w:jc w:val="both"/>
        <w:rPr>
          <w:rFonts w:cs="Helvetica"/>
          <w:color w:val="595959"/>
          <w:szCs w:val="20"/>
          <w:lang w:eastAsia="en-GB"/>
        </w:rPr>
      </w:pPr>
      <w:r w:rsidRPr="000D0304">
        <w:rPr>
          <w:rFonts w:cs="Helvetica"/>
          <w:color w:val="595959"/>
          <w:szCs w:val="20"/>
          <w:lang w:eastAsia="en-GB"/>
        </w:rPr>
        <w:t>It is clear to see that the primary aluminium industry landscape has changed significantly over the past decade; the location of primary aluminium smelters, and consequently, the industry’s power mix have shifted</w:t>
      </w:r>
      <w:r w:rsidR="009831A3">
        <w:rPr>
          <w:rFonts w:cs="Helvetica"/>
          <w:color w:val="595959"/>
          <w:szCs w:val="20"/>
          <w:lang w:eastAsia="en-GB"/>
        </w:rPr>
        <w:t xml:space="preserve">.  </w:t>
      </w:r>
      <w:r w:rsidRPr="000D0304">
        <w:rPr>
          <w:rFonts w:cs="Helvetica"/>
          <w:color w:val="595959"/>
          <w:szCs w:val="20"/>
          <w:lang w:eastAsia="en-GB"/>
        </w:rPr>
        <w:t xml:space="preserve">With </w:t>
      </w:r>
      <w:r w:rsidRPr="000D0304">
        <w:rPr>
          <w:rFonts w:cs="Helvetica"/>
          <w:color w:val="595959"/>
          <w:szCs w:val="20"/>
          <w:lang w:eastAsia="en-GB"/>
        </w:rPr>
        <w:lastRenderedPageBreak/>
        <w:t>this, the potential environmental impacts associated with the generation of electricity for the electrolysis process play</w:t>
      </w:r>
      <w:r w:rsidR="00351D63">
        <w:rPr>
          <w:rFonts w:cs="Helvetica"/>
          <w:color w:val="595959"/>
          <w:szCs w:val="20"/>
          <w:lang w:eastAsia="en-GB"/>
        </w:rPr>
        <w:t>s</w:t>
      </w:r>
      <w:r w:rsidRPr="000D0304">
        <w:rPr>
          <w:rFonts w:cs="Helvetica"/>
          <w:color w:val="595959"/>
          <w:szCs w:val="20"/>
          <w:lang w:eastAsia="en-GB"/>
        </w:rPr>
        <w:t xml:space="preserve"> an increasingly important role at the global level</w:t>
      </w:r>
      <w:r w:rsidR="009831A3">
        <w:rPr>
          <w:rFonts w:cs="Helvetica"/>
          <w:color w:val="595959"/>
          <w:szCs w:val="20"/>
          <w:lang w:eastAsia="en-GB"/>
        </w:rPr>
        <w:t xml:space="preserve">.  </w:t>
      </w:r>
      <w:r w:rsidRPr="000D0304">
        <w:rPr>
          <w:rFonts w:cs="Helvetica"/>
          <w:color w:val="595959"/>
          <w:szCs w:val="20"/>
          <w:lang w:eastAsia="en-GB"/>
        </w:rPr>
        <w:t>This study, with the publication of industry specific, regional</w:t>
      </w:r>
      <w:r w:rsidR="00351D63">
        <w:rPr>
          <w:rFonts w:cs="Helvetica"/>
          <w:color w:val="595959"/>
          <w:szCs w:val="20"/>
          <w:lang w:eastAsia="en-GB"/>
        </w:rPr>
        <w:t xml:space="preserve">ised </w:t>
      </w:r>
      <w:r w:rsidRPr="000D0304">
        <w:rPr>
          <w:rFonts w:cs="Helvetica"/>
          <w:color w:val="595959"/>
          <w:szCs w:val="20"/>
          <w:lang w:eastAsia="en-GB"/>
        </w:rPr>
        <w:t xml:space="preserve">smelting power mixes and regionalised foreground LCI data, demonstrates the industry’s ongoing commitment to </w:t>
      </w:r>
      <w:r w:rsidR="00FA5B2D" w:rsidRPr="000D0304">
        <w:rPr>
          <w:rFonts w:cs="Helvetica"/>
          <w:color w:val="595959"/>
          <w:szCs w:val="20"/>
          <w:lang w:eastAsia="en-GB"/>
        </w:rPr>
        <w:t>understand</w:t>
      </w:r>
      <w:r w:rsidR="00351D63">
        <w:rPr>
          <w:rFonts w:cs="Helvetica"/>
          <w:color w:val="595959"/>
          <w:szCs w:val="20"/>
          <w:lang w:eastAsia="en-GB"/>
        </w:rPr>
        <w:t xml:space="preserve"> </w:t>
      </w:r>
      <w:r w:rsidR="00351D63" w:rsidRPr="00C46AB1">
        <w:rPr>
          <w:rFonts w:cs="Helvetica"/>
          <w:color w:val="595959"/>
          <w:szCs w:val="20"/>
          <w:lang w:eastAsia="en-GB"/>
        </w:rPr>
        <w:t xml:space="preserve">better </w:t>
      </w:r>
      <w:r w:rsidR="00FA5B2D" w:rsidRPr="000D0304">
        <w:rPr>
          <w:rFonts w:cs="Helvetica"/>
          <w:color w:val="595959"/>
          <w:szCs w:val="20"/>
          <w:lang w:eastAsia="en-GB"/>
        </w:rPr>
        <w:t xml:space="preserve">the potential environmental impacts associated with its processes and products </w:t>
      </w:r>
      <w:r w:rsidR="00D03CBD" w:rsidRPr="000D0304">
        <w:rPr>
          <w:rFonts w:cs="Helvetica"/>
          <w:color w:val="595959"/>
          <w:szCs w:val="20"/>
          <w:lang w:eastAsia="en-GB"/>
        </w:rPr>
        <w:t xml:space="preserve">on a global and regional level, </w:t>
      </w:r>
      <w:r w:rsidR="00513A0D">
        <w:rPr>
          <w:rFonts w:cs="Helvetica"/>
          <w:color w:val="595959"/>
          <w:szCs w:val="20"/>
          <w:lang w:eastAsia="en-GB"/>
        </w:rPr>
        <w:t xml:space="preserve">to make available any relevant data </w:t>
      </w:r>
      <w:r w:rsidR="00FA5B2D" w:rsidRPr="000D0304">
        <w:rPr>
          <w:rFonts w:cs="Helvetica"/>
          <w:color w:val="595959"/>
          <w:szCs w:val="20"/>
          <w:lang w:eastAsia="en-GB"/>
        </w:rPr>
        <w:t xml:space="preserve">and to </w:t>
      </w:r>
      <w:r w:rsidRPr="000D0304">
        <w:rPr>
          <w:rFonts w:cs="Helvetica"/>
          <w:color w:val="595959"/>
          <w:szCs w:val="20"/>
          <w:lang w:eastAsia="en-GB"/>
        </w:rPr>
        <w:t xml:space="preserve">support </w:t>
      </w:r>
      <w:r w:rsidR="00FA5B2D" w:rsidRPr="000D0304">
        <w:rPr>
          <w:rFonts w:cs="Helvetica"/>
          <w:color w:val="595959"/>
          <w:szCs w:val="20"/>
          <w:lang w:eastAsia="en-GB"/>
        </w:rPr>
        <w:t xml:space="preserve">wider </w:t>
      </w:r>
      <w:r w:rsidRPr="000D0304">
        <w:rPr>
          <w:rFonts w:cs="Helvetica"/>
          <w:color w:val="595959"/>
          <w:szCs w:val="20"/>
          <w:lang w:eastAsia="en-GB"/>
        </w:rPr>
        <w:t>life cycle practices</w:t>
      </w:r>
      <w:r w:rsidR="009831A3">
        <w:rPr>
          <w:rFonts w:cs="Helvetica"/>
          <w:color w:val="595959"/>
          <w:szCs w:val="20"/>
          <w:lang w:eastAsia="en-GB"/>
        </w:rPr>
        <w:t xml:space="preserve">.  </w:t>
      </w:r>
    </w:p>
    <w:p w14:paraId="11EFDDD8" w14:textId="77777777" w:rsidR="009058BE" w:rsidRDefault="009058BE">
      <w:pPr>
        <w:spacing w:after="0"/>
        <w:rPr>
          <w:rFonts w:cs="Helvetica"/>
          <w:color w:val="595959"/>
          <w:szCs w:val="20"/>
          <w:lang w:eastAsia="en-GB"/>
        </w:rPr>
      </w:pPr>
      <w:r>
        <w:rPr>
          <w:rFonts w:cs="Helvetica"/>
          <w:color w:val="595959"/>
          <w:szCs w:val="20"/>
          <w:lang w:eastAsia="en-GB"/>
        </w:rPr>
        <w:br w:type="page"/>
      </w:r>
    </w:p>
    <w:p w14:paraId="05E8C45A" w14:textId="77777777" w:rsidR="004A6F36" w:rsidRPr="00345000" w:rsidRDefault="004A6F36" w:rsidP="00345000">
      <w:pPr>
        <w:spacing w:after="0" w:line="312" w:lineRule="auto"/>
        <w:jc w:val="both"/>
      </w:pPr>
    </w:p>
    <w:p w14:paraId="69D6B034" w14:textId="77777777" w:rsidR="00D47F12" w:rsidRPr="00CB6652" w:rsidRDefault="00F41803" w:rsidP="000D0304">
      <w:pPr>
        <w:pStyle w:val="Heading1"/>
      </w:pPr>
      <w:bookmarkStart w:id="253" w:name="_Toc480555172"/>
      <w:bookmarkStart w:id="254" w:name="_Toc480555261"/>
      <w:bookmarkStart w:id="255" w:name="_Toc480555347"/>
      <w:bookmarkStart w:id="256" w:name="_Toc480555433"/>
      <w:bookmarkStart w:id="257" w:name="_Toc480555515"/>
      <w:bookmarkStart w:id="258" w:name="_Toc480971470"/>
      <w:bookmarkStart w:id="259" w:name="_Toc480555173"/>
      <w:bookmarkStart w:id="260" w:name="_Toc480555262"/>
      <w:bookmarkStart w:id="261" w:name="_Toc480555348"/>
      <w:bookmarkStart w:id="262" w:name="_Toc480555434"/>
      <w:bookmarkStart w:id="263" w:name="_Toc480555516"/>
      <w:bookmarkStart w:id="264" w:name="_Toc480971471"/>
      <w:bookmarkStart w:id="265" w:name="_Toc480555174"/>
      <w:bookmarkStart w:id="266" w:name="_Toc480555263"/>
      <w:bookmarkStart w:id="267" w:name="_Toc480555349"/>
      <w:bookmarkStart w:id="268" w:name="_Toc480555435"/>
      <w:bookmarkStart w:id="269" w:name="_Toc480555517"/>
      <w:bookmarkStart w:id="270" w:name="_Toc480971472"/>
      <w:bookmarkStart w:id="271" w:name="_Toc480555175"/>
      <w:bookmarkStart w:id="272" w:name="_Toc480555264"/>
      <w:bookmarkStart w:id="273" w:name="_Toc480555350"/>
      <w:bookmarkStart w:id="274" w:name="_Toc480555436"/>
      <w:bookmarkStart w:id="275" w:name="_Toc480555518"/>
      <w:bookmarkStart w:id="276" w:name="_Toc480971473"/>
      <w:bookmarkStart w:id="277" w:name="_Toc480555176"/>
      <w:bookmarkStart w:id="278" w:name="_Toc480555265"/>
      <w:bookmarkStart w:id="279" w:name="_Toc480555351"/>
      <w:bookmarkStart w:id="280" w:name="_Toc480555437"/>
      <w:bookmarkStart w:id="281" w:name="_Toc480555519"/>
      <w:bookmarkStart w:id="282" w:name="_Toc480971474"/>
      <w:bookmarkStart w:id="283" w:name="_Toc480555177"/>
      <w:bookmarkStart w:id="284" w:name="_Toc480555266"/>
      <w:bookmarkStart w:id="285" w:name="_Toc480555352"/>
      <w:bookmarkStart w:id="286" w:name="_Toc480555438"/>
      <w:bookmarkStart w:id="287" w:name="_Toc480555520"/>
      <w:bookmarkStart w:id="288" w:name="_Toc480971475"/>
      <w:bookmarkStart w:id="289" w:name="__RefHeading__33_1147413177"/>
      <w:bookmarkStart w:id="290" w:name="__RefHeading__35_1147413177"/>
      <w:bookmarkStart w:id="291" w:name="__RefHeading__37_1147413177"/>
      <w:bookmarkStart w:id="292" w:name="__RefHeading__39_1147413177"/>
      <w:bookmarkStart w:id="293" w:name="_Toc120111960"/>
      <w:bookmarkEnd w:id="129"/>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sidRPr="00CB6652">
        <w:t>References</w:t>
      </w:r>
      <w:bookmarkEnd w:id="293"/>
    </w:p>
    <w:bookmarkEnd w:id="58"/>
    <w:bookmarkEnd w:id="130"/>
    <w:bookmarkEnd w:id="131"/>
    <w:bookmarkEnd w:id="132"/>
    <w:bookmarkEnd w:id="133"/>
    <w:bookmarkEnd w:id="289"/>
    <w:bookmarkEnd w:id="290"/>
    <w:bookmarkEnd w:id="291"/>
    <w:bookmarkEnd w:id="292"/>
    <w:p w14:paraId="6C329973" w14:textId="63480485" w:rsidR="006833FD" w:rsidRPr="00516879" w:rsidRDefault="00263FD8" w:rsidP="001A5B9F">
      <w:pPr>
        <w:spacing w:after="240" w:line="312" w:lineRule="auto"/>
        <w:rPr>
          <w:rStyle w:val="Hyperlink"/>
        </w:rPr>
      </w:pPr>
      <w:r w:rsidRPr="001A5B9F">
        <w:rPr>
          <w:rFonts w:cs="Helvetica"/>
          <w:color w:val="595959"/>
          <w:szCs w:val="20"/>
        </w:rPr>
        <w:t xml:space="preserve">The </w:t>
      </w:r>
      <w:r w:rsidR="006833FD" w:rsidRPr="001A5B9F">
        <w:rPr>
          <w:rFonts w:cs="Helvetica"/>
          <w:color w:val="595959"/>
          <w:szCs w:val="20"/>
        </w:rPr>
        <w:t xml:space="preserve">Aluminium Association, </w:t>
      </w:r>
      <w:r w:rsidR="000545D2" w:rsidRPr="001A5B9F">
        <w:rPr>
          <w:rFonts w:cs="Helvetica"/>
          <w:color w:val="595959"/>
          <w:szCs w:val="20"/>
        </w:rPr>
        <w:t>20</w:t>
      </w:r>
      <w:r w:rsidR="000545D2">
        <w:rPr>
          <w:rFonts w:cs="Helvetica"/>
          <w:color w:val="595959"/>
          <w:szCs w:val="20"/>
        </w:rPr>
        <w:t>22</w:t>
      </w:r>
      <w:r w:rsidR="006833FD" w:rsidRPr="001A5B9F">
        <w:rPr>
          <w:rFonts w:cs="Helvetica"/>
          <w:color w:val="595959"/>
          <w:szCs w:val="20"/>
        </w:rPr>
        <w:t xml:space="preserve">. </w:t>
      </w:r>
      <w:r w:rsidR="006833FD" w:rsidRPr="001A5B9F">
        <w:rPr>
          <w:rFonts w:cs="Helvetica"/>
          <w:i/>
          <w:color w:val="595959"/>
          <w:szCs w:val="20"/>
        </w:rPr>
        <w:t>The Environme</w:t>
      </w:r>
      <w:r w:rsidR="002F03CA" w:rsidRPr="001A5B9F">
        <w:rPr>
          <w:rFonts w:cs="Helvetica"/>
          <w:i/>
          <w:color w:val="595959"/>
          <w:szCs w:val="20"/>
        </w:rPr>
        <w:t>n</w:t>
      </w:r>
      <w:r w:rsidR="006833FD" w:rsidRPr="001A5B9F">
        <w:rPr>
          <w:rFonts w:cs="Helvetica"/>
          <w:i/>
          <w:color w:val="595959"/>
          <w:szCs w:val="20"/>
        </w:rPr>
        <w:t>tal Footprint of Sem</w:t>
      </w:r>
      <w:r w:rsidR="00F1299F" w:rsidRPr="001A5B9F">
        <w:rPr>
          <w:rFonts w:cs="Helvetica"/>
          <w:i/>
          <w:color w:val="595959"/>
          <w:szCs w:val="20"/>
        </w:rPr>
        <w:t>i</w:t>
      </w:r>
      <w:r w:rsidR="006833FD" w:rsidRPr="001A5B9F">
        <w:rPr>
          <w:rFonts w:cs="Helvetica"/>
          <w:i/>
          <w:color w:val="595959"/>
          <w:szCs w:val="20"/>
        </w:rPr>
        <w:t>-Finished Products in North America</w:t>
      </w:r>
      <w:r w:rsidR="006833FD" w:rsidRPr="001A5B9F">
        <w:rPr>
          <w:rFonts w:cs="Helvetica"/>
          <w:color w:val="595959"/>
          <w:szCs w:val="20"/>
        </w:rPr>
        <w:t xml:space="preserve">. </w:t>
      </w:r>
      <w:r w:rsidR="006833FD" w:rsidRPr="001A5B9F">
        <w:rPr>
          <w:rFonts w:cs="Helvetica"/>
          <w:i/>
          <w:color w:val="595959"/>
          <w:szCs w:val="20"/>
        </w:rPr>
        <w:t>A Life Cycle Assessment Report</w:t>
      </w:r>
      <w:r w:rsidR="006833FD" w:rsidRPr="001A5B9F">
        <w:rPr>
          <w:rFonts w:cs="Helvetica"/>
          <w:color w:val="595959"/>
          <w:szCs w:val="20"/>
        </w:rPr>
        <w:t xml:space="preserve">. Available </w:t>
      </w:r>
      <w:r w:rsidRPr="001A5B9F">
        <w:rPr>
          <w:rFonts w:cs="Helvetica"/>
          <w:color w:val="595959"/>
          <w:szCs w:val="20"/>
        </w:rPr>
        <w:t xml:space="preserve">from </w:t>
      </w:r>
      <w:r w:rsidR="000545D2" w:rsidRPr="00516879">
        <w:rPr>
          <w:rStyle w:val="Hyperlink"/>
          <w:rFonts w:cs="Helvetica"/>
          <w:szCs w:val="20"/>
        </w:rPr>
        <w:t>https://www.aluminum.org/sites/default/files/2022-01/2022_Semi-Fab_LCA_Report.pdf</w:t>
      </w:r>
      <w:r w:rsidR="006833FD" w:rsidRPr="00516879">
        <w:rPr>
          <w:rStyle w:val="Hyperlink"/>
          <w:rFonts w:cs="Helvetica"/>
          <w:szCs w:val="20"/>
        </w:rPr>
        <w:t xml:space="preserve"> </w:t>
      </w:r>
    </w:p>
    <w:p w14:paraId="633271E2" w14:textId="5333D9E8" w:rsidR="003F2323" w:rsidRDefault="00A20B1F" w:rsidP="001A5B9F">
      <w:pPr>
        <w:spacing w:after="240" w:line="312" w:lineRule="auto"/>
        <w:rPr>
          <w:rFonts w:cs="Helvetica"/>
          <w:color w:val="595959"/>
          <w:szCs w:val="20"/>
        </w:rPr>
      </w:pPr>
      <w:r w:rsidRPr="00BF5FE0">
        <w:rPr>
          <w:rFonts w:cs="Helvetica"/>
          <w:color w:val="595959"/>
          <w:szCs w:val="20"/>
          <w:lang w:eastAsia="en-GB"/>
        </w:rPr>
        <w:t xml:space="preserve">Bertram </w:t>
      </w:r>
      <w:r w:rsidR="00DB6531" w:rsidRPr="00BF5FE0">
        <w:rPr>
          <w:rFonts w:cs="Helvetica"/>
          <w:color w:val="595959"/>
          <w:szCs w:val="20"/>
          <w:lang w:eastAsia="en-GB"/>
        </w:rPr>
        <w:t xml:space="preserve">M., Ramkumar S., </w:t>
      </w:r>
      <w:proofErr w:type="spellStart"/>
      <w:r w:rsidR="00DB6531" w:rsidRPr="00BF5FE0">
        <w:rPr>
          <w:rFonts w:cs="Helvetica"/>
          <w:color w:val="595959"/>
          <w:szCs w:val="20"/>
          <w:lang w:eastAsia="en-GB"/>
        </w:rPr>
        <w:t>Rechberger</w:t>
      </w:r>
      <w:proofErr w:type="spellEnd"/>
      <w:r w:rsidR="00DB6531" w:rsidRPr="00BF5FE0">
        <w:rPr>
          <w:rFonts w:cs="Helvetica"/>
          <w:color w:val="595959"/>
          <w:szCs w:val="20"/>
          <w:lang w:eastAsia="en-GB"/>
        </w:rPr>
        <w:t xml:space="preserve"> H., </w:t>
      </w:r>
      <w:proofErr w:type="spellStart"/>
      <w:r w:rsidR="00DB6531" w:rsidRPr="00BF5FE0">
        <w:rPr>
          <w:rFonts w:cs="Helvetica"/>
          <w:color w:val="595959"/>
          <w:szCs w:val="20"/>
          <w:lang w:eastAsia="en-GB"/>
        </w:rPr>
        <w:t>Rombach</w:t>
      </w:r>
      <w:proofErr w:type="spellEnd"/>
      <w:r w:rsidR="00DB6531" w:rsidRPr="00BF5FE0">
        <w:rPr>
          <w:rFonts w:cs="Helvetica"/>
          <w:color w:val="595959"/>
          <w:szCs w:val="20"/>
          <w:lang w:eastAsia="en-GB"/>
        </w:rPr>
        <w:t xml:space="preserve"> G., Bayliss C., Martchek K.J, </w:t>
      </w:r>
      <w:proofErr w:type="spellStart"/>
      <w:r w:rsidR="00DB6531" w:rsidRPr="00BF5FE0">
        <w:rPr>
          <w:rFonts w:cs="Helvetica"/>
          <w:color w:val="595959"/>
          <w:szCs w:val="20"/>
          <w:lang w:eastAsia="en-GB"/>
        </w:rPr>
        <w:t>Müller</w:t>
      </w:r>
      <w:proofErr w:type="spellEnd"/>
      <w:r w:rsidR="00DB6531" w:rsidRPr="00BF5FE0">
        <w:rPr>
          <w:rFonts w:cs="Helvetica"/>
          <w:color w:val="595959"/>
          <w:szCs w:val="20"/>
          <w:lang w:eastAsia="en-GB"/>
        </w:rPr>
        <w:t xml:space="preserve"> D. B. and Liu</w:t>
      </w:r>
      <w:r w:rsidRPr="00BF5FE0">
        <w:rPr>
          <w:rFonts w:cs="Helvetica"/>
          <w:color w:val="595959"/>
          <w:szCs w:val="20"/>
          <w:lang w:eastAsia="en-GB"/>
        </w:rPr>
        <w:t xml:space="preserve"> </w:t>
      </w:r>
      <w:r w:rsidR="00DB6531" w:rsidRPr="00BF5FE0">
        <w:rPr>
          <w:rFonts w:cs="Helvetica"/>
          <w:color w:val="595959"/>
          <w:szCs w:val="20"/>
          <w:lang w:eastAsia="en-GB"/>
        </w:rPr>
        <w:t>G.</w:t>
      </w:r>
      <w:r w:rsidR="00BF5FE0" w:rsidRPr="00BF5FE0">
        <w:rPr>
          <w:rFonts w:cs="Helvetica"/>
          <w:color w:val="595959"/>
          <w:szCs w:val="20"/>
          <w:lang w:eastAsia="en-GB"/>
        </w:rPr>
        <w:t>,</w:t>
      </w:r>
      <w:r w:rsidR="00DB6531" w:rsidRPr="00BF5FE0">
        <w:rPr>
          <w:rFonts w:cs="Helvetica"/>
          <w:color w:val="595959"/>
          <w:szCs w:val="20"/>
          <w:lang w:eastAsia="en-GB"/>
        </w:rPr>
        <w:t xml:space="preserve"> </w:t>
      </w:r>
      <w:r w:rsidRPr="00BF5FE0">
        <w:rPr>
          <w:rFonts w:cs="Helvetica"/>
          <w:color w:val="595959"/>
          <w:szCs w:val="20"/>
          <w:lang w:eastAsia="en-GB"/>
        </w:rPr>
        <w:t>forthcoming</w:t>
      </w:r>
      <w:r w:rsidR="00CB6652" w:rsidRPr="00BF5FE0">
        <w:rPr>
          <w:rFonts w:cs="Helvetica"/>
          <w:color w:val="595959"/>
          <w:szCs w:val="20"/>
          <w:lang w:eastAsia="en-GB"/>
        </w:rPr>
        <w:t xml:space="preserve">. </w:t>
      </w:r>
      <w:r w:rsidR="00DB6531" w:rsidRPr="001A5B9F">
        <w:rPr>
          <w:rFonts w:cs="Helvetica"/>
          <w:i/>
          <w:color w:val="595959"/>
          <w:szCs w:val="20"/>
        </w:rPr>
        <w:t>A Regionally-Linked, Dynamic Material Flow Modelling Tool for Rolled, Extruded and Cast Aluminium Products.</w:t>
      </w:r>
      <w:r w:rsidR="00DB6531" w:rsidRPr="001A5B9F">
        <w:rPr>
          <w:rFonts w:cs="Helvetica"/>
          <w:color w:val="595959"/>
          <w:szCs w:val="20"/>
        </w:rPr>
        <w:t xml:space="preserve"> </w:t>
      </w:r>
      <w:r w:rsidR="00DB6531" w:rsidRPr="001A5B9F">
        <w:rPr>
          <w:rFonts w:cs="Helvetica"/>
          <w:i/>
          <w:color w:val="595959"/>
          <w:szCs w:val="20"/>
        </w:rPr>
        <w:t>S</w:t>
      </w:r>
      <w:r w:rsidR="00DB6531" w:rsidRPr="001A5B9F">
        <w:rPr>
          <w:rFonts w:cs="Helvetica"/>
          <w:color w:val="595959"/>
          <w:szCs w:val="20"/>
        </w:rPr>
        <w:t>ubmitted to Resource, Conservation and Recycling</w:t>
      </w:r>
    </w:p>
    <w:p w14:paraId="6ADC241B" w14:textId="244DB200" w:rsidR="001452AB" w:rsidRPr="003F2323" w:rsidRDefault="001452AB" w:rsidP="001452AB">
      <w:pPr>
        <w:spacing w:line="312" w:lineRule="auto"/>
        <w:rPr>
          <w:rFonts w:cs="Helvetica"/>
          <w:color w:val="595959"/>
          <w:szCs w:val="20"/>
          <w:lang w:eastAsia="en-GB"/>
        </w:rPr>
      </w:pPr>
      <w:r w:rsidRPr="003F2323">
        <w:rPr>
          <w:rFonts w:cs="Helvetica"/>
          <w:color w:val="595959"/>
          <w:szCs w:val="20"/>
          <w:lang w:eastAsia="en-GB"/>
        </w:rPr>
        <w:t>Buxmann</w:t>
      </w:r>
      <w:r>
        <w:rPr>
          <w:rFonts w:cs="Helvetica"/>
          <w:color w:val="595959"/>
          <w:szCs w:val="20"/>
          <w:lang w:eastAsia="en-GB"/>
        </w:rPr>
        <w:t>, K., 2017.</w:t>
      </w:r>
      <w:r w:rsidRPr="003F2323">
        <w:rPr>
          <w:rFonts w:cs="Helvetica"/>
          <w:color w:val="595959"/>
          <w:szCs w:val="20"/>
          <w:lang w:eastAsia="en-GB"/>
        </w:rPr>
        <w:t xml:space="preserve"> </w:t>
      </w:r>
      <w:r w:rsidRPr="000701B5">
        <w:rPr>
          <w:rFonts w:cs="Helvetica"/>
          <w:i/>
          <w:color w:val="595959"/>
          <w:szCs w:val="20"/>
          <w:lang w:eastAsia="en-GB"/>
        </w:rPr>
        <w:t>Water scarcity footprint of primary aluminium: a regionalised approach</w:t>
      </w:r>
      <w:r>
        <w:rPr>
          <w:rFonts w:cs="Helvetica"/>
          <w:color w:val="595959"/>
          <w:szCs w:val="20"/>
          <w:lang w:eastAsia="en-GB"/>
        </w:rPr>
        <w:t>. Submitted for publishing on IAI Website.</w:t>
      </w:r>
    </w:p>
    <w:p w14:paraId="2147D7F9" w14:textId="1E5FD118" w:rsidR="003F2323" w:rsidRPr="00BF5FE0" w:rsidRDefault="003F2323" w:rsidP="001A5B9F">
      <w:pPr>
        <w:spacing w:after="240" w:line="312" w:lineRule="auto"/>
        <w:rPr>
          <w:rFonts w:cs="Helvetica"/>
          <w:color w:val="595959"/>
          <w:szCs w:val="20"/>
          <w:lang w:eastAsia="en-GB"/>
        </w:rPr>
      </w:pPr>
      <w:r w:rsidRPr="00BF5FE0">
        <w:rPr>
          <w:rFonts w:cs="Helvetica"/>
          <w:color w:val="595959"/>
          <w:szCs w:val="20"/>
          <w:lang w:eastAsia="en-GB"/>
        </w:rPr>
        <w:t xml:space="preserve">Buxmann, K., Koehler, A. &amp; </w:t>
      </w:r>
      <w:proofErr w:type="spellStart"/>
      <w:r w:rsidRPr="00BF5FE0">
        <w:rPr>
          <w:rFonts w:cs="Helvetica"/>
          <w:color w:val="595959"/>
          <w:szCs w:val="20"/>
          <w:lang w:eastAsia="en-GB"/>
        </w:rPr>
        <w:t>Thylmann</w:t>
      </w:r>
      <w:proofErr w:type="spellEnd"/>
      <w:r w:rsidRPr="00BF5FE0">
        <w:rPr>
          <w:rFonts w:cs="Helvetica"/>
          <w:color w:val="595959"/>
          <w:szCs w:val="20"/>
          <w:lang w:eastAsia="en-GB"/>
        </w:rPr>
        <w:t xml:space="preserve">, D., 2016. </w:t>
      </w:r>
      <w:r w:rsidRPr="001A5B9F">
        <w:rPr>
          <w:rFonts w:cs="Helvetica"/>
          <w:i/>
          <w:color w:val="595959"/>
          <w:szCs w:val="20"/>
          <w:lang w:eastAsia="en-GB"/>
        </w:rPr>
        <w:t>Water scarcity footprint of primary aluminium</w:t>
      </w:r>
      <w:r w:rsidRPr="00BF5FE0">
        <w:rPr>
          <w:rFonts w:cs="Helvetica"/>
          <w:color w:val="595959"/>
          <w:szCs w:val="20"/>
          <w:lang w:eastAsia="en-GB"/>
        </w:rPr>
        <w:t>.</w:t>
      </w:r>
      <w:r w:rsidR="00BF5FE0" w:rsidRPr="00BF5FE0">
        <w:rPr>
          <w:rFonts w:cs="Helvetica"/>
          <w:color w:val="595959"/>
          <w:szCs w:val="20"/>
          <w:lang w:eastAsia="en-GB"/>
        </w:rPr>
        <w:t xml:space="preserve"> </w:t>
      </w:r>
      <w:r w:rsidRPr="00BF5FE0">
        <w:rPr>
          <w:rFonts w:cs="Helvetica"/>
          <w:color w:val="595959"/>
          <w:szCs w:val="20"/>
          <w:lang w:eastAsia="en-GB"/>
        </w:rPr>
        <w:t>International Journal of Life Cycle Assessment, 21.</w:t>
      </w:r>
    </w:p>
    <w:p w14:paraId="02402B54" w14:textId="40AE5D87" w:rsidR="006833FD" w:rsidRPr="001A5B9F" w:rsidRDefault="007176BA" w:rsidP="001A5B9F">
      <w:pPr>
        <w:spacing w:after="240" w:line="312" w:lineRule="auto"/>
        <w:rPr>
          <w:rFonts w:cs="Helvetica"/>
          <w:color w:val="595959"/>
          <w:szCs w:val="20"/>
        </w:rPr>
      </w:pPr>
      <w:r w:rsidRPr="001A5B9F">
        <w:rPr>
          <w:rFonts w:cs="Helvetica"/>
          <w:color w:val="595959"/>
          <w:szCs w:val="20"/>
          <w:lang w:eastAsia="en-GB"/>
        </w:rPr>
        <w:t xml:space="preserve">GaBi, </w:t>
      </w:r>
      <w:r w:rsidR="00D03AD3" w:rsidRPr="001A5B9F">
        <w:rPr>
          <w:rFonts w:cs="Helvetica"/>
          <w:color w:val="595959"/>
          <w:szCs w:val="20"/>
          <w:lang w:eastAsia="en-GB"/>
        </w:rPr>
        <w:t>20</w:t>
      </w:r>
      <w:r w:rsidR="00D03AD3">
        <w:rPr>
          <w:rFonts w:cs="Helvetica"/>
          <w:color w:val="595959"/>
          <w:szCs w:val="20"/>
          <w:lang w:eastAsia="en-GB"/>
        </w:rPr>
        <w:t>22</w:t>
      </w:r>
      <w:r w:rsidR="00ED5D58">
        <w:rPr>
          <w:rFonts w:cs="Helvetica"/>
          <w:color w:val="595959"/>
          <w:szCs w:val="20"/>
          <w:lang w:eastAsia="en-GB"/>
        </w:rPr>
        <w:t>.2</w:t>
      </w:r>
      <w:r w:rsidRPr="001A5B9F">
        <w:rPr>
          <w:rFonts w:cs="Helvetica"/>
          <w:color w:val="595959"/>
          <w:szCs w:val="20"/>
          <w:lang w:eastAsia="en-GB"/>
        </w:rPr>
        <w:t xml:space="preserve">. </w:t>
      </w:r>
      <w:r w:rsidRPr="001A5B9F">
        <w:rPr>
          <w:rFonts w:cs="Helvetica"/>
          <w:i/>
          <w:color w:val="595959"/>
          <w:szCs w:val="20"/>
          <w:lang w:eastAsia="en-GB"/>
        </w:rPr>
        <w:t xml:space="preserve">GaBi Software Version </w:t>
      </w:r>
      <w:r w:rsidR="000545D2">
        <w:rPr>
          <w:rFonts w:cs="Helvetica"/>
          <w:i/>
          <w:color w:val="595959"/>
          <w:szCs w:val="20"/>
          <w:lang w:eastAsia="en-GB"/>
        </w:rPr>
        <w:t>10</w:t>
      </w:r>
      <w:r w:rsidRPr="001A5B9F">
        <w:rPr>
          <w:rFonts w:cs="Helvetica"/>
          <w:color w:val="595959"/>
          <w:szCs w:val="20"/>
          <w:lang w:eastAsia="en-GB"/>
        </w:rPr>
        <w:t xml:space="preserve">. </w:t>
      </w:r>
      <w:proofErr w:type="spellStart"/>
      <w:r w:rsidR="000545D2">
        <w:rPr>
          <w:rFonts w:cs="Helvetica"/>
          <w:color w:val="595959"/>
          <w:szCs w:val="20"/>
          <w:lang w:eastAsia="en-GB"/>
        </w:rPr>
        <w:t>Sphera</w:t>
      </w:r>
      <w:proofErr w:type="spellEnd"/>
    </w:p>
    <w:p w14:paraId="6E5EBE2D" w14:textId="58D58B32" w:rsidR="00CB6652" w:rsidRDefault="00CB6652" w:rsidP="001A5B9F">
      <w:pPr>
        <w:spacing w:after="240" w:line="312" w:lineRule="auto"/>
        <w:rPr>
          <w:rFonts w:cs="Helvetica"/>
          <w:color w:val="595959"/>
          <w:szCs w:val="20"/>
        </w:rPr>
      </w:pPr>
      <w:r w:rsidRPr="001A5B9F">
        <w:rPr>
          <w:rFonts w:cs="Helvetica"/>
          <w:color w:val="595959"/>
          <w:szCs w:val="20"/>
        </w:rPr>
        <w:t xml:space="preserve">Gandhi N. &amp; Diamond M. forthcoming. </w:t>
      </w:r>
      <w:r w:rsidRPr="001A5B9F">
        <w:rPr>
          <w:rFonts w:cs="Helvetica"/>
          <w:i/>
          <w:color w:val="595959"/>
          <w:szCs w:val="20"/>
        </w:rPr>
        <w:t>Freshwater Ecotoxicity Characterization Factors for Aluminium.</w:t>
      </w:r>
      <w:r w:rsidR="002F03CA" w:rsidRPr="001A5B9F">
        <w:rPr>
          <w:rFonts w:cs="Helvetica"/>
          <w:i/>
          <w:color w:val="595959"/>
          <w:szCs w:val="20"/>
        </w:rPr>
        <w:t xml:space="preserve"> </w:t>
      </w:r>
      <w:r w:rsidR="002F03CA" w:rsidRPr="001A5B9F">
        <w:rPr>
          <w:rFonts w:cs="Helvetica"/>
          <w:color w:val="595959"/>
          <w:szCs w:val="20"/>
        </w:rPr>
        <w:t>S</w:t>
      </w:r>
      <w:r w:rsidRPr="001A5B9F">
        <w:rPr>
          <w:rFonts w:cs="Helvetica"/>
          <w:color w:val="595959"/>
          <w:szCs w:val="20"/>
        </w:rPr>
        <w:t>ubmitted to International Journal of Life Cycle Assessment</w:t>
      </w:r>
      <w:r w:rsidR="002F03CA" w:rsidRPr="001A5B9F">
        <w:rPr>
          <w:rFonts w:cs="Helvetica"/>
          <w:color w:val="595959"/>
          <w:szCs w:val="20"/>
        </w:rPr>
        <w:t>.</w:t>
      </w:r>
    </w:p>
    <w:p w14:paraId="3B173363" w14:textId="03893733" w:rsidR="006833FD" w:rsidRPr="00516879" w:rsidRDefault="006833FD" w:rsidP="001A5B9F">
      <w:pPr>
        <w:spacing w:after="240" w:line="312" w:lineRule="auto"/>
        <w:jc w:val="both"/>
        <w:rPr>
          <w:rStyle w:val="Hyperlink"/>
        </w:rPr>
      </w:pPr>
      <w:r w:rsidRPr="001A5B9F">
        <w:rPr>
          <w:rFonts w:cs="Helvetica"/>
          <w:color w:val="595959"/>
          <w:szCs w:val="20"/>
        </w:rPr>
        <w:t xml:space="preserve">European Aluminium Association, </w:t>
      </w:r>
      <w:r w:rsidR="000545D2" w:rsidRPr="001A5B9F">
        <w:rPr>
          <w:rFonts w:cs="Helvetica"/>
          <w:color w:val="595959"/>
          <w:szCs w:val="20"/>
        </w:rPr>
        <w:t>201</w:t>
      </w:r>
      <w:r w:rsidR="000545D2">
        <w:rPr>
          <w:rFonts w:cs="Helvetica"/>
          <w:color w:val="595959"/>
          <w:szCs w:val="20"/>
        </w:rPr>
        <w:t>8</w:t>
      </w:r>
      <w:r w:rsidRPr="001A5B9F">
        <w:rPr>
          <w:rFonts w:cs="Helvetica"/>
          <w:color w:val="595959"/>
          <w:szCs w:val="20"/>
        </w:rPr>
        <w:t xml:space="preserve">. </w:t>
      </w:r>
      <w:r w:rsidRPr="001A5B9F">
        <w:rPr>
          <w:rFonts w:cs="Helvetica"/>
          <w:i/>
          <w:color w:val="595959"/>
          <w:szCs w:val="20"/>
        </w:rPr>
        <w:t xml:space="preserve">Environmental Profile Report for the European Aluminium Industry (year </w:t>
      </w:r>
      <w:r w:rsidR="000545D2" w:rsidRPr="001A5B9F">
        <w:rPr>
          <w:rFonts w:cs="Helvetica"/>
          <w:i/>
          <w:color w:val="595959"/>
          <w:szCs w:val="20"/>
        </w:rPr>
        <w:t>201</w:t>
      </w:r>
      <w:r w:rsidR="000545D2">
        <w:rPr>
          <w:rFonts w:cs="Helvetica"/>
          <w:i/>
          <w:color w:val="595959"/>
          <w:szCs w:val="20"/>
        </w:rPr>
        <w:t>5</w:t>
      </w:r>
      <w:r w:rsidR="000545D2" w:rsidRPr="001A5B9F">
        <w:rPr>
          <w:rFonts w:cs="Helvetica"/>
          <w:i/>
          <w:color w:val="595959"/>
          <w:szCs w:val="20"/>
        </w:rPr>
        <w:t xml:space="preserve"> </w:t>
      </w:r>
      <w:r w:rsidRPr="001A5B9F">
        <w:rPr>
          <w:rFonts w:cs="Helvetica"/>
          <w:i/>
          <w:color w:val="595959"/>
          <w:szCs w:val="20"/>
        </w:rPr>
        <w:t>data)</w:t>
      </w:r>
      <w:r w:rsidRPr="001A5B9F">
        <w:rPr>
          <w:rFonts w:cs="Helvetica"/>
          <w:color w:val="595959"/>
          <w:szCs w:val="20"/>
        </w:rPr>
        <w:t xml:space="preserve">. Available </w:t>
      </w:r>
      <w:r w:rsidR="00BF5FE0" w:rsidRPr="001A5B9F">
        <w:rPr>
          <w:rFonts w:cs="Helvetica"/>
          <w:color w:val="595959"/>
          <w:szCs w:val="20"/>
        </w:rPr>
        <w:t xml:space="preserve">from </w:t>
      </w:r>
      <w:r w:rsidR="000545D2" w:rsidRPr="00516879">
        <w:rPr>
          <w:rStyle w:val="Hyperlink"/>
          <w:rFonts w:cs="Helvetica"/>
          <w:szCs w:val="20"/>
        </w:rPr>
        <w:t>https://www.european-aluminium.eu/resource-hub/environmental-profile-report-2018/</w:t>
      </w:r>
      <w:r w:rsidR="000545D2" w:rsidRPr="00516879" w:rsidDel="000545D2">
        <w:rPr>
          <w:rStyle w:val="Hyperlink"/>
          <w:rFonts w:cs="Helvetica"/>
          <w:szCs w:val="20"/>
        </w:rPr>
        <w:t xml:space="preserve"> </w:t>
      </w:r>
    </w:p>
    <w:p w14:paraId="201890C8" w14:textId="0B1273E4" w:rsidR="00417D59" w:rsidRPr="00516879" w:rsidRDefault="00417D59" w:rsidP="001A5B9F">
      <w:pPr>
        <w:spacing w:after="240" w:line="312" w:lineRule="auto"/>
        <w:rPr>
          <w:rStyle w:val="Hyperlink"/>
        </w:rPr>
      </w:pPr>
      <w:bookmarkStart w:id="294" w:name="_Toc481767880"/>
      <w:bookmarkStart w:id="295" w:name="_Toc484178098"/>
      <w:r w:rsidRPr="001A5B9F">
        <w:rPr>
          <w:rFonts w:cs="Helvetica"/>
          <w:color w:val="595959"/>
          <w:szCs w:val="20"/>
        </w:rPr>
        <w:t xml:space="preserve">IAI, </w:t>
      </w:r>
      <w:r w:rsidR="000545D2" w:rsidRPr="001A5B9F">
        <w:rPr>
          <w:rFonts w:cs="Helvetica"/>
          <w:color w:val="595959"/>
          <w:szCs w:val="20"/>
        </w:rPr>
        <w:t>201</w:t>
      </w:r>
      <w:r w:rsidR="000545D2">
        <w:rPr>
          <w:rFonts w:cs="Helvetica"/>
          <w:color w:val="595959"/>
          <w:szCs w:val="20"/>
        </w:rPr>
        <w:t>7</w:t>
      </w:r>
      <w:r w:rsidRPr="001A5B9F">
        <w:rPr>
          <w:rFonts w:cs="Helvetica"/>
          <w:color w:val="595959"/>
          <w:szCs w:val="20"/>
        </w:rPr>
        <w:t xml:space="preserve">. </w:t>
      </w:r>
      <w:r w:rsidR="000545D2" w:rsidRPr="001A5B9F">
        <w:rPr>
          <w:rFonts w:cs="Helvetica"/>
          <w:i/>
          <w:color w:val="595959"/>
          <w:szCs w:val="20"/>
        </w:rPr>
        <w:t>201</w:t>
      </w:r>
      <w:r w:rsidR="000545D2">
        <w:rPr>
          <w:rFonts w:cs="Helvetica"/>
          <w:i/>
          <w:color w:val="595959"/>
          <w:szCs w:val="20"/>
        </w:rPr>
        <w:t>5</w:t>
      </w:r>
      <w:r w:rsidR="000545D2" w:rsidRPr="001A5B9F">
        <w:rPr>
          <w:rFonts w:cs="Helvetica"/>
          <w:i/>
          <w:color w:val="595959"/>
          <w:szCs w:val="20"/>
        </w:rPr>
        <w:t xml:space="preserve"> </w:t>
      </w:r>
      <w:r w:rsidRPr="001A5B9F">
        <w:rPr>
          <w:rFonts w:cs="Helvetica"/>
          <w:i/>
          <w:color w:val="595959"/>
          <w:szCs w:val="20"/>
        </w:rPr>
        <w:t xml:space="preserve">Life Cycle Inventory </w:t>
      </w:r>
      <w:r w:rsidR="000545D2">
        <w:rPr>
          <w:rFonts w:cs="Helvetica"/>
          <w:i/>
          <w:color w:val="595959"/>
          <w:szCs w:val="20"/>
        </w:rPr>
        <w:t>Data and environmental Metrics</w:t>
      </w:r>
      <w:r w:rsidRPr="001A5B9F">
        <w:rPr>
          <w:rFonts w:cs="Helvetica"/>
          <w:color w:val="595959"/>
          <w:szCs w:val="20"/>
        </w:rPr>
        <w:t xml:space="preserve">. Available </w:t>
      </w:r>
      <w:r w:rsidR="00BF5FE0" w:rsidRPr="001A5B9F">
        <w:rPr>
          <w:rFonts w:cs="Helvetica"/>
          <w:color w:val="595959"/>
          <w:szCs w:val="20"/>
        </w:rPr>
        <w:t xml:space="preserve">from </w:t>
      </w:r>
      <w:r w:rsidR="000545D2" w:rsidRPr="00516879">
        <w:rPr>
          <w:rStyle w:val="Hyperlink"/>
          <w:rFonts w:cs="Helvetica"/>
          <w:szCs w:val="20"/>
        </w:rPr>
        <w:t>https://international-aluminium.org/resource/life-cycle-inventory-data-and-environmental-metrics/</w:t>
      </w:r>
      <w:bookmarkEnd w:id="294"/>
      <w:bookmarkEnd w:id="295"/>
    </w:p>
    <w:p w14:paraId="18FB2CB4" w14:textId="6EFD6CC2" w:rsidR="00F1299F" w:rsidRPr="00516879" w:rsidRDefault="00F1299F" w:rsidP="001A5B9F">
      <w:pPr>
        <w:autoSpaceDE w:val="0"/>
        <w:autoSpaceDN w:val="0"/>
        <w:adjustRightInd w:val="0"/>
        <w:spacing w:after="240" w:line="312" w:lineRule="auto"/>
        <w:rPr>
          <w:rStyle w:val="Hyperlink"/>
        </w:rPr>
      </w:pPr>
      <w:r w:rsidRPr="001A5B9F">
        <w:rPr>
          <w:rFonts w:cs="Helvetica"/>
          <w:color w:val="595959"/>
          <w:szCs w:val="20"/>
          <w:lang w:eastAsia="en-GB"/>
        </w:rPr>
        <w:t xml:space="preserve">IAI, </w:t>
      </w:r>
      <w:r w:rsidR="000545D2" w:rsidRPr="001A5B9F">
        <w:rPr>
          <w:rFonts w:cs="Helvetica"/>
          <w:color w:val="595959"/>
          <w:szCs w:val="20"/>
          <w:lang w:eastAsia="en-GB"/>
        </w:rPr>
        <w:t>20</w:t>
      </w:r>
      <w:r w:rsidR="000545D2">
        <w:rPr>
          <w:rFonts w:cs="Helvetica"/>
          <w:color w:val="595959"/>
          <w:szCs w:val="20"/>
          <w:lang w:eastAsia="en-GB"/>
        </w:rPr>
        <w:t>21</w:t>
      </w:r>
      <w:r w:rsidRPr="001A5B9F">
        <w:rPr>
          <w:rFonts w:cs="Helvetica"/>
          <w:color w:val="595959"/>
          <w:szCs w:val="20"/>
          <w:lang w:eastAsia="en-GB"/>
        </w:rPr>
        <w:t xml:space="preserve">. </w:t>
      </w:r>
      <w:r w:rsidRPr="001A5B9F">
        <w:rPr>
          <w:rFonts w:cs="Helvetica"/>
          <w:i/>
          <w:iCs/>
          <w:color w:val="595959"/>
          <w:szCs w:val="20"/>
          <w:lang w:eastAsia="en-GB"/>
        </w:rPr>
        <w:t xml:space="preserve">Mass Flow Visualisation, </w:t>
      </w:r>
      <w:r w:rsidR="000545D2" w:rsidRPr="001A5B9F">
        <w:rPr>
          <w:rFonts w:cs="Helvetica"/>
          <w:i/>
          <w:iCs/>
          <w:color w:val="595959"/>
          <w:szCs w:val="20"/>
          <w:lang w:eastAsia="en-GB"/>
        </w:rPr>
        <w:t>201</w:t>
      </w:r>
      <w:r w:rsidR="000545D2">
        <w:rPr>
          <w:rFonts w:cs="Helvetica"/>
          <w:i/>
          <w:iCs/>
          <w:color w:val="595959"/>
          <w:szCs w:val="20"/>
          <w:lang w:eastAsia="en-GB"/>
        </w:rPr>
        <w:t>9</w:t>
      </w:r>
      <w:r w:rsidR="000545D2" w:rsidRPr="001A5B9F">
        <w:rPr>
          <w:rFonts w:cs="Helvetica"/>
          <w:i/>
          <w:iCs/>
          <w:color w:val="595959"/>
          <w:szCs w:val="20"/>
          <w:lang w:eastAsia="en-GB"/>
        </w:rPr>
        <w:t xml:space="preserve"> </w:t>
      </w:r>
      <w:r w:rsidRPr="001A5B9F">
        <w:rPr>
          <w:rFonts w:cs="Helvetica"/>
          <w:i/>
          <w:iCs/>
          <w:color w:val="595959"/>
          <w:szCs w:val="20"/>
          <w:lang w:eastAsia="en-GB"/>
        </w:rPr>
        <w:t xml:space="preserve">data. </w:t>
      </w:r>
      <w:r w:rsidRPr="001A5B9F">
        <w:rPr>
          <w:rFonts w:cs="Helvetica"/>
          <w:color w:val="595959"/>
          <w:szCs w:val="20"/>
          <w:lang w:eastAsia="en-GB"/>
        </w:rPr>
        <w:t xml:space="preserve">Available </w:t>
      </w:r>
      <w:r w:rsidR="00BF5FE0" w:rsidRPr="001A5B9F">
        <w:rPr>
          <w:rFonts w:cs="Helvetica"/>
          <w:color w:val="595959"/>
          <w:szCs w:val="20"/>
          <w:lang w:eastAsia="en-GB"/>
        </w:rPr>
        <w:t xml:space="preserve">from </w:t>
      </w:r>
      <w:r w:rsidR="000545D2" w:rsidRPr="00516879">
        <w:rPr>
          <w:rStyle w:val="Hyperlink"/>
          <w:rFonts w:cs="Helvetica"/>
          <w:szCs w:val="20"/>
        </w:rPr>
        <w:t>https://alucycle.international-aluminium.org/</w:t>
      </w:r>
    </w:p>
    <w:p w14:paraId="0013EB97" w14:textId="4F5DB5EB" w:rsidR="006833FD" w:rsidRPr="00BF5FE0" w:rsidRDefault="006833FD" w:rsidP="001A5B9F">
      <w:pPr>
        <w:pStyle w:val="Retraitcorpsdetexte2"/>
        <w:spacing w:after="240" w:line="312" w:lineRule="auto"/>
        <w:ind w:left="0" w:firstLine="0"/>
        <w:jc w:val="both"/>
        <w:rPr>
          <w:rFonts w:ascii="Helvetica" w:hAnsi="Helvetica" w:cs="Helvetica"/>
          <w:color w:val="595959"/>
          <w:szCs w:val="20"/>
        </w:rPr>
      </w:pPr>
      <w:r w:rsidRPr="00BF5FE0">
        <w:rPr>
          <w:rFonts w:ascii="Helvetica" w:hAnsi="Helvetica" w:cs="Helvetica"/>
          <w:color w:val="595959"/>
          <w:szCs w:val="20"/>
        </w:rPr>
        <w:t xml:space="preserve">International Organisation for Standardisation, 2006. </w:t>
      </w:r>
      <w:r w:rsidRPr="00BF5FE0">
        <w:rPr>
          <w:rFonts w:ascii="Helvetica" w:hAnsi="Helvetica" w:cs="Helvetica"/>
          <w:i/>
          <w:color w:val="595959"/>
          <w:szCs w:val="20"/>
        </w:rPr>
        <w:t>ISO14040 Environmental management – Life cycle assessment – Principles and framework.</w:t>
      </w:r>
      <w:r w:rsidRPr="00BF5FE0">
        <w:rPr>
          <w:rFonts w:ascii="Helvetica" w:hAnsi="Helvetica" w:cs="Helvetica"/>
          <w:color w:val="595959"/>
          <w:szCs w:val="20"/>
        </w:rPr>
        <w:t xml:space="preserve"> International Organisation for Standardisation.</w:t>
      </w:r>
    </w:p>
    <w:p w14:paraId="4E10DAFC" w14:textId="77777777" w:rsidR="006833FD" w:rsidRPr="00BF5FE0" w:rsidRDefault="006833FD" w:rsidP="001A5B9F">
      <w:pPr>
        <w:pStyle w:val="Retraitcorpsdetexte2"/>
        <w:spacing w:after="240" w:line="312" w:lineRule="auto"/>
        <w:ind w:left="0" w:firstLine="0"/>
        <w:jc w:val="both"/>
        <w:rPr>
          <w:rFonts w:ascii="Helvetica" w:hAnsi="Helvetica" w:cs="Helvetica"/>
          <w:color w:val="595959"/>
          <w:szCs w:val="20"/>
        </w:rPr>
      </w:pPr>
      <w:r w:rsidRPr="00BF5FE0">
        <w:rPr>
          <w:rFonts w:ascii="Helvetica" w:hAnsi="Helvetica" w:cs="Helvetica"/>
          <w:color w:val="595959"/>
          <w:szCs w:val="20"/>
        </w:rPr>
        <w:t xml:space="preserve">International Organisation for Standardisation, 2006. </w:t>
      </w:r>
      <w:r w:rsidRPr="00BF5FE0">
        <w:rPr>
          <w:rFonts w:ascii="Helvetica" w:hAnsi="Helvetica" w:cs="Helvetica"/>
          <w:i/>
          <w:color w:val="595959"/>
          <w:szCs w:val="20"/>
        </w:rPr>
        <w:t>ISO14044 Environmental management – Life cycle assessment – Requirements and guidelines.</w:t>
      </w:r>
      <w:r w:rsidRPr="00BF5FE0">
        <w:rPr>
          <w:rFonts w:ascii="Helvetica" w:hAnsi="Helvetica" w:cs="Helvetica"/>
          <w:color w:val="595959"/>
          <w:szCs w:val="20"/>
        </w:rPr>
        <w:t xml:space="preserve"> International Organisation for Standardisation.</w:t>
      </w:r>
    </w:p>
    <w:p w14:paraId="6125DC27" w14:textId="77777777" w:rsidR="006833FD" w:rsidRPr="00BF5FE0" w:rsidRDefault="006833FD" w:rsidP="001A5B9F">
      <w:pPr>
        <w:pStyle w:val="Retraitcorpsdetexte2"/>
        <w:spacing w:after="240" w:line="312" w:lineRule="auto"/>
        <w:ind w:left="0" w:firstLine="0"/>
        <w:jc w:val="both"/>
        <w:rPr>
          <w:rFonts w:ascii="Helvetica" w:hAnsi="Helvetica" w:cs="Helvetica"/>
          <w:color w:val="595959"/>
          <w:szCs w:val="20"/>
        </w:rPr>
      </w:pPr>
      <w:r w:rsidRPr="00BF5FE0">
        <w:rPr>
          <w:rFonts w:ascii="Helvetica" w:hAnsi="Helvetica" w:cs="Helvetica"/>
          <w:color w:val="595959"/>
          <w:szCs w:val="20"/>
        </w:rPr>
        <w:t xml:space="preserve">International Organisation for Standardisation, 2014. </w:t>
      </w:r>
      <w:r w:rsidRPr="00BF5FE0">
        <w:rPr>
          <w:rFonts w:ascii="Helvetica" w:hAnsi="Helvetica" w:cs="Helvetica"/>
          <w:i/>
          <w:color w:val="595959"/>
          <w:szCs w:val="20"/>
        </w:rPr>
        <w:t xml:space="preserve">ISO14046 Environmental management – Water Footprint – Principles, requirements and guidelines. </w:t>
      </w:r>
      <w:r w:rsidRPr="00BF5FE0">
        <w:rPr>
          <w:rFonts w:ascii="Helvetica" w:hAnsi="Helvetica" w:cs="Helvetica"/>
          <w:color w:val="595959"/>
          <w:szCs w:val="20"/>
        </w:rPr>
        <w:t>International Organisation for Standardisation.</w:t>
      </w:r>
    </w:p>
    <w:p w14:paraId="1A65CAFB" w14:textId="7D4FEB96" w:rsidR="00966A7D" w:rsidRPr="001A5B9F" w:rsidRDefault="00966A7D" w:rsidP="001A5B9F">
      <w:pPr>
        <w:spacing w:after="240" w:line="312" w:lineRule="auto"/>
        <w:rPr>
          <w:rFonts w:cs="Helvetica"/>
          <w:color w:val="595959"/>
          <w:szCs w:val="20"/>
          <w:lang w:eastAsia="en-GB"/>
        </w:rPr>
      </w:pPr>
      <w:r w:rsidRPr="001A5B9F">
        <w:rPr>
          <w:rFonts w:cs="Helvetica"/>
          <w:color w:val="595959"/>
          <w:szCs w:val="20"/>
          <w:lang w:eastAsia="en-GB"/>
        </w:rPr>
        <w:t xml:space="preserve">PE International, 2014. </w:t>
      </w:r>
      <w:r w:rsidRPr="001A5B9F">
        <w:rPr>
          <w:rFonts w:cs="Helvetica"/>
          <w:i/>
          <w:iCs/>
          <w:color w:val="595959"/>
          <w:szCs w:val="20"/>
          <w:lang w:eastAsia="en-GB"/>
        </w:rPr>
        <w:t xml:space="preserve">Harmonization of LCA Methodologies for Metals, Version 1.01. </w:t>
      </w:r>
      <w:r w:rsidRPr="001A5B9F">
        <w:rPr>
          <w:rFonts w:cs="Helvetica"/>
          <w:color w:val="595959"/>
          <w:szCs w:val="20"/>
          <w:lang w:eastAsia="en-GB"/>
        </w:rPr>
        <w:t xml:space="preserve">PE International Available </w:t>
      </w:r>
      <w:r w:rsidR="00BF5FE0" w:rsidRPr="001A5B9F">
        <w:rPr>
          <w:rFonts w:cs="Helvetica"/>
          <w:color w:val="595959"/>
          <w:szCs w:val="20"/>
          <w:lang w:eastAsia="en-GB"/>
        </w:rPr>
        <w:t xml:space="preserve">from </w:t>
      </w:r>
      <w:hyperlink r:id="rId39" w:history="1">
        <w:r w:rsidRPr="001A5B9F">
          <w:rPr>
            <w:rStyle w:val="Hyperlink"/>
            <w:rFonts w:cs="Helvetica"/>
            <w:szCs w:val="20"/>
            <w:lang w:eastAsia="en-GB"/>
          </w:rPr>
          <w:t>http://www.euromines.org/files/publications/harmonization-lca-methodologies-metals.pdf</w:t>
        </w:r>
      </w:hyperlink>
      <w:r w:rsidR="00BF5FE0" w:rsidRPr="001A5B9F">
        <w:rPr>
          <w:rFonts w:cs="Helvetica"/>
          <w:color w:val="595959"/>
          <w:szCs w:val="20"/>
        </w:rPr>
        <w:t xml:space="preserve"> </w:t>
      </w:r>
      <w:r w:rsidRPr="001A5B9F">
        <w:rPr>
          <w:rFonts w:cs="Helvetica"/>
          <w:color w:val="595959"/>
          <w:szCs w:val="20"/>
          <w:lang w:eastAsia="en-GB"/>
        </w:rPr>
        <w:t>[Accessed 6 February 2017]</w:t>
      </w:r>
    </w:p>
    <w:p w14:paraId="0C09FBAC" w14:textId="15C37826" w:rsidR="00F94604" w:rsidRPr="001A5B9F" w:rsidRDefault="000545D2" w:rsidP="001A5B9F">
      <w:pPr>
        <w:spacing w:after="240" w:line="312" w:lineRule="auto"/>
        <w:rPr>
          <w:rFonts w:cs="Helvetica"/>
          <w:szCs w:val="20"/>
        </w:rPr>
      </w:pPr>
      <w:r w:rsidRPr="00B217EE">
        <w:rPr>
          <w:rFonts w:cs="Helvetica"/>
          <w:color w:val="595959"/>
          <w:szCs w:val="20"/>
        </w:rPr>
        <w:lastRenderedPageBreak/>
        <w:t>K. Buxmann</w:t>
      </w:r>
      <w:r w:rsidR="002F03CA" w:rsidRPr="00B217EE">
        <w:rPr>
          <w:rFonts w:cs="Helvetica"/>
          <w:color w:val="595959"/>
          <w:szCs w:val="20"/>
        </w:rPr>
        <w:t>, A</w:t>
      </w:r>
      <w:r w:rsidRPr="00B217EE">
        <w:rPr>
          <w:rFonts w:cs="Helvetica"/>
          <w:color w:val="595959"/>
          <w:szCs w:val="20"/>
        </w:rPr>
        <w:t xml:space="preserve">. Koehler, D. </w:t>
      </w:r>
      <w:proofErr w:type="spellStart"/>
      <w:r w:rsidRPr="00B217EE">
        <w:rPr>
          <w:rFonts w:cs="Helvetica"/>
          <w:color w:val="595959"/>
          <w:szCs w:val="20"/>
        </w:rPr>
        <w:t>Thylmann</w:t>
      </w:r>
      <w:proofErr w:type="spellEnd"/>
      <w:r w:rsidR="00966A7D" w:rsidRPr="00B217EE">
        <w:rPr>
          <w:rFonts w:cs="Helvetica"/>
          <w:color w:val="595959"/>
          <w:szCs w:val="20"/>
        </w:rPr>
        <w:t xml:space="preserve">. </w:t>
      </w:r>
      <w:r w:rsidRPr="00B217EE">
        <w:rPr>
          <w:rFonts w:cs="Helvetica"/>
          <w:color w:val="595959"/>
          <w:szCs w:val="20"/>
        </w:rPr>
        <w:t>2016</w:t>
      </w:r>
      <w:r w:rsidR="00966A7D" w:rsidRPr="00BF5FE0">
        <w:rPr>
          <w:rFonts w:eastAsia="Times New Roman" w:cs="Helvetica"/>
          <w:color w:val="595959"/>
          <w:szCs w:val="20"/>
          <w:lang w:eastAsia="ar-SA"/>
        </w:rPr>
        <w:t xml:space="preserve">. </w:t>
      </w:r>
      <w:r w:rsidRPr="000545D2">
        <w:rPr>
          <w:rFonts w:eastAsia="Times New Roman" w:cs="Helvetica"/>
          <w:i/>
          <w:color w:val="595959"/>
          <w:szCs w:val="20"/>
          <w:lang w:eastAsia="ar-SA"/>
        </w:rPr>
        <w:t>Water scarcity footprint of primary aluminium</w:t>
      </w:r>
      <w:r w:rsidRPr="000545D2" w:rsidDel="000545D2">
        <w:rPr>
          <w:rFonts w:eastAsia="Times New Roman" w:cs="Helvetica"/>
          <w:i/>
          <w:color w:val="595959"/>
          <w:szCs w:val="20"/>
          <w:lang w:eastAsia="ar-SA"/>
        </w:rPr>
        <w:t xml:space="preserve"> </w:t>
      </w:r>
      <w:r w:rsidRPr="000545D2">
        <w:rPr>
          <w:rFonts w:eastAsia="Times New Roman" w:cs="Helvetica"/>
          <w:color w:val="595959"/>
          <w:szCs w:val="20"/>
          <w:lang w:eastAsia="ar-SA"/>
        </w:rPr>
        <w:t>Submitted to International Journal of Life Cycle Assessment.</w:t>
      </w:r>
    </w:p>
    <w:p w14:paraId="54AB38A1" w14:textId="01B34C08" w:rsidR="001A5B9F" w:rsidRDefault="0013016E" w:rsidP="001A5B9F">
      <w:pPr>
        <w:spacing w:after="240" w:line="312" w:lineRule="auto"/>
      </w:pPr>
      <w:r w:rsidRPr="001A5B9F">
        <w:rPr>
          <w:rFonts w:cs="Helvetica"/>
          <w:color w:val="595959"/>
          <w:szCs w:val="20"/>
        </w:rPr>
        <w:t xml:space="preserve">World Resources Institute, 2015. </w:t>
      </w:r>
      <w:r w:rsidRPr="001A5B9F">
        <w:rPr>
          <w:rFonts w:cs="Helvetica"/>
          <w:i/>
          <w:color w:val="595959"/>
          <w:szCs w:val="20"/>
        </w:rPr>
        <w:t>Aluminium Sector GHG Workbook</w:t>
      </w:r>
      <w:r w:rsidRPr="001A5B9F">
        <w:rPr>
          <w:rFonts w:cs="Helvetica"/>
          <w:color w:val="595959"/>
          <w:szCs w:val="20"/>
        </w:rPr>
        <w:t xml:space="preserve">. Version 2.1. Available </w:t>
      </w:r>
      <w:r w:rsidR="00BF5FE0" w:rsidRPr="001A5B9F">
        <w:rPr>
          <w:rFonts w:cs="Helvetica"/>
          <w:color w:val="595959"/>
          <w:szCs w:val="20"/>
        </w:rPr>
        <w:t xml:space="preserve">from </w:t>
      </w:r>
      <w:hyperlink r:id="rId40" w:history="1">
        <w:r w:rsidR="006F67F0" w:rsidRPr="00A64722">
          <w:rPr>
            <w:rStyle w:val="Hyperlink"/>
          </w:rPr>
          <w:t>https://ghgprotocol.org/sites/default/files/Aluminium%20Sector%20GHG%20Workbook%20-%20version%202_1_0.xls</w:t>
        </w:r>
      </w:hyperlink>
    </w:p>
    <w:p w14:paraId="23793FE9" w14:textId="657682A1" w:rsidR="001A5B9F" w:rsidRDefault="00BF5FE0" w:rsidP="001A5B9F">
      <w:pPr>
        <w:spacing w:after="240" w:line="312" w:lineRule="auto"/>
      </w:pPr>
      <w:r w:rsidRPr="001A5B9F">
        <w:rPr>
          <w:rFonts w:cs="Helvetica"/>
          <w:color w:val="595959"/>
          <w:szCs w:val="20"/>
        </w:rPr>
        <w:t xml:space="preserve">World Resources Institute, 2015. </w:t>
      </w:r>
      <w:r w:rsidRPr="001A5B9F">
        <w:rPr>
          <w:rFonts w:cs="Helvetica"/>
          <w:i/>
          <w:color w:val="595959"/>
          <w:szCs w:val="20"/>
        </w:rPr>
        <w:t>GHG Protocol for stationary combustion</w:t>
      </w:r>
      <w:r w:rsidRPr="001A5B9F">
        <w:rPr>
          <w:rFonts w:cs="Helvetica"/>
          <w:color w:val="595959"/>
          <w:szCs w:val="20"/>
        </w:rPr>
        <w:t xml:space="preserve">. Version 2.1. Available from </w:t>
      </w:r>
      <w:hyperlink r:id="rId41" w:history="1">
        <w:r w:rsidR="00C940EF" w:rsidRPr="00A64722">
          <w:rPr>
            <w:rStyle w:val="Hyperlink"/>
          </w:rPr>
          <w:t>https://ghgprotocol.org/sites/default/files/Stationary_combustion_tool_%28Version4-1%29.xlsx</w:t>
        </w:r>
      </w:hyperlink>
    </w:p>
    <w:p w14:paraId="0281FB1C" w14:textId="77777777" w:rsidR="00C940EF" w:rsidRPr="000C73FF" w:rsidRDefault="00C940EF" w:rsidP="001A5B9F">
      <w:pPr>
        <w:spacing w:after="240" w:line="312" w:lineRule="auto"/>
        <w:rPr>
          <w:rFonts w:cs="Helvetica"/>
          <w:color w:val="595959"/>
          <w:szCs w:val="20"/>
        </w:rPr>
      </w:pPr>
    </w:p>
    <w:p w14:paraId="600C6B2B" w14:textId="4C31899E" w:rsidR="002739C0" w:rsidRPr="001A5B9F" w:rsidRDefault="002739C0" w:rsidP="001A5B9F">
      <w:pPr>
        <w:spacing w:after="240" w:line="312" w:lineRule="auto"/>
        <w:rPr>
          <w:rFonts w:cs="Helvetica"/>
          <w:color w:val="595959"/>
          <w:szCs w:val="20"/>
        </w:rPr>
      </w:pPr>
    </w:p>
    <w:sectPr w:rsidR="002739C0" w:rsidRPr="001A5B9F" w:rsidSect="00893AA6">
      <w:pgSz w:w="11907" w:h="16839" w:code="9"/>
      <w:pgMar w:top="2552" w:right="1134" w:bottom="1276" w:left="1134" w:header="1276" w:footer="85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A306C" w14:textId="77777777" w:rsidR="004F3D7C" w:rsidRDefault="004F3D7C" w:rsidP="005B7464">
      <w:pPr>
        <w:spacing w:after="0"/>
      </w:pPr>
      <w:r>
        <w:separator/>
      </w:r>
    </w:p>
  </w:endnote>
  <w:endnote w:type="continuationSeparator" w:id="0">
    <w:p w14:paraId="134C6CC5" w14:textId="77777777" w:rsidR="004F3D7C" w:rsidRDefault="004F3D7C" w:rsidP="005B7464">
      <w:pPr>
        <w:spacing w:after="0"/>
      </w:pPr>
      <w:r>
        <w:continuationSeparator/>
      </w:r>
    </w:p>
  </w:endnote>
  <w:endnote w:type="continuationNotice" w:id="1">
    <w:p w14:paraId="64477C4A" w14:textId="77777777" w:rsidR="004F3D7C" w:rsidRDefault="004F3D7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2AFF" w:usb1="5000785B" w:usb2="00000000"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Roman">
    <w:altName w:val="Times New Roman"/>
    <w:charset w:val="00"/>
    <w:family w:val="roman"/>
    <w:pitch w:val="default"/>
  </w:font>
  <w:font w:name="Times-Roman">
    <w:panose1 w:val="00000000000000000000"/>
    <w:charset w:val="4D"/>
    <w:family w:val="auto"/>
    <w:notTrueType/>
    <w:pitch w:val="default"/>
    <w:sig w:usb0="00000003" w:usb1="00000000" w:usb2="00000000" w:usb3="00000000" w:csb0="00000001" w:csb1="00000000"/>
  </w:font>
  <w:font w:name="Neutraface Text Bold">
    <w:altName w:val="Segoe UI Semibold"/>
    <w:panose1 w:val="00000000000000000000"/>
    <w:charset w:val="00"/>
    <w:family w:val="modern"/>
    <w:notTrueType/>
    <w:pitch w:val="variable"/>
    <w:sig w:usb0="800000AF" w:usb1="5000204A" w:usb2="00000000" w:usb3="00000000" w:csb0="0000009B" w:csb1="00000000"/>
  </w:font>
  <w:font w:name="Helv">
    <w:altName w:val="Arial"/>
    <w:panose1 w:val="020B0604020202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Helvetica"/>
      </w:rPr>
      <w:id w:val="-893580259"/>
      <w:docPartObj>
        <w:docPartGallery w:val="Page Numbers (Bottom of Page)"/>
        <w:docPartUnique/>
      </w:docPartObj>
    </w:sdtPr>
    <w:sdtEndPr>
      <w:rPr>
        <w:noProof/>
      </w:rPr>
    </w:sdtEndPr>
    <w:sdtContent>
      <w:p w14:paraId="03B8B007" w14:textId="422AD5F9" w:rsidR="003E19DF" w:rsidRPr="000D0304" w:rsidRDefault="003E19DF" w:rsidP="000D0304">
        <w:pPr>
          <w:pStyle w:val="Footer"/>
          <w:jc w:val="center"/>
          <w:rPr>
            <w:rFonts w:cs="Helvetica"/>
          </w:rPr>
        </w:pPr>
        <w:r w:rsidRPr="000D0304">
          <w:rPr>
            <w:rFonts w:cs="Helvetica"/>
          </w:rPr>
          <w:fldChar w:fldCharType="begin"/>
        </w:r>
        <w:r w:rsidRPr="000D0304">
          <w:rPr>
            <w:rFonts w:cs="Helvetica"/>
          </w:rPr>
          <w:instrText xml:space="preserve"> PAGE   \* MERGEFORMAT </w:instrText>
        </w:r>
        <w:r w:rsidRPr="000D0304">
          <w:rPr>
            <w:rFonts w:cs="Helvetica"/>
          </w:rPr>
          <w:fldChar w:fldCharType="separate"/>
        </w:r>
        <w:r w:rsidR="007F0DD5">
          <w:rPr>
            <w:rFonts w:cs="Helvetica"/>
            <w:noProof/>
          </w:rPr>
          <w:t>42</w:t>
        </w:r>
        <w:r w:rsidRPr="000D0304">
          <w:rPr>
            <w:rFonts w:cs="Helvetica"/>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1D183" w14:textId="77777777" w:rsidR="004F3D7C" w:rsidRDefault="004F3D7C" w:rsidP="005B7464">
      <w:pPr>
        <w:spacing w:after="0"/>
      </w:pPr>
      <w:r>
        <w:separator/>
      </w:r>
    </w:p>
  </w:footnote>
  <w:footnote w:type="continuationSeparator" w:id="0">
    <w:p w14:paraId="2B20456A" w14:textId="77777777" w:rsidR="004F3D7C" w:rsidRDefault="004F3D7C" w:rsidP="005B7464">
      <w:pPr>
        <w:spacing w:after="0"/>
      </w:pPr>
      <w:r>
        <w:continuationSeparator/>
      </w:r>
    </w:p>
  </w:footnote>
  <w:footnote w:type="continuationNotice" w:id="1">
    <w:p w14:paraId="60A01930" w14:textId="77777777" w:rsidR="004F3D7C" w:rsidRDefault="004F3D7C">
      <w:pPr>
        <w:spacing w:after="0"/>
      </w:pPr>
    </w:p>
  </w:footnote>
  <w:footnote w:id="2">
    <w:p w14:paraId="5829E9C0" w14:textId="53BFA208" w:rsidR="003E19DF" w:rsidRPr="001A5B9F" w:rsidRDefault="003E19DF">
      <w:pPr>
        <w:pStyle w:val="FootnoteText"/>
        <w:rPr>
          <w:rFonts w:ascii="Helvetica" w:hAnsi="Helvetica" w:cs="Helvetica"/>
          <w:sz w:val="16"/>
          <w:szCs w:val="16"/>
        </w:rPr>
      </w:pPr>
      <w:r w:rsidRPr="001A5B9F">
        <w:rPr>
          <w:rStyle w:val="FootnoteReference"/>
          <w:rFonts w:ascii="Helvetica" w:hAnsi="Helvetica" w:cs="Helvetica"/>
          <w:sz w:val="16"/>
          <w:szCs w:val="16"/>
        </w:rPr>
        <w:footnoteRef/>
      </w:r>
      <w:r w:rsidRPr="001A5B9F">
        <w:rPr>
          <w:rFonts w:ascii="Helvetica" w:hAnsi="Helvetica" w:cs="Helvetica"/>
          <w:sz w:val="16"/>
          <w:szCs w:val="16"/>
        </w:rPr>
        <w:t xml:space="preserve"> </w:t>
      </w:r>
      <w:r w:rsidRPr="001A5B9F">
        <w:rPr>
          <w:rFonts w:ascii="Helvetica" w:eastAsia="Cambria" w:hAnsi="Helvetica" w:cs="Helvetica"/>
          <w:color w:val="595959"/>
          <w:sz w:val="16"/>
          <w:szCs w:val="16"/>
          <w:lang w:eastAsia="en-US"/>
        </w:rPr>
        <w:t>Care should be exercised when using air emissions data in this report, namely SO</w:t>
      </w:r>
      <w:r w:rsidRPr="001A5B9F">
        <w:rPr>
          <w:rFonts w:ascii="Helvetica" w:eastAsia="Cambria" w:hAnsi="Helvetica" w:cs="Helvetica"/>
          <w:color w:val="595959"/>
          <w:sz w:val="16"/>
          <w:szCs w:val="16"/>
          <w:vertAlign w:val="subscript"/>
          <w:lang w:eastAsia="en-US"/>
        </w:rPr>
        <w:t>2</w:t>
      </w:r>
      <w:r w:rsidRPr="001A5B9F">
        <w:rPr>
          <w:rFonts w:ascii="Helvetica" w:eastAsia="Cambria" w:hAnsi="Helvetica" w:cs="Helvetica"/>
          <w:color w:val="595959"/>
          <w:sz w:val="16"/>
          <w:szCs w:val="16"/>
          <w:lang w:eastAsia="en-US"/>
        </w:rPr>
        <w:t xml:space="preserve"> and NO</w:t>
      </w:r>
      <w:r w:rsidRPr="001A5B9F">
        <w:rPr>
          <w:rFonts w:ascii="Helvetica" w:eastAsia="Cambria" w:hAnsi="Helvetica" w:cs="Helvetica"/>
          <w:color w:val="595959"/>
          <w:sz w:val="16"/>
          <w:szCs w:val="16"/>
          <w:vertAlign w:val="subscript"/>
          <w:lang w:eastAsia="en-US"/>
        </w:rPr>
        <w:t>x</w:t>
      </w:r>
      <w:r w:rsidRPr="001A5B9F">
        <w:rPr>
          <w:rFonts w:ascii="Helvetica" w:eastAsia="Cambria" w:hAnsi="Helvetica" w:cs="Helvetica"/>
          <w:color w:val="595959"/>
          <w:sz w:val="16"/>
          <w:szCs w:val="16"/>
          <w:lang w:eastAsia="en-US"/>
        </w:rPr>
        <w:t xml:space="preserve"> emissions. </w:t>
      </w:r>
      <w:r>
        <w:rPr>
          <w:rFonts w:ascii="Helvetica" w:eastAsia="Cambria" w:hAnsi="Helvetica" w:cs="Helvetica"/>
          <w:color w:val="595959"/>
          <w:sz w:val="16"/>
          <w:szCs w:val="16"/>
          <w:lang w:eastAsia="en-US"/>
        </w:rPr>
        <w:t xml:space="preserve"> </w:t>
      </w:r>
      <w:r w:rsidRPr="001A5B9F">
        <w:rPr>
          <w:rFonts w:ascii="Helvetica" w:eastAsia="Cambria" w:hAnsi="Helvetica" w:cs="Helvetica"/>
          <w:color w:val="595959"/>
          <w:sz w:val="16"/>
          <w:szCs w:val="16"/>
          <w:lang w:eastAsia="en-US"/>
        </w:rPr>
        <w:t xml:space="preserve">Reported facility data on air emissions include those associated with fuel combustion. </w:t>
      </w:r>
      <w:r>
        <w:rPr>
          <w:rFonts w:ascii="Helvetica" w:eastAsia="Cambria" w:hAnsi="Helvetica" w:cs="Helvetica"/>
          <w:color w:val="595959"/>
          <w:sz w:val="16"/>
          <w:szCs w:val="16"/>
          <w:lang w:eastAsia="en-US"/>
        </w:rPr>
        <w:t xml:space="preserve"> </w:t>
      </w:r>
      <w:r w:rsidRPr="001A5B9F">
        <w:rPr>
          <w:rFonts w:ascii="Helvetica" w:eastAsia="Cambria" w:hAnsi="Helvetica" w:cs="Helvetica"/>
          <w:color w:val="595959"/>
          <w:sz w:val="16"/>
          <w:szCs w:val="16"/>
          <w:lang w:eastAsia="en-US"/>
        </w:rPr>
        <w:t xml:space="preserve">It is recommended that life cycle practitioners be aware of the potential for double counting of such emissions. </w:t>
      </w:r>
      <w:r>
        <w:rPr>
          <w:rFonts w:ascii="Helvetica" w:eastAsia="Cambria" w:hAnsi="Helvetica" w:cs="Helvetica"/>
          <w:color w:val="595959"/>
          <w:sz w:val="16"/>
          <w:szCs w:val="16"/>
          <w:lang w:eastAsia="en-US"/>
        </w:rPr>
        <w:t xml:space="preserve"> </w:t>
      </w:r>
    </w:p>
  </w:footnote>
  <w:footnote w:id="3">
    <w:p w14:paraId="6BDA740F" w14:textId="4107215E" w:rsidR="00C14496" w:rsidRPr="00FD4D41" w:rsidRDefault="00C14496">
      <w:pPr>
        <w:pStyle w:val="FootnoteText"/>
        <w:rPr>
          <w:rFonts w:ascii="Helv" w:hAnsi="Helv"/>
        </w:rPr>
      </w:pPr>
      <w:r w:rsidRPr="00FD4D41">
        <w:rPr>
          <w:rStyle w:val="FootnoteReference"/>
          <w:rFonts w:ascii="Helv" w:hAnsi="Helv"/>
        </w:rPr>
        <w:footnoteRef/>
      </w:r>
      <w:r w:rsidRPr="00FD4D41">
        <w:rPr>
          <w:rFonts w:ascii="Helv" w:hAnsi="Helv"/>
        </w:rPr>
        <w:t xml:space="preserve"> </w:t>
      </w:r>
      <w:r w:rsidRPr="004E703D">
        <w:rPr>
          <w:rFonts w:ascii="Helv" w:hAnsi="Helv"/>
          <w:color w:val="808080" w:themeColor="background1" w:themeShade="80"/>
        </w:rPr>
        <w:t>&amp;</w:t>
      </w:r>
      <w:r w:rsidRPr="00FD4D41">
        <w:rPr>
          <w:rFonts w:ascii="Helv" w:hAnsi="Helv"/>
        </w:rPr>
        <w:t xml:space="preserve"> </w:t>
      </w:r>
      <w:r w:rsidRPr="00FD4D41">
        <w:rPr>
          <w:rStyle w:val="FootnoteReference"/>
          <w:rFonts w:ascii="Helv" w:hAnsi="Helv"/>
        </w:rPr>
        <w:t>3</w:t>
      </w:r>
      <w:r w:rsidRPr="00FD4D41">
        <w:rPr>
          <w:rFonts w:ascii="Helv" w:hAnsi="Helv"/>
        </w:rPr>
        <w:t xml:space="preserve"> </w:t>
      </w:r>
      <w:r w:rsidRPr="00FD4D41">
        <w:rPr>
          <w:rFonts w:ascii="Helvetica" w:eastAsia="Cambria" w:hAnsi="Helvetica" w:cs="Helvetica"/>
          <w:color w:val="595959"/>
          <w:sz w:val="16"/>
          <w:lang w:eastAsia="en-US"/>
        </w:rPr>
        <w:t>2019, instead of 2020, LCI was collected to exclude the pandemic impact on normal operation.</w:t>
      </w:r>
    </w:p>
  </w:footnote>
  <w:footnote w:id="4">
    <w:p w14:paraId="6A760E69" w14:textId="3C443DA5" w:rsidR="00C14496" w:rsidRDefault="00C14496">
      <w:pPr>
        <w:pStyle w:val="FootnoteText"/>
      </w:pPr>
    </w:p>
  </w:footnote>
  <w:footnote w:id="5">
    <w:p w14:paraId="5AF94F61" w14:textId="77777777" w:rsidR="003E19DF" w:rsidRPr="001A5B9F" w:rsidRDefault="003E19DF">
      <w:pPr>
        <w:pStyle w:val="FootnoteText"/>
        <w:rPr>
          <w:rFonts w:ascii="Helvetica" w:hAnsi="Helvetica" w:cs="Helvetica"/>
          <w:sz w:val="16"/>
          <w:szCs w:val="16"/>
        </w:rPr>
      </w:pPr>
      <w:r w:rsidRPr="001A5B9F">
        <w:rPr>
          <w:rStyle w:val="FootnoteReference"/>
          <w:rFonts w:ascii="Helvetica" w:hAnsi="Helvetica" w:cs="Helvetica"/>
          <w:sz w:val="16"/>
          <w:szCs w:val="16"/>
        </w:rPr>
        <w:footnoteRef/>
      </w:r>
      <w:r w:rsidRPr="001A5B9F">
        <w:rPr>
          <w:rFonts w:ascii="Helvetica" w:hAnsi="Helvetica" w:cs="Helvetica"/>
          <w:sz w:val="16"/>
          <w:szCs w:val="16"/>
        </w:rPr>
        <w:t xml:space="preserve"> </w:t>
      </w:r>
      <w:r w:rsidRPr="001A5B9F">
        <w:rPr>
          <w:rFonts w:ascii="Helvetica" w:hAnsi="Helvetica" w:cs="Helvetica"/>
          <w:color w:val="595959"/>
          <w:sz w:val="16"/>
          <w:szCs w:val="16"/>
          <w:lang w:eastAsia="en-GB"/>
        </w:rPr>
        <w:t xml:space="preserve">The results of this study are </w:t>
      </w:r>
      <w:r w:rsidRPr="001A5B9F">
        <w:rPr>
          <w:rFonts w:ascii="Helvetica" w:hAnsi="Helvetica" w:cs="Helvetica"/>
          <w:b/>
          <w:color w:val="595959"/>
          <w:sz w:val="16"/>
          <w:szCs w:val="16"/>
          <w:u w:val="single"/>
          <w:lang w:eastAsia="en-GB"/>
        </w:rPr>
        <w:t>not intended to be used in comparative assertions</w:t>
      </w:r>
      <w:r w:rsidRPr="001A5B9F">
        <w:rPr>
          <w:rFonts w:ascii="Helvetica" w:hAnsi="Helvetica" w:cs="Helvetica"/>
          <w:color w:val="595959"/>
          <w:sz w:val="16"/>
          <w:szCs w:val="16"/>
          <w:lang w:eastAsia="en-GB"/>
        </w:rPr>
        <w:t xml:space="preserve"> and are an </w:t>
      </w:r>
      <w:r w:rsidRPr="001A5B9F">
        <w:rPr>
          <w:rFonts w:ascii="Helvetica" w:hAnsi="Helvetica" w:cs="Helvetica"/>
          <w:b/>
          <w:i/>
          <w:color w:val="595959"/>
          <w:sz w:val="16"/>
          <w:szCs w:val="16"/>
          <w:lang w:eastAsia="en-GB"/>
        </w:rPr>
        <w:t>example</w:t>
      </w:r>
      <w:r w:rsidRPr="001A5B9F">
        <w:rPr>
          <w:rFonts w:ascii="Helvetica" w:hAnsi="Helvetica" w:cs="Helvetica"/>
          <w:b/>
          <w:color w:val="595959"/>
          <w:sz w:val="16"/>
          <w:szCs w:val="16"/>
          <w:lang w:eastAsia="en-GB"/>
        </w:rPr>
        <w:t xml:space="preserve"> </w:t>
      </w:r>
      <w:r w:rsidRPr="001A5B9F">
        <w:rPr>
          <w:rFonts w:ascii="Helvetica" w:hAnsi="Helvetica" w:cs="Helvetica"/>
          <w:color w:val="595959"/>
          <w:sz w:val="16"/>
          <w:szCs w:val="16"/>
          <w:lang w:eastAsia="en-GB"/>
        </w:rPr>
        <w:t>of how the inventory data can be used in life cycle assessments.</w:t>
      </w:r>
    </w:p>
  </w:footnote>
  <w:footnote w:id="6">
    <w:p w14:paraId="296713E8" w14:textId="22A57653" w:rsidR="003E19DF" w:rsidRDefault="003E19DF">
      <w:pPr>
        <w:pStyle w:val="FootnoteText"/>
        <w:rPr>
          <w:rFonts w:ascii="Helvetica" w:hAnsi="Helvetica" w:cs="Helvetica"/>
          <w:lang w:eastAsia="en-GB"/>
        </w:rPr>
      </w:pPr>
      <w:r>
        <w:rPr>
          <w:rStyle w:val="FootnoteReference"/>
        </w:rPr>
        <w:footnoteRef/>
      </w:r>
      <w:r>
        <w:t xml:space="preserve"> </w:t>
      </w:r>
      <w:hyperlink r:id="rId1" w:history="1">
        <w:r w:rsidR="0020199D" w:rsidRPr="0020199D">
          <w:rPr>
            <w:rStyle w:val="Hyperlink"/>
            <w:rFonts w:ascii="Helvetica" w:hAnsi="Helvetica" w:cs="Helvetica"/>
            <w:lang w:eastAsia="en-GB"/>
          </w:rPr>
          <w:t>http://international-aluminium.org/statistics/primary-aluminium-smelting-power-consumption/</w:t>
        </w:r>
      </w:hyperlink>
    </w:p>
    <w:p w14:paraId="50ACA999" w14:textId="49BD8B3D" w:rsidR="0020199D" w:rsidRDefault="0020199D">
      <w:pPr>
        <w:pStyle w:val="FootnoteText"/>
      </w:pPr>
      <w:r w:rsidRPr="00FD4D41">
        <w:rPr>
          <w:rStyle w:val="Hyperlink"/>
          <w:rFonts w:ascii="Helvetica" w:hAnsi="Helvetica" w:cs="Helvetica"/>
          <w:lang w:eastAsia="en-GB"/>
        </w:rPr>
        <w:t>https://international-aluminium.org/statistics/metallurgical-alumina-refining-fuel-consumption/</w:t>
      </w:r>
    </w:p>
  </w:footnote>
  <w:footnote w:id="7">
    <w:p w14:paraId="727372AF" w14:textId="15608513" w:rsidR="003E19DF" w:rsidRDefault="003E19DF">
      <w:pPr>
        <w:pStyle w:val="FootnoteText"/>
        <w:rPr>
          <w:rFonts w:ascii="Helvetica" w:hAnsi="Helvetica" w:cs="Helvetica"/>
          <w:lang w:eastAsia="en-GB"/>
        </w:rPr>
      </w:pPr>
      <w:r>
        <w:rPr>
          <w:rStyle w:val="FootnoteReference"/>
        </w:rPr>
        <w:footnoteRef/>
      </w:r>
      <w:r>
        <w:t xml:space="preserve"> </w:t>
      </w:r>
      <w:hyperlink r:id="rId2" w:history="1">
        <w:r w:rsidR="0020199D" w:rsidRPr="0020199D">
          <w:rPr>
            <w:rStyle w:val="Hyperlink"/>
            <w:rFonts w:ascii="Helvetica" w:hAnsi="Helvetica" w:cs="Helvetica"/>
            <w:lang w:eastAsia="en-GB"/>
          </w:rPr>
          <w:t>http://international-aluminium.org/statistics/primary-aluminium-smelting-energy-intensity/</w:t>
        </w:r>
      </w:hyperlink>
    </w:p>
    <w:p w14:paraId="205A478C" w14:textId="7FC17042" w:rsidR="0020199D" w:rsidRDefault="0020199D">
      <w:pPr>
        <w:pStyle w:val="FootnoteText"/>
      </w:pPr>
      <w:r w:rsidRPr="00FD4D41">
        <w:rPr>
          <w:rStyle w:val="Hyperlink"/>
          <w:rFonts w:ascii="Helvetica" w:hAnsi="Helvetica" w:cs="Helvetica"/>
          <w:lang w:eastAsia="en-GB"/>
        </w:rPr>
        <w:t>https://international-aluminium.org/statistics/metallurgical-alumina-refining-energy-intensity/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9ECB2" w14:textId="2BD8E373" w:rsidR="003E19DF" w:rsidRDefault="00AE3B2D">
    <w:pPr>
      <w:pStyle w:val="Header"/>
    </w:pPr>
    <w:r>
      <w:rPr>
        <w:noProof/>
      </w:rPr>
      <w:drawing>
        <wp:inline distT="0" distB="0" distL="0" distR="0" wp14:anchorId="3FF04D5F" wp14:editId="3A9A8307">
          <wp:extent cx="1787391" cy="598594"/>
          <wp:effectExtent l="0" t="0" r="3810" b="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picture containing text&#10;&#10;Description automatically generated"/>
                  <pic:cNvPicPr/>
                </pic:nvPicPr>
                <pic:blipFill>
                  <a:blip r:embed="rId1"/>
                  <a:stretch>
                    <a:fillRect/>
                  </a:stretch>
                </pic:blipFill>
                <pic:spPr>
                  <a:xfrm>
                    <a:off x="0" y="0"/>
                    <a:ext cx="1787391" cy="598594"/>
                  </a:xfrm>
                  <a:prstGeom prst="rect">
                    <a:avLst/>
                  </a:prstGeom>
                </pic:spPr>
              </pic:pic>
            </a:graphicData>
          </a:graphic>
        </wp:inline>
      </w:drawing>
    </w:r>
  </w:p>
  <w:p w14:paraId="020A6C51" w14:textId="29EC7DF7" w:rsidR="003E19DF" w:rsidRDefault="003E19DF" w:rsidP="003E19DF">
    <w:pPr>
      <w:pStyle w:val="Header"/>
      <w:tabs>
        <w:tab w:val="clear" w:pos="4320"/>
        <w:tab w:val="clear" w:pos="8640"/>
        <w:tab w:val="left" w:pos="95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AB96B" w14:textId="7A405C95" w:rsidR="003E19DF" w:rsidRDefault="00AE3B2D" w:rsidP="00AE3B2D">
    <w:pPr>
      <w:pStyle w:val="Header"/>
      <w:jc w:val="center"/>
      <w:rPr>
        <w:noProof/>
      </w:rPr>
    </w:pPr>
    <w:r>
      <w:rPr>
        <w:noProof/>
      </w:rPr>
      <w:drawing>
        <wp:inline distT="0" distB="0" distL="0" distR="0" wp14:anchorId="2D0D816E" wp14:editId="122CBCAA">
          <wp:extent cx="3147663" cy="1188000"/>
          <wp:effectExtent l="0" t="0" r="0" b="0"/>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1"/>
                  <a:stretch>
                    <a:fillRect/>
                  </a:stretch>
                </pic:blipFill>
                <pic:spPr>
                  <a:xfrm>
                    <a:off x="0" y="0"/>
                    <a:ext cx="3147663" cy="1188000"/>
                  </a:xfrm>
                  <a:prstGeom prst="rect">
                    <a:avLst/>
                  </a:prstGeom>
                </pic:spPr>
              </pic:pic>
            </a:graphicData>
          </a:graphic>
        </wp:inline>
      </w:drawing>
    </w:r>
  </w:p>
  <w:p w14:paraId="5257EC07" w14:textId="77777777" w:rsidR="003E19DF" w:rsidRDefault="003E19DF">
    <w:pPr>
      <w:pStyle w:val="Header"/>
      <w:rPr>
        <w:noProof/>
      </w:rPr>
    </w:pPr>
  </w:p>
  <w:p w14:paraId="12069E30" w14:textId="77777777" w:rsidR="003E19DF" w:rsidRPr="00A13421" w:rsidRDefault="003E19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FF661CA"/>
    <w:lvl w:ilvl="0">
      <w:start w:val="1"/>
      <w:numFmt w:val="none"/>
      <w:suff w:val="nothing"/>
      <w:lvlText w:val=""/>
      <w:lvlJc w:val="left"/>
      <w:pPr>
        <w:tabs>
          <w:tab w:val="num" w:pos="0"/>
        </w:tabs>
        <w:ind w:left="432" w:hanging="432"/>
      </w:pPr>
    </w:lvl>
    <w:lvl w:ilvl="1">
      <w:start w:val="1"/>
      <w:numFmt w:val="decimal"/>
      <w:lvlText w:val="%2.1"/>
      <w:lvlJc w:val="left"/>
      <w:pPr>
        <w:tabs>
          <w:tab w:val="num" w:pos="0"/>
        </w:tabs>
        <w:ind w:left="576" w:hanging="576"/>
      </w:pPr>
      <w:rPr>
        <w:rFonts w:hint="default"/>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4"/>
    <w:multiLevelType w:val="singleLevel"/>
    <w:tmpl w:val="00000004"/>
    <w:lvl w:ilvl="0">
      <w:start w:val="1"/>
      <w:numFmt w:val="decimal"/>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Symbol" w:hAnsi="Symbol"/>
      </w:rPr>
    </w:lvl>
  </w:abstractNum>
  <w:abstractNum w:abstractNumId="7"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Times New Roman" w:hAnsi="Times New Roman"/>
        <w:sz w:val="16"/>
      </w:rPr>
    </w:lvl>
  </w:abstractNum>
  <w:abstractNum w:abstractNumId="9"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10" w15:restartNumberingAfterBreak="0">
    <w:nsid w:val="0000000B"/>
    <w:multiLevelType w:val="multilevel"/>
    <w:tmpl w:val="0000000B"/>
    <w:name w:val="WW8Num11"/>
    <w:lvl w:ilvl="0">
      <w:start w:val="1"/>
      <w:numFmt w:val="none"/>
      <w:pStyle w:val="Bullets"/>
      <w:suff w:val="nothing"/>
      <w:lvlText w:va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15:restartNumberingAfterBreak="0">
    <w:nsid w:val="013E4661"/>
    <w:multiLevelType w:val="hybridMultilevel"/>
    <w:tmpl w:val="6F8E04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05B233A3"/>
    <w:multiLevelType w:val="hybridMultilevel"/>
    <w:tmpl w:val="7E200CFA"/>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06B16A9A"/>
    <w:multiLevelType w:val="hybridMultilevel"/>
    <w:tmpl w:val="BF8E2A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91A61D2"/>
    <w:multiLevelType w:val="hybridMultilevel"/>
    <w:tmpl w:val="0178C9C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0B1669F0"/>
    <w:multiLevelType w:val="multilevel"/>
    <w:tmpl w:val="DE282AE8"/>
    <w:lvl w:ilvl="0">
      <w:start w:val="1"/>
      <w:numFmt w:val="decimal"/>
      <w:lvlText w:val="%1."/>
      <w:lvlJc w:val="left"/>
      <w:pPr>
        <w:ind w:left="720" w:hanging="360"/>
      </w:pPr>
      <w:rPr>
        <w:rFonts w:hint="default"/>
        <w:sz w:val="22"/>
        <w:szCs w:val="22"/>
      </w:rPr>
    </w:lvl>
    <w:lvl w:ilvl="1">
      <w:start w:val="1"/>
      <w:numFmt w:val="decimal"/>
      <w:isLgl/>
      <w:lvlText w:val="%1.%2"/>
      <w:lvlJc w:val="left"/>
      <w:pPr>
        <w:ind w:left="1080" w:hanging="720"/>
      </w:pPr>
      <w:rPr>
        <w:rFonts w:hint="default"/>
        <w:i w:val="0"/>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0B8232D6"/>
    <w:multiLevelType w:val="hybridMultilevel"/>
    <w:tmpl w:val="7544334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FDA5583"/>
    <w:multiLevelType w:val="hybridMultilevel"/>
    <w:tmpl w:val="896A0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0E00F4C"/>
    <w:multiLevelType w:val="hybridMultilevel"/>
    <w:tmpl w:val="21A40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1B02E82"/>
    <w:multiLevelType w:val="hybridMultilevel"/>
    <w:tmpl w:val="E8AA5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1E24E1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37B11D2"/>
    <w:multiLevelType w:val="multilevel"/>
    <w:tmpl w:val="99BA0086"/>
    <w:lvl w:ilvl="0">
      <w:numFmt w:val="decimal"/>
      <w:lvlText w:val="%1"/>
      <w:lvlJc w:val="left"/>
      <w:pPr>
        <w:ind w:left="375" w:hanging="375"/>
      </w:pPr>
      <w:rPr>
        <w:rFonts w:hint="default"/>
      </w:rPr>
    </w:lvl>
    <w:lvl w:ilvl="1">
      <w:start w:val="37"/>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3" w15:restartNumberingAfterBreak="0">
    <w:nsid w:val="14F80F8F"/>
    <w:multiLevelType w:val="multilevel"/>
    <w:tmpl w:val="F0B878DA"/>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714" w:hanging="357"/>
      </w:pPr>
      <w:rPr>
        <w:rFonts w:hint="default"/>
      </w:rPr>
    </w:lvl>
    <w:lvl w:ilvl="2">
      <w:start w:val="1"/>
      <w:numFmt w:val="decimal"/>
      <w:pStyle w:val="Heading3"/>
      <w:lvlText w:val="%1.%2.%3."/>
      <w:lvlJc w:val="left"/>
      <w:pPr>
        <w:ind w:left="1071" w:hanging="357"/>
      </w:pPr>
      <w:rPr>
        <w:rFonts w:ascii="Helvetica" w:hAnsi="Helvetica" w:hint="default"/>
      </w:rPr>
    </w:lvl>
    <w:lvl w:ilvl="3">
      <w:start w:val="1"/>
      <w:numFmt w:val="decimal"/>
      <w:pStyle w:val="Heading4"/>
      <w:lvlText w:val="%1.%2.%3.%4."/>
      <w:lvlJc w:val="left"/>
      <w:pPr>
        <w:ind w:left="1428" w:hanging="357"/>
      </w:pPr>
      <w:rPr>
        <w:rFonts w:hint="default"/>
      </w:rPr>
    </w:lvl>
    <w:lvl w:ilvl="4">
      <w:start w:val="1"/>
      <w:numFmt w:val="decimal"/>
      <w:pStyle w:val="Heading5"/>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Restart w:val="0"/>
      <w:lvlText w:val="%1.%2.%3.%4.%5.%6.%7."/>
      <w:lvlJc w:val="left"/>
      <w:pPr>
        <w:ind w:left="2499" w:hanging="357"/>
      </w:pPr>
      <w:rPr>
        <w:rFonts w:hint="default"/>
      </w:rPr>
    </w:lvl>
    <w:lvl w:ilvl="7">
      <w:start w:val="1"/>
      <w:numFmt w:val="decimal"/>
      <w:lvlRestart w:val="0"/>
      <w:lvlText w:val="%1.%2.%3.%4.%5.%6.%7.%8."/>
      <w:lvlJc w:val="left"/>
      <w:pPr>
        <w:ind w:left="2856" w:hanging="357"/>
      </w:pPr>
      <w:rPr>
        <w:rFonts w:hint="default"/>
      </w:rPr>
    </w:lvl>
    <w:lvl w:ilvl="8">
      <w:start w:val="1"/>
      <w:numFmt w:val="decimal"/>
      <w:lvlRestart w:val="0"/>
      <w:lvlText w:val="%1.%2.%3.%4.%5.%6.%7.%8.%9."/>
      <w:lvlJc w:val="left"/>
      <w:pPr>
        <w:ind w:left="3213" w:hanging="357"/>
      </w:pPr>
      <w:rPr>
        <w:rFonts w:hint="default"/>
      </w:rPr>
    </w:lvl>
  </w:abstractNum>
  <w:abstractNum w:abstractNumId="24" w15:restartNumberingAfterBreak="0">
    <w:nsid w:val="17DD41B7"/>
    <w:multiLevelType w:val="hybridMultilevel"/>
    <w:tmpl w:val="911C43A6"/>
    <w:lvl w:ilvl="0" w:tplc="26EEE77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A7D7319"/>
    <w:multiLevelType w:val="hybridMultilevel"/>
    <w:tmpl w:val="9C760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AF43C4E"/>
    <w:multiLevelType w:val="hybridMultilevel"/>
    <w:tmpl w:val="8ED4F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BB8068C"/>
    <w:multiLevelType w:val="hybridMultilevel"/>
    <w:tmpl w:val="973EC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C773696"/>
    <w:multiLevelType w:val="multilevel"/>
    <w:tmpl w:val="DE282AE8"/>
    <w:lvl w:ilvl="0">
      <w:start w:val="1"/>
      <w:numFmt w:val="decimal"/>
      <w:lvlText w:val="%1."/>
      <w:lvlJc w:val="left"/>
      <w:pPr>
        <w:ind w:left="720" w:hanging="360"/>
      </w:pPr>
      <w:rPr>
        <w:rFonts w:hint="default"/>
        <w:sz w:val="22"/>
        <w:szCs w:val="22"/>
      </w:rPr>
    </w:lvl>
    <w:lvl w:ilvl="1">
      <w:start w:val="1"/>
      <w:numFmt w:val="decimal"/>
      <w:isLgl/>
      <w:lvlText w:val="%1.%2"/>
      <w:lvlJc w:val="left"/>
      <w:pPr>
        <w:ind w:left="1004" w:hanging="720"/>
      </w:pPr>
      <w:rPr>
        <w:rFonts w:hint="default"/>
        <w:i w:val="0"/>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1FD84C86"/>
    <w:multiLevelType w:val="hybridMultilevel"/>
    <w:tmpl w:val="F3FE1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22648C1"/>
    <w:multiLevelType w:val="hybridMultilevel"/>
    <w:tmpl w:val="8EC8F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783130B"/>
    <w:multiLevelType w:val="hybridMultilevel"/>
    <w:tmpl w:val="963E71C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DC805AF"/>
    <w:multiLevelType w:val="hybridMultilevel"/>
    <w:tmpl w:val="7A441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07416E3"/>
    <w:multiLevelType w:val="multilevel"/>
    <w:tmpl w:val="6BCA89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24C3D95"/>
    <w:multiLevelType w:val="hybridMultilevel"/>
    <w:tmpl w:val="94B2E4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44D317E"/>
    <w:multiLevelType w:val="hybridMultilevel"/>
    <w:tmpl w:val="BDFCDBC0"/>
    <w:lvl w:ilvl="0" w:tplc="D2EE8D28">
      <w:start w:val="1"/>
      <w:numFmt w:val="decimal"/>
      <w:lvlText w:val="%1."/>
      <w:lvlJc w:val="left"/>
      <w:pPr>
        <w:ind w:left="720" w:hanging="360"/>
      </w:pPr>
      <w:rPr>
        <w:rFonts w:ascii="Cambria" w:hAnsi="Cambria" w:cs="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5611155"/>
    <w:multiLevelType w:val="hybridMultilevel"/>
    <w:tmpl w:val="3D8C75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89031C1"/>
    <w:multiLevelType w:val="hybridMultilevel"/>
    <w:tmpl w:val="D100A542"/>
    <w:lvl w:ilvl="0" w:tplc="0809000F">
      <w:start w:val="1"/>
      <w:numFmt w:val="decimal"/>
      <w:lvlText w:val="%1."/>
      <w:lvlJc w:val="left"/>
      <w:pPr>
        <w:ind w:left="-720" w:hanging="360"/>
      </w:pPr>
    </w:lvl>
    <w:lvl w:ilvl="1" w:tplc="08090019" w:tentative="1">
      <w:start w:val="1"/>
      <w:numFmt w:val="lowerLetter"/>
      <w:lvlText w:val="%2."/>
      <w:lvlJc w:val="left"/>
      <w:pPr>
        <w:ind w:left="0" w:hanging="360"/>
      </w:pPr>
    </w:lvl>
    <w:lvl w:ilvl="2" w:tplc="0809001B" w:tentative="1">
      <w:start w:val="1"/>
      <w:numFmt w:val="lowerRoman"/>
      <w:lvlText w:val="%3."/>
      <w:lvlJc w:val="right"/>
      <w:pPr>
        <w:ind w:left="720" w:hanging="180"/>
      </w:pPr>
    </w:lvl>
    <w:lvl w:ilvl="3" w:tplc="0809000F" w:tentative="1">
      <w:start w:val="1"/>
      <w:numFmt w:val="decimal"/>
      <w:lvlText w:val="%4."/>
      <w:lvlJc w:val="left"/>
      <w:pPr>
        <w:ind w:left="1440" w:hanging="360"/>
      </w:pPr>
    </w:lvl>
    <w:lvl w:ilvl="4" w:tplc="08090019" w:tentative="1">
      <w:start w:val="1"/>
      <w:numFmt w:val="lowerLetter"/>
      <w:lvlText w:val="%5."/>
      <w:lvlJc w:val="left"/>
      <w:pPr>
        <w:ind w:left="2160" w:hanging="360"/>
      </w:pPr>
    </w:lvl>
    <w:lvl w:ilvl="5" w:tplc="0809001B" w:tentative="1">
      <w:start w:val="1"/>
      <w:numFmt w:val="lowerRoman"/>
      <w:lvlText w:val="%6."/>
      <w:lvlJc w:val="right"/>
      <w:pPr>
        <w:ind w:left="2880" w:hanging="180"/>
      </w:pPr>
    </w:lvl>
    <w:lvl w:ilvl="6" w:tplc="0809000F" w:tentative="1">
      <w:start w:val="1"/>
      <w:numFmt w:val="decimal"/>
      <w:lvlText w:val="%7."/>
      <w:lvlJc w:val="left"/>
      <w:pPr>
        <w:ind w:left="3600" w:hanging="360"/>
      </w:pPr>
    </w:lvl>
    <w:lvl w:ilvl="7" w:tplc="08090019" w:tentative="1">
      <w:start w:val="1"/>
      <w:numFmt w:val="lowerLetter"/>
      <w:lvlText w:val="%8."/>
      <w:lvlJc w:val="left"/>
      <w:pPr>
        <w:ind w:left="4320" w:hanging="360"/>
      </w:pPr>
    </w:lvl>
    <w:lvl w:ilvl="8" w:tplc="0809001B" w:tentative="1">
      <w:start w:val="1"/>
      <w:numFmt w:val="lowerRoman"/>
      <w:lvlText w:val="%9."/>
      <w:lvlJc w:val="right"/>
      <w:pPr>
        <w:ind w:left="5040" w:hanging="180"/>
      </w:pPr>
    </w:lvl>
  </w:abstractNum>
  <w:abstractNum w:abstractNumId="38" w15:restartNumberingAfterBreak="0">
    <w:nsid w:val="39344D70"/>
    <w:multiLevelType w:val="hybridMultilevel"/>
    <w:tmpl w:val="FC2CE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9DA2E5B"/>
    <w:multiLevelType w:val="hybridMultilevel"/>
    <w:tmpl w:val="06761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B740907"/>
    <w:multiLevelType w:val="hybridMultilevel"/>
    <w:tmpl w:val="0966D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C041805"/>
    <w:multiLevelType w:val="hybridMultilevel"/>
    <w:tmpl w:val="710423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CDF7FC6"/>
    <w:multiLevelType w:val="hybridMultilevel"/>
    <w:tmpl w:val="4B36C308"/>
    <w:lvl w:ilvl="0" w:tplc="08090001">
      <w:start w:val="1"/>
      <w:numFmt w:val="bullet"/>
      <w:lvlText w:val=""/>
      <w:lvlJc w:val="left"/>
      <w:pPr>
        <w:ind w:left="2135" w:hanging="360"/>
      </w:pPr>
      <w:rPr>
        <w:rFonts w:ascii="Symbol" w:hAnsi="Symbol" w:hint="default"/>
      </w:rPr>
    </w:lvl>
    <w:lvl w:ilvl="1" w:tplc="08090003">
      <w:start w:val="1"/>
      <w:numFmt w:val="bullet"/>
      <w:lvlText w:val="o"/>
      <w:lvlJc w:val="left"/>
      <w:pPr>
        <w:ind w:left="2865" w:hanging="360"/>
      </w:pPr>
      <w:rPr>
        <w:rFonts w:ascii="Courier New" w:hAnsi="Courier New" w:cs="Courier New"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cs="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cs="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43" w15:restartNumberingAfterBreak="0">
    <w:nsid w:val="3DFC23D1"/>
    <w:multiLevelType w:val="hybridMultilevel"/>
    <w:tmpl w:val="99D2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0F124A7"/>
    <w:multiLevelType w:val="multilevel"/>
    <w:tmpl w:val="DE282AE8"/>
    <w:lvl w:ilvl="0">
      <w:start w:val="1"/>
      <w:numFmt w:val="decimal"/>
      <w:lvlText w:val="%1."/>
      <w:lvlJc w:val="left"/>
      <w:pPr>
        <w:ind w:left="720" w:hanging="360"/>
      </w:pPr>
      <w:rPr>
        <w:rFonts w:hint="default"/>
        <w:sz w:val="22"/>
        <w:szCs w:val="22"/>
      </w:rPr>
    </w:lvl>
    <w:lvl w:ilvl="1">
      <w:start w:val="1"/>
      <w:numFmt w:val="decimal"/>
      <w:isLgl/>
      <w:lvlText w:val="%1.%2"/>
      <w:lvlJc w:val="left"/>
      <w:pPr>
        <w:ind w:left="1004" w:hanging="720"/>
      </w:pPr>
      <w:rPr>
        <w:rFonts w:hint="default"/>
        <w:i w:val="0"/>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41F10D86"/>
    <w:multiLevelType w:val="hybridMultilevel"/>
    <w:tmpl w:val="D8D2A0DE"/>
    <w:lvl w:ilvl="0" w:tplc="DA243886">
      <w:numFmt w:val="bullet"/>
      <w:lvlText w:val="-"/>
      <w:lvlJc w:val="left"/>
      <w:pPr>
        <w:ind w:left="720" w:hanging="360"/>
      </w:pPr>
      <w:rPr>
        <w:rFonts w:ascii="Helvetica" w:eastAsia="Times New Roman"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32F33CD"/>
    <w:multiLevelType w:val="hybridMultilevel"/>
    <w:tmpl w:val="0BBEC720"/>
    <w:lvl w:ilvl="0" w:tplc="8BBA014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33A5237"/>
    <w:multiLevelType w:val="multilevel"/>
    <w:tmpl w:val="DE282AE8"/>
    <w:lvl w:ilvl="0">
      <w:start w:val="1"/>
      <w:numFmt w:val="decimal"/>
      <w:lvlText w:val="%1."/>
      <w:lvlJc w:val="left"/>
      <w:pPr>
        <w:ind w:left="720" w:hanging="360"/>
      </w:pPr>
      <w:rPr>
        <w:rFonts w:hint="default"/>
        <w:sz w:val="22"/>
        <w:szCs w:val="22"/>
      </w:rPr>
    </w:lvl>
    <w:lvl w:ilvl="1">
      <w:start w:val="1"/>
      <w:numFmt w:val="decimal"/>
      <w:isLgl/>
      <w:lvlText w:val="%1.%2"/>
      <w:lvlJc w:val="left"/>
      <w:pPr>
        <w:ind w:left="1004" w:hanging="720"/>
      </w:pPr>
      <w:rPr>
        <w:rFonts w:hint="default"/>
        <w:i w:val="0"/>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472A4D3E"/>
    <w:multiLevelType w:val="hybridMultilevel"/>
    <w:tmpl w:val="C47C5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9407019"/>
    <w:multiLevelType w:val="hybridMultilevel"/>
    <w:tmpl w:val="A75CE6B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15:restartNumberingAfterBreak="0">
    <w:nsid w:val="4E584F49"/>
    <w:multiLevelType w:val="hybridMultilevel"/>
    <w:tmpl w:val="549E8A14"/>
    <w:lvl w:ilvl="0" w:tplc="3F30A9B0">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4F8B3E8E"/>
    <w:multiLevelType w:val="hybridMultilevel"/>
    <w:tmpl w:val="1CAEC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F8D093D"/>
    <w:multiLevelType w:val="hybridMultilevel"/>
    <w:tmpl w:val="16A8A2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15:restartNumberingAfterBreak="0">
    <w:nsid w:val="4F9B273F"/>
    <w:multiLevelType w:val="hybridMultilevel"/>
    <w:tmpl w:val="C818BA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4F9C49BF"/>
    <w:multiLevelType w:val="hybridMultilevel"/>
    <w:tmpl w:val="EB9C7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2553AF9"/>
    <w:multiLevelType w:val="multilevel"/>
    <w:tmpl w:val="DE282AE8"/>
    <w:lvl w:ilvl="0">
      <w:start w:val="1"/>
      <w:numFmt w:val="decimal"/>
      <w:lvlText w:val="%1."/>
      <w:lvlJc w:val="left"/>
      <w:pPr>
        <w:ind w:left="720" w:hanging="360"/>
      </w:pPr>
      <w:rPr>
        <w:rFonts w:hint="default"/>
        <w:sz w:val="22"/>
        <w:szCs w:val="22"/>
      </w:rPr>
    </w:lvl>
    <w:lvl w:ilvl="1">
      <w:start w:val="1"/>
      <w:numFmt w:val="decimal"/>
      <w:isLgl/>
      <w:lvlText w:val="%1.%2"/>
      <w:lvlJc w:val="left"/>
      <w:pPr>
        <w:ind w:left="1004" w:hanging="720"/>
      </w:pPr>
      <w:rPr>
        <w:rFonts w:hint="default"/>
        <w:i w:val="0"/>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537C7859"/>
    <w:multiLevelType w:val="multilevel"/>
    <w:tmpl w:val="DE282AE8"/>
    <w:lvl w:ilvl="0">
      <w:start w:val="1"/>
      <w:numFmt w:val="decimal"/>
      <w:lvlText w:val="%1."/>
      <w:lvlJc w:val="left"/>
      <w:pPr>
        <w:ind w:left="720" w:hanging="360"/>
      </w:pPr>
      <w:rPr>
        <w:rFonts w:hint="default"/>
        <w:sz w:val="22"/>
        <w:szCs w:val="22"/>
      </w:rPr>
    </w:lvl>
    <w:lvl w:ilvl="1">
      <w:start w:val="1"/>
      <w:numFmt w:val="decimal"/>
      <w:isLgl/>
      <w:lvlText w:val="%1.%2"/>
      <w:lvlJc w:val="left"/>
      <w:pPr>
        <w:ind w:left="1004" w:hanging="720"/>
      </w:pPr>
      <w:rPr>
        <w:rFonts w:hint="default"/>
        <w:i w:val="0"/>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538A1B8E"/>
    <w:multiLevelType w:val="hybridMultilevel"/>
    <w:tmpl w:val="7E4238AA"/>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58DD5F79"/>
    <w:multiLevelType w:val="hybridMultilevel"/>
    <w:tmpl w:val="DF2C4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B9771F1"/>
    <w:multiLevelType w:val="hybridMultilevel"/>
    <w:tmpl w:val="0EB8EB12"/>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BCB507D"/>
    <w:multiLevelType w:val="multilevel"/>
    <w:tmpl w:val="DE282AE8"/>
    <w:lvl w:ilvl="0">
      <w:start w:val="1"/>
      <w:numFmt w:val="decimal"/>
      <w:lvlText w:val="%1."/>
      <w:lvlJc w:val="left"/>
      <w:pPr>
        <w:ind w:left="720" w:hanging="360"/>
      </w:pPr>
      <w:rPr>
        <w:rFonts w:hint="default"/>
        <w:sz w:val="22"/>
        <w:szCs w:val="22"/>
      </w:rPr>
    </w:lvl>
    <w:lvl w:ilvl="1">
      <w:start w:val="1"/>
      <w:numFmt w:val="decimal"/>
      <w:isLgl/>
      <w:lvlText w:val="%1.%2"/>
      <w:lvlJc w:val="left"/>
      <w:pPr>
        <w:ind w:left="1004" w:hanging="720"/>
      </w:pPr>
      <w:rPr>
        <w:rFonts w:hint="default"/>
        <w:i w:val="0"/>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5C2702EF"/>
    <w:multiLevelType w:val="hybridMultilevel"/>
    <w:tmpl w:val="7BCC9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1210946"/>
    <w:multiLevelType w:val="hybridMultilevel"/>
    <w:tmpl w:val="D8C8F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3DE09CD"/>
    <w:multiLevelType w:val="hybridMultilevel"/>
    <w:tmpl w:val="5052D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77B2BA1"/>
    <w:multiLevelType w:val="multilevel"/>
    <w:tmpl w:val="17989AEA"/>
    <w:lvl w:ilvl="0">
      <w:start w:val="1"/>
      <w:numFmt w:val="decimal"/>
      <w:lvlText w:val="%1."/>
      <w:lvlJc w:val="left"/>
      <w:pPr>
        <w:ind w:left="720" w:hanging="360"/>
      </w:pPr>
      <w:rPr>
        <w:rFonts w:hint="default"/>
        <w:sz w:val="22"/>
        <w:szCs w:val="22"/>
      </w:rPr>
    </w:lvl>
    <w:lvl w:ilvl="1">
      <w:start w:val="1"/>
      <w:numFmt w:val="decimal"/>
      <w:isLgl/>
      <w:lvlText w:val="%1.%2"/>
      <w:lvlJc w:val="left"/>
      <w:pPr>
        <w:ind w:left="1004" w:hanging="720"/>
      </w:pPr>
      <w:rPr>
        <w:rFonts w:hint="default"/>
        <w:i w:val="0"/>
        <w:sz w:val="22"/>
        <w:szCs w:val="22"/>
      </w:rPr>
    </w:lvl>
    <w:lvl w:ilvl="2">
      <w:start w:val="1"/>
      <w:numFmt w:val="decimal"/>
      <w:isLgl/>
      <w:lvlText w:val="%1.%2.%3"/>
      <w:lvlJc w:val="left"/>
      <w:pPr>
        <w:ind w:left="1080" w:hanging="720"/>
      </w:pPr>
      <w:rPr>
        <w:rFonts w:ascii="Arial" w:hAnsi="Arial" w:cs="Arial" w:hint="default"/>
        <w:b/>
        <w:sz w:val="20"/>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6B880650"/>
    <w:multiLevelType w:val="hybridMultilevel"/>
    <w:tmpl w:val="ACC45360"/>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6" w15:restartNumberingAfterBreak="0">
    <w:nsid w:val="6BDF1261"/>
    <w:multiLevelType w:val="hybridMultilevel"/>
    <w:tmpl w:val="7C36B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C972037"/>
    <w:multiLevelType w:val="hybridMultilevel"/>
    <w:tmpl w:val="2BE68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F1C623D"/>
    <w:multiLevelType w:val="hybridMultilevel"/>
    <w:tmpl w:val="EEF86A44"/>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222" w:hanging="360"/>
      </w:pPr>
      <w:rPr>
        <w:rFonts w:ascii="Courier New" w:hAnsi="Courier New" w:cs="Courier New" w:hint="default"/>
      </w:rPr>
    </w:lvl>
    <w:lvl w:ilvl="2" w:tplc="08090005">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69" w15:restartNumberingAfterBreak="0">
    <w:nsid w:val="71A46CC6"/>
    <w:multiLevelType w:val="hybridMultilevel"/>
    <w:tmpl w:val="5F0E277C"/>
    <w:lvl w:ilvl="0" w:tplc="C7A82A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721E2C71"/>
    <w:multiLevelType w:val="hybridMultilevel"/>
    <w:tmpl w:val="522A67E2"/>
    <w:lvl w:ilvl="0" w:tplc="D9F63BE0">
      <w:start w:val="1"/>
      <w:numFmt w:val="bullet"/>
      <w:lvlText w:val="•"/>
      <w:lvlJc w:val="left"/>
      <w:pPr>
        <w:tabs>
          <w:tab w:val="num" w:pos="720"/>
        </w:tabs>
        <w:ind w:left="720" w:hanging="360"/>
      </w:pPr>
      <w:rPr>
        <w:rFonts w:ascii="Arial" w:hAnsi="Arial" w:hint="default"/>
      </w:rPr>
    </w:lvl>
    <w:lvl w:ilvl="1" w:tplc="8AC89324" w:tentative="1">
      <w:start w:val="1"/>
      <w:numFmt w:val="bullet"/>
      <w:lvlText w:val="•"/>
      <w:lvlJc w:val="left"/>
      <w:pPr>
        <w:tabs>
          <w:tab w:val="num" w:pos="1440"/>
        </w:tabs>
        <w:ind w:left="1440" w:hanging="360"/>
      </w:pPr>
      <w:rPr>
        <w:rFonts w:ascii="Arial" w:hAnsi="Arial" w:hint="default"/>
      </w:rPr>
    </w:lvl>
    <w:lvl w:ilvl="2" w:tplc="4788A734" w:tentative="1">
      <w:start w:val="1"/>
      <w:numFmt w:val="bullet"/>
      <w:lvlText w:val="•"/>
      <w:lvlJc w:val="left"/>
      <w:pPr>
        <w:tabs>
          <w:tab w:val="num" w:pos="2160"/>
        </w:tabs>
        <w:ind w:left="2160" w:hanging="360"/>
      </w:pPr>
      <w:rPr>
        <w:rFonts w:ascii="Arial" w:hAnsi="Arial" w:hint="default"/>
      </w:rPr>
    </w:lvl>
    <w:lvl w:ilvl="3" w:tplc="04C2D4AC" w:tentative="1">
      <w:start w:val="1"/>
      <w:numFmt w:val="bullet"/>
      <w:lvlText w:val="•"/>
      <w:lvlJc w:val="left"/>
      <w:pPr>
        <w:tabs>
          <w:tab w:val="num" w:pos="2880"/>
        </w:tabs>
        <w:ind w:left="2880" w:hanging="360"/>
      </w:pPr>
      <w:rPr>
        <w:rFonts w:ascii="Arial" w:hAnsi="Arial" w:hint="default"/>
      </w:rPr>
    </w:lvl>
    <w:lvl w:ilvl="4" w:tplc="8B98AD82" w:tentative="1">
      <w:start w:val="1"/>
      <w:numFmt w:val="bullet"/>
      <w:lvlText w:val="•"/>
      <w:lvlJc w:val="left"/>
      <w:pPr>
        <w:tabs>
          <w:tab w:val="num" w:pos="3600"/>
        </w:tabs>
        <w:ind w:left="3600" w:hanging="360"/>
      </w:pPr>
      <w:rPr>
        <w:rFonts w:ascii="Arial" w:hAnsi="Arial" w:hint="default"/>
      </w:rPr>
    </w:lvl>
    <w:lvl w:ilvl="5" w:tplc="E744AA74" w:tentative="1">
      <w:start w:val="1"/>
      <w:numFmt w:val="bullet"/>
      <w:lvlText w:val="•"/>
      <w:lvlJc w:val="left"/>
      <w:pPr>
        <w:tabs>
          <w:tab w:val="num" w:pos="4320"/>
        </w:tabs>
        <w:ind w:left="4320" w:hanging="360"/>
      </w:pPr>
      <w:rPr>
        <w:rFonts w:ascii="Arial" w:hAnsi="Arial" w:hint="default"/>
      </w:rPr>
    </w:lvl>
    <w:lvl w:ilvl="6" w:tplc="BE3A2654" w:tentative="1">
      <w:start w:val="1"/>
      <w:numFmt w:val="bullet"/>
      <w:lvlText w:val="•"/>
      <w:lvlJc w:val="left"/>
      <w:pPr>
        <w:tabs>
          <w:tab w:val="num" w:pos="5040"/>
        </w:tabs>
        <w:ind w:left="5040" w:hanging="360"/>
      </w:pPr>
      <w:rPr>
        <w:rFonts w:ascii="Arial" w:hAnsi="Arial" w:hint="default"/>
      </w:rPr>
    </w:lvl>
    <w:lvl w:ilvl="7" w:tplc="D72415A8" w:tentative="1">
      <w:start w:val="1"/>
      <w:numFmt w:val="bullet"/>
      <w:lvlText w:val="•"/>
      <w:lvlJc w:val="left"/>
      <w:pPr>
        <w:tabs>
          <w:tab w:val="num" w:pos="5760"/>
        </w:tabs>
        <w:ind w:left="5760" w:hanging="360"/>
      </w:pPr>
      <w:rPr>
        <w:rFonts w:ascii="Arial" w:hAnsi="Arial" w:hint="default"/>
      </w:rPr>
    </w:lvl>
    <w:lvl w:ilvl="8" w:tplc="383E32F2" w:tentative="1">
      <w:start w:val="1"/>
      <w:numFmt w:val="bullet"/>
      <w:lvlText w:val="•"/>
      <w:lvlJc w:val="left"/>
      <w:pPr>
        <w:tabs>
          <w:tab w:val="num" w:pos="6480"/>
        </w:tabs>
        <w:ind w:left="6480" w:hanging="360"/>
      </w:pPr>
      <w:rPr>
        <w:rFonts w:ascii="Arial" w:hAnsi="Arial" w:hint="default"/>
      </w:rPr>
    </w:lvl>
  </w:abstractNum>
  <w:abstractNum w:abstractNumId="71" w15:restartNumberingAfterBreak="0">
    <w:nsid w:val="72B845F4"/>
    <w:multiLevelType w:val="hybridMultilevel"/>
    <w:tmpl w:val="EC04E77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2" w15:restartNumberingAfterBreak="0">
    <w:nsid w:val="7B1B13B5"/>
    <w:multiLevelType w:val="hybridMultilevel"/>
    <w:tmpl w:val="7310A506"/>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3" w15:restartNumberingAfterBreak="0">
    <w:nsid w:val="7E043089"/>
    <w:multiLevelType w:val="hybridMultilevel"/>
    <w:tmpl w:val="32F2E2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F4E2D20"/>
    <w:multiLevelType w:val="multilevel"/>
    <w:tmpl w:val="CC0C6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6357729">
    <w:abstractNumId w:val="0"/>
  </w:num>
  <w:num w:numId="2" w16cid:durableId="1578317963">
    <w:abstractNumId w:val="3"/>
  </w:num>
  <w:num w:numId="3" w16cid:durableId="366953598">
    <w:abstractNumId w:val="10"/>
  </w:num>
  <w:num w:numId="4" w16cid:durableId="1414812660">
    <w:abstractNumId w:val="71"/>
  </w:num>
  <w:num w:numId="5" w16cid:durableId="2130197086">
    <w:abstractNumId w:val="15"/>
  </w:num>
  <w:num w:numId="6" w16cid:durableId="1559394487">
    <w:abstractNumId w:val="61"/>
  </w:num>
  <w:num w:numId="7" w16cid:durableId="204830481">
    <w:abstractNumId w:val="14"/>
  </w:num>
  <w:num w:numId="8" w16cid:durableId="1653674963">
    <w:abstractNumId w:val="24"/>
  </w:num>
  <w:num w:numId="9" w16cid:durableId="1740785704">
    <w:abstractNumId w:val="16"/>
  </w:num>
  <w:num w:numId="10" w16cid:durableId="574097026">
    <w:abstractNumId w:val="58"/>
  </w:num>
  <w:num w:numId="11" w16cid:durableId="1404720894">
    <w:abstractNumId w:val="51"/>
  </w:num>
  <w:num w:numId="12" w16cid:durableId="878668241">
    <w:abstractNumId w:val="17"/>
  </w:num>
  <w:num w:numId="13" w16cid:durableId="105005855">
    <w:abstractNumId w:val="34"/>
  </w:num>
  <w:num w:numId="14" w16cid:durableId="1294211682">
    <w:abstractNumId w:val="36"/>
  </w:num>
  <w:num w:numId="15" w16cid:durableId="1703746726">
    <w:abstractNumId w:val="60"/>
  </w:num>
  <w:num w:numId="16" w16cid:durableId="1983120052">
    <w:abstractNumId w:val="45"/>
  </w:num>
  <w:num w:numId="17" w16cid:durableId="1148324185">
    <w:abstractNumId w:val="68"/>
  </w:num>
  <w:num w:numId="18" w16cid:durableId="1255239122">
    <w:abstractNumId w:val="47"/>
  </w:num>
  <w:num w:numId="19" w16cid:durableId="1277132737">
    <w:abstractNumId w:val="22"/>
  </w:num>
  <w:num w:numId="20" w16cid:durableId="1101149939">
    <w:abstractNumId w:val="63"/>
  </w:num>
  <w:num w:numId="21" w16cid:durableId="1198810739">
    <w:abstractNumId w:val="56"/>
  </w:num>
  <w:num w:numId="22" w16cid:durableId="566377391">
    <w:abstractNumId w:val="44"/>
  </w:num>
  <w:num w:numId="23" w16cid:durableId="93983034">
    <w:abstractNumId w:val="28"/>
  </w:num>
  <w:num w:numId="24" w16cid:durableId="456146669">
    <w:abstractNumId w:val="21"/>
  </w:num>
  <w:num w:numId="25" w16cid:durableId="700545550">
    <w:abstractNumId w:val="62"/>
  </w:num>
  <w:num w:numId="26" w16cid:durableId="1552889170">
    <w:abstractNumId w:val="42"/>
  </w:num>
  <w:num w:numId="27" w16cid:durableId="417605508">
    <w:abstractNumId w:val="39"/>
  </w:num>
  <w:num w:numId="28" w16cid:durableId="115881276">
    <w:abstractNumId w:val="32"/>
  </w:num>
  <w:num w:numId="29" w16cid:durableId="669142421">
    <w:abstractNumId w:val="64"/>
  </w:num>
  <w:num w:numId="30" w16cid:durableId="1271090713">
    <w:abstractNumId w:val="52"/>
  </w:num>
  <w:num w:numId="31" w16cid:durableId="374156031">
    <w:abstractNumId w:val="20"/>
  </w:num>
  <w:num w:numId="32" w16cid:durableId="197162991">
    <w:abstractNumId w:val="40"/>
  </w:num>
  <w:num w:numId="33" w16cid:durableId="868758152">
    <w:abstractNumId w:val="19"/>
  </w:num>
  <w:num w:numId="34" w16cid:durableId="1929775918">
    <w:abstractNumId w:val="27"/>
  </w:num>
  <w:num w:numId="35" w16cid:durableId="1750077569">
    <w:abstractNumId w:val="30"/>
  </w:num>
  <w:num w:numId="36" w16cid:durableId="1084957782">
    <w:abstractNumId w:val="73"/>
  </w:num>
  <w:num w:numId="37" w16cid:durableId="2068987881">
    <w:abstractNumId w:val="70"/>
  </w:num>
  <w:num w:numId="38" w16cid:durableId="1062213166">
    <w:abstractNumId w:val="48"/>
  </w:num>
  <w:num w:numId="39" w16cid:durableId="1039205758">
    <w:abstractNumId w:val="49"/>
  </w:num>
  <w:num w:numId="40" w16cid:durableId="860582402">
    <w:abstractNumId w:val="41"/>
  </w:num>
  <w:num w:numId="41" w16cid:durableId="2034454382">
    <w:abstractNumId w:val="37"/>
  </w:num>
  <w:num w:numId="42" w16cid:durableId="1890535327">
    <w:abstractNumId w:val="35"/>
  </w:num>
  <w:num w:numId="43" w16cid:durableId="1758018433">
    <w:abstractNumId w:val="29"/>
  </w:num>
  <w:num w:numId="44" w16cid:durableId="1326590460">
    <w:abstractNumId w:val="72"/>
  </w:num>
  <w:num w:numId="45" w16cid:durableId="155997381">
    <w:abstractNumId w:val="65"/>
  </w:num>
  <w:num w:numId="46" w16cid:durableId="1053385195">
    <w:abstractNumId w:val="53"/>
  </w:num>
  <w:num w:numId="47" w16cid:durableId="2054960231">
    <w:abstractNumId w:val="57"/>
  </w:num>
  <w:num w:numId="48" w16cid:durableId="662775529">
    <w:abstractNumId w:val="13"/>
  </w:num>
  <w:num w:numId="49" w16cid:durableId="1792437257">
    <w:abstractNumId w:val="50"/>
  </w:num>
  <w:num w:numId="50" w16cid:durableId="417555360">
    <w:abstractNumId w:val="55"/>
  </w:num>
  <w:num w:numId="51" w16cid:durableId="1261718747">
    <w:abstractNumId w:val="69"/>
  </w:num>
  <w:num w:numId="52" w16cid:durableId="626131598">
    <w:abstractNumId w:val="23"/>
  </w:num>
  <w:num w:numId="53" w16cid:durableId="951132132">
    <w:abstractNumId w:val="74"/>
  </w:num>
  <w:num w:numId="54" w16cid:durableId="1952324777">
    <w:abstractNumId w:val="33"/>
  </w:num>
  <w:num w:numId="55" w16cid:durableId="662121722">
    <w:abstractNumId w:val="25"/>
  </w:num>
  <w:num w:numId="56" w16cid:durableId="146173258">
    <w:abstractNumId w:val="46"/>
  </w:num>
  <w:num w:numId="57" w16cid:durableId="1580168688">
    <w:abstractNumId w:val="23"/>
    <w:lvlOverride w:ilvl="0">
      <w:startOverride w:val="2"/>
    </w:lvlOverride>
    <w:lvlOverride w:ilvl="1">
      <w:startOverride w:val="1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899196971">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914925948">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5413337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151880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8894903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306209778">
    <w:abstractNumId w:val="54"/>
  </w:num>
  <w:num w:numId="64" w16cid:durableId="595596546">
    <w:abstractNumId w:val="12"/>
  </w:num>
  <w:num w:numId="65" w16cid:durableId="531646509">
    <w:abstractNumId w:val="26"/>
  </w:num>
  <w:num w:numId="66" w16cid:durableId="974797069">
    <w:abstractNumId w:val="18"/>
  </w:num>
  <w:num w:numId="67" w16cid:durableId="30494803">
    <w:abstractNumId w:val="31"/>
  </w:num>
  <w:num w:numId="68" w16cid:durableId="1160080989">
    <w:abstractNumId w:val="67"/>
  </w:num>
  <w:num w:numId="69" w16cid:durableId="1360666245">
    <w:abstractNumId w:val="59"/>
  </w:num>
  <w:num w:numId="70" w16cid:durableId="1389721812">
    <w:abstractNumId w:val="66"/>
  </w:num>
  <w:num w:numId="71" w16cid:durableId="205065808">
    <w:abstractNumId w:val="23"/>
  </w:num>
  <w:num w:numId="72" w16cid:durableId="40006019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132821491">
    <w:abstractNumId w:val="38"/>
  </w:num>
  <w:num w:numId="74" w16cid:durableId="1084490585">
    <w:abstractNumId w:val="43"/>
  </w:num>
  <w:num w:numId="75" w16cid:durableId="1798571475">
    <w:abstractNumId w:val="23"/>
  </w:num>
  <w:num w:numId="76" w16cid:durableId="1753235361">
    <w:abstractNumId w:val="23"/>
  </w:num>
  <w:num w:numId="77" w16cid:durableId="1402406875">
    <w:abstractNumId w:val="23"/>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184"/>
    <w:rsid w:val="00004A39"/>
    <w:rsid w:val="00005900"/>
    <w:rsid w:val="00005FB1"/>
    <w:rsid w:val="0000622B"/>
    <w:rsid w:val="00007B66"/>
    <w:rsid w:val="00007DDB"/>
    <w:rsid w:val="00010564"/>
    <w:rsid w:val="00013345"/>
    <w:rsid w:val="00014014"/>
    <w:rsid w:val="00014883"/>
    <w:rsid w:val="00020228"/>
    <w:rsid w:val="00021605"/>
    <w:rsid w:val="00021B38"/>
    <w:rsid w:val="00022C4F"/>
    <w:rsid w:val="00023C8D"/>
    <w:rsid w:val="00024801"/>
    <w:rsid w:val="00030571"/>
    <w:rsid w:val="0003131D"/>
    <w:rsid w:val="00031507"/>
    <w:rsid w:val="000332C9"/>
    <w:rsid w:val="0003398C"/>
    <w:rsid w:val="0003443D"/>
    <w:rsid w:val="00034CD3"/>
    <w:rsid w:val="00035353"/>
    <w:rsid w:val="000362D7"/>
    <w:rsid w:val="00036C96"/>
    <w:rsid w:val="00037A72"/>
    <w:rsid w:val="00040E36"/>
    <w:rsid w:val="00041628"/>
    <w:rsid w:val="00042526"/>
    <w:rsid w:val="00043C39"/>
    <w:rsid w:val="00043DA6"/>
    <w:rsid w:val="00045D9E"/>
    <w:rsid w:val="000500C4"/>
    <w:rsid w:val="000510BC"/>
    <w:rsid w:val="0005310D"/>
    <w:rsid w:val="00053D90"/>
    <w:rsid w:val="00054556"/>
    <w:rsid w:val="000545D2"/>
    <w:rsid w:val="00055918"/>
    <w:rsid w:val="00055BFF"/>
    <w:rsid w:val="00056ACD"/>
    <w:rsid w:val="00060B77"/>
    <w:rsid w:val="00060C5D"/>
    <w:rsid w:val="0006320C"/>
    <w:rsid w:val="00063621"/>
    <w:rsid w:val="00064C5C"/>
    <w:rsid w:val="00065B3E"/>
    <w:rsid w:val="00065D51"/>
    <w:rsid w:val="00066525"/>
    <w:rsid w:val="00066B3E"/>
    <w:rsid w:val="0006722F"/>
    <w:rsid w:val="00067586"/>
    <w:rsid w:val="000677E6"/>
    <w:rsid w:val="000701B5"/>
    <w:rsid w:val="000703CE"/>
    <w:rsid w:val="00073AC3"/>
    <w:rsid w:val="00073B0F"/>
    <w:rsid w:val="0007481D"/>
    <w:rsid w:val="00075718"/>
    <w:rsid w:val="0007581D"/>
    <w:rsid w:val="00075BF0"/>
    <w:rsid w:val="00076055"/>
    <w:rsid w:val="00076859"/>
    <w:rsid w:val="00076B66"/>
    <w:rsid w:val="00080170"/>
    <w:rsid w:val="000803C7"/>
    <w:rsid w:val="00080746"/>
    <w:rsid w:val="00080F0A"/>
    <w:rsid w:val="0008438A"/>
    <w:rsid w:val="0008464F"/>
    <w:rsid w:val="00084A68"/>
    <w:rsid w:val="00085713"/>
    <w:rsid w:val="000859C9"/>
    <w:rsid w:val="00085D52"/>
    <w:rsid w:val="00085ED3"/>
    <w:rsid w:val="0008659A"/>
    <w:rsid w:val="000870CC"/>
    <w:rsid w:val="00087CCC"/>
    <w:rsid w:val="0009066F"/>
    <w:rsid w:val="000914EE"/>
    <w:rsid w:val="000918E9"/>
    <w:rsid w:val="000918EE"/>
    <w:rsid w:val="0009332F"/>
    <w:rsid w:val="00094963"/>
    <w:rsid w:val="00095226"/>
    <w:rsid w:val="0009640E"/>
    <w:rsid w:val="000A0B09"/>
    <w:rsid w:val="000A369A"/>
    <w:rsid w:val="000A5022"/>
    <w:rsid w:val="000B1172"/>
    <w:rsid w:val="000B3445"/>
    <w:rsid w:val="000B3CAE"/>
    <w:rsid w:val="000B4348"/>
    <w:rsid w:val="000B4A8D"/>
    <w:rsid w:val="000B4A98"/>
    <w:rsid w:val="000B5623"/>
    <w:rsid w:val="000B621A"/>
    <w:rsid w:val="000B7046"/>
    <w:rsid w:val="000B795F"/>
    <w:rsid w:val="000C3643"/>
    <w:rsid w:val="000C3CC6"/>
    <w:rsid w:val="000C59B9"/>
    <w:rsid w:val="000C6076"/>
    <w:rsid w:val="000C7962"/>
    <w:rsid w:val="000D019D"/>
    <w:rsid w:val="000D0304"/>
    <w:rsid w:val="000D13B4"/>
    <w:rsid w:val="000D21E3"/>
    <w:rsid w:val="000D2F43"/>
    <w:rsid w:val="000D447A"/>
    <w:rsid w:val="000D4ACA"/>
    <w:rsid w:val="000D62DD"/>
    <w:rsid w:val="000D686D"/>
    <w:rsid w:val="000E0675"/>
    <w:rsid w:val="000E1733"/>
    <w:rsid w:val="000E1EE0"/>
    <w:rsid w:val="000E3EFD"/>
    <w:rsid w:val="000E422F"/>
    <w:rsid w:val="000E4DA2"/>
    <w:rsid w:val="000E53BB"/>
    <w:rsid w:val="000E619F"/>
    <w:rsid w:val="000E6358"/>
    <w:rsid w:val="000E6CE8"/>
    <w:rsid w:val="000F0A0A"/>
    <w:rsid w:val="000F164E"/>
    <w:rsid w:val="000F2618"/>
    <w:rsid w:val="000F2686"/>
    <w:rsid w:val="000F2EB0"/>
    <w:rsid w:val="000F3900"/>
    <w:rsid w:val="000F4B3A"/>
    <w:rsid w:val="000F4F04"/>
    <w:rsid w:val="000F5C89"/>
    <w:rsid w:val="000F6E3D"/>
    <w:rsid w:val="001008D8"/>
    <w:rsid w:val="00101380"/>
    <w:rsid w:val="00101400"/>
    <w:rsid w:val="0010194B"/>
    <w:rsid w:val="00101C34"/>
    <w:rsid w:val="001023CD"/>
    <w:rsid w:val="00102FBF"/>
    <w:rsid w:val="00103BED"/>
    <w:rsid w:val="00104539"/>
    <w:rsid w:val="00104F09"/>
    <w:rsid w:val="001058E1"/>
    <w:rsid w:val="001068B5"/>
    <w:rsid w:val="00107201"/>
    <w:rsid w:val="0011065A"/>
    <w:rsid w:val="00110D8D"/>
    <w:rsid w:val="001112B7"/>
    <w:rsid w:val="0011210F"/>
    <w:rsid w:val="00114A95"/>
    <w:rsid w:val="00114EDF"/>
    <w:rsid w:val="00116F2C"/>
    <w:rsid w:val="001171DD"/>
    <w:rsid w:val="00117712"/>
    <w:rsid w:val="00117CCF"/>
    <w:rsid w:val="0012089D"/>
    <w:rsid w:val="00120B9F"/>
    <w:rsid w:val="00121877"/>
    <w:rsid w:val="001228E2"/>
    <w:rsid w:val="00123715"/>
    <w:rsid w:val="00125B8A"/>
    <w:rsid w:val="001276AC"/>
    <w:rsid w:val="001279E1"/>
    <w:rsid w:val="00127FE0"/>
    <w:rsid w:val="0013016E"/>
    <w:rsid w:val="0013492C"/>
    <w:rsid w:val="00134EA8"/>
    <w:rsid w:val="001356F0"/>
    <w:rsid w:val="0013767D"/>
    <w:rsid w:val="00143979"/>
    <w:rsid w:val="001452AB"/>
    <w:rsid w:val="00146399"/>
    <w:rsid w:val="00147435"/>
    <w:rsid w:val="00147727"/>
    <w:rsid w:val="00151016"/>
    <w:rsid w:val="0015260C"/>
    <w:rsid w:val="00152CFC"/>
    <w:rsid w:val="00153630"/>
    <w:rsid w:val="0015407F"/>
    <w:rsid w:val="00155824"/>
    <w:rsid w:val="0015676E"/>
    <w:rsid w:val="00157599"/>
    <w:rsid w:val="00157AE4"/>
    <w:rsid w:val="001606B7"/>
    <w:rsid w:val="0016206A"/>
    <w:rsid w:val="00162B3C"/>
    <w:rsid w:val="0016558B"/>
    <w:rsid w:val="001708E4"/>
    <w:rsid w:val="0017355F"/>
    <w:rsid w:val="00174627"/>
    <w:rsid w:val="00174812"/>
    <w:rsid w:val="00174B87"/>
    <w:rsid w:val="001754E9"/>
    <w:rsid w:val="00176EF7"/>
    <w:rsid w:val="00177E98"/>
    <w:rsid w:val="0018105E"/>
    <w:rsid w:val="001812B1"/>
    <w:rsid w:val="001814C8"/>
    <w:rsid w:val="00182521"/>
    <w:rsid w:val="001841D2"/>
    <w:rsid w:val="00184ABD"/>
    <w:rsid w:val="00186F7F"/>
    <w:rsid w:val="00190059"/>
    <w:rsid w:val="0019055F"/>
    <w:rsid w:val="00192064"/>
    <w:rsid w:val="00192DFF"/>
    <w:rsid w:val="001936AC"/>
    <w:rsid w:val="00194A79"/>
    <w:rsid w:val="00195274"/>
    <w:rsid w:val="00195D2E"/>
    <w:rsid w:val="0019607B"/>
    <w:rsid w:val="00196867"/>
    <w:rsid w:val="001970A1"/>
    <w:rsid w:val="001A1DEF"/>
    <w:rsid w:val="001A204E"/>
    <w:rsid w:val="001A20BE"/>
    <w:rsid w:val="001A2A3E"/>
    <w:rsid w:val="001A5B9F"/>
    <w:rsid w:val="001A7BAA"/>
    <w:rsid w:val="001B0FFD"/>
    <w:rsid w:val="001B181D"/>
    <w:rsid w:val="001B1834"/>
    <w:rsid w:val="001B2483"/>
    <w:rsid w:val="001B34B3"/>
    <w:rsid w:val="001B37A1"/>
    <w:rsid w:val="001B4343"/>
    <w:rsid w:val="001B60A5"/>
    <w:rsid w:val="001B6B7E"/>
    <w:rsid w:val="001B6CDB"/>
    <w:rsid w:val="001C0306"/>
    <w:rsid w:val="001C224E"/>
    <w:rsid w:val="001C3EA1"/>
    <w:rsid w:val="001C45A8"/>
    <w:rsid w:val="001C57B2"/>
    <w:rsid w:val="001C5F8C"/>
    <w:rsid w:val="001C79DB"/>
    <w:rsid w:val="001D02EC"/>
    <w:rsid w:val="001D222A"/>
    <w:rsid w:val="001D2392"/>
    <w:rsid w:val="001D355E"/>
    <w:rsid w:val="001D39B1"/>
    <w:rsid w:val="001D3B92"/>
    <w:rsid w:val="001D4B2A"/>
    <w:rsid w:val="001D4CC8"/>
    <w:rsid w:val="001D521D"/>
    <w:rsid w:val="001D5C93"/>
    <w:rsid w:val="001D676A"/>
    <w:rsid w:val="001D770F"/>
    <w:rsid w:val="001E03C5"/>
    <w:rsid w:val="001E0F48"/>
    <w:rsid w:val="001E241C"/>
    <w:rsid w:val="001E345A"/>
    <w:rsid w:val="001E35C7"/>
    <w:rsid w:val="001E3A6F"/>
    <w:rsid w:val="001E4CBD"/>
    <w:rsid w:val="001E67D2"/>
    <w:rsid w:val="001E68CA"/>
    <w:rsid w:val="001E7B4D"/>
    <w:rsid w:val="001E7E76"/>
    <w:rsid w:val="001E7EF1"/>
    <w:rsid w:val="001F0C4A"/>
    <w:rsid w:val="001F1505"/>
    <w:rsid w:val="0020199D"/>
    <w:rsid w:val="00201A92"/>
    <w:rsid w:val="00201AB5"/>
    <w:rsid w:val="002023E0"/>
    <w:rsid w:val="0020450B"/>
    <w:rsid w:val="00205430"/>
    <w:rsid w:val="0020569B"/>
    <w:rsid w:val="00206770"/>
    <w:rsid w:val="00206B87"/>
    <w:rsid w:val="00210E40"/>
    <w:rsid w:val="00211588"/>
    <w:rsid w:val="00211F8D"/>
    <w:rsid w:val="00212E58"/>
    <w:rsid w:val="00213730"/>
    <w:rsid w:val="00213845"/>
    <w:rsid w:val="00214289"/>
    <w:rsid w:val="00216F85"/>
    <w:rsid w:val="00217471"/>
    <w:rsid w:val="00220506"/>
    <w:rsid w:val="00220EAC"/>
    <w:rsid w:val="0022131E"/>
    <w:rsid w:val="002229F8"/>
    <w:rsid w:val="00223EBA"/>
    <w:rsid w:val="00223F1E"/>
    <w:rsid w:val="00224FDE"/>
    <w:rsid w:val="00226B12"/>
    <w:rsid w:val="002272CE"/>
    <w:rsid w:val="002278B1"/>
    <w:rsid w:val="00227ACB"/>
    <w:rsid w:val="0023272E"/>
    <w:rsid w:val="00235432"/>
    <w:rsid w:val="002366C1"/>
    <w:rsid w:val="00236AAA"/>
    <w:rsid w:val="0023744F"/>
    <w:rsid w:val="00237902"/>
    <w:rsid w:val="002407CB"/>
    <w:rsid w:val="00240BD7"/>
    <w:rsid w:val="00240EB7"/>
    <w:rsid w:val="002420DB"/>
    <w:rsid w:val="002426D3"/>
    <w:rsid w:val="0024283A"/>
    <w:rsid w:val="002428A0"/>
    <w:rsid w:val="00242C70"/>
    <w:rsid w:val="00243365"/>
    <w:rsid w:val="00243A5B"/>
    <w:rsid w:val="00244254"/>
    <w:rsid w:val="00244CBC"/>
    <w:rsid w:val="0024674D"/>
    <w:rsid w:val="00246DA8"/>
    <w:rsid w:val="00251AAA"/>
    <w:rsid w:val="00251ED7"/>
    <w:rsid w:val="00251F07"/>
    <w:rsid w:val="00252655"/>
    <w:rsid w:val="00253166"/>
    <w:rsid w:val="002537C8"/>
    <w:rsid w:val="002545A2"/>
    <w:rsid w:val="00254800"/>
    <w:rsid w:val="002553EE"/>
    <w:rsid w:val="00257C24"/>
    <w:rsid w:val="0026168E"/>
    <w:rsid w:val="00261DEE"/>
    <w:rsid w:val="002620D5"/>
    <w:rsid w:val="002634FD"/>
    <w:rsid w:val="002635FC"/>
    <w:rsid w:val="00263EA4"/>
    <w:rsid w:val="00263FD8"/>
    <w:rsid w:val="00267E59"/>
    <w:rsid w:val="00270B5D"/>
    <w:rsid w:val="00271213"/>
    <w:rsid w:val="002712D0"/>
    <w:rsid w:val="00271A0A"/>
    <w:rsid w:val="002728FA"/>
    <w:rsid w:val="00272C58"/>
    <w:rsid w:val="00272C8E"/>
    <w:rsid w:val="00272E8E"/>
    <w:rsid w:val="00273817"/>
    <w:rsid w:val="00273927"/>
    <w:rsid w:val="002739C0"/>
    <w:rsid w:val="00273B1A"/>
    <w:rsid w:val="00273C3F"/>
    <w:rsid w:val="00273C6C"/>
    <w:rsid w:val="002740E0"/>
    <w:rsid w:val="0027776B"/>
    <w:rsid w:val="00281C9E"/>
    <w:rsid w:val="002821B8"/>
    <w:rsid w:val="0028250A"/>
    <w:rsid w:val="002827FA"/>
    <w:rsid w:val="00282C0B"/>
    <w:rsid w:val="00282F38"/>
    <w:rsid w:val="00283BA1"/>
    <w:rsid w:val="00290529"/>
    <w:rsid w:val="00291E8B"/>
    <w:rsid w:val="00292041"/>
    <w:rsid w:val="00294067"/>
    <w:rsid w:val="00294F12"/>
    <w:rsid w:val="0029649B"/>
    <w:rsid w:val="002966E0"/>
    <w:rsid w:val="00296A46"/>
    <w:rsid w:val="00297CDB"/>
    <w:rsid w:val="002A08D1"/>
    <w:rsid w:val="002A08FB"/>
    <w:rsid w:val="002A1D40"/>
    <w:rsid w:val="002A360A"/>
    <w:rsid w:val="002A36BF"/>
    <w:rsid w:val="002A385E"/>
    <w:rsid w:val="002A3A8B"/>
    <w:rsid w:val="002A3F14"/>
    <w:rsid w:val="002A4445"/>
    <w:rsid w:val="002A519B"/>
    <w:rsid w:val="002A52D3"/>
    <w:rsid w:val="002A536D"/>
    <w:rsid w:val="002A66A6"/>
    <w:rsid w:val="002B03B8"/>
    <w:rsid w:val="002B0C74"/>
    <w:rsid w:val="002B0EFA"/>
    <w:rsid w:val="002B2574"/>
    <w:rsid w:val="002B28BA"/>
    <w:rsid w:val="002B335C"/>
    <w:rsid w:val="002B7116"/>
    <w:rsid w:val="002C057E"/>
    <w:rsid w:val="002C1CCC"/>
    <w:rsid w:val="002C3D51"/>
    <w:rsid w:val="002C4E09"/>
    <w:rsid w:val="002C69CA"/>
    <w:rsid w:val="002C6AFD"/>
    <w:rsid w:val="002D1529"/>
    <w:rsid w:val="002D17B9"/>
    <w:rsid w:val="002D3238"/>
    <w:rsid w:val="002D3B7D"/>
    <w:rsid w:val="002E0D81"/>
    <w:rsid w:val="002E1637"/>
    <w:rsid w:val="002E1F75"/>
    <w:rsid w:val="002E258B"/>
    <w:rsid w:val="002E2C06"/>
    <w:rsid w:val="002E6E3A"/>
    <w:rsid w:val="002F03CA"/>
    <w:rsid w:val="002F3CE2"/>
    <w:rsid w:val="002F40BE"/>
    <w:rsid w:val="002F459A"/>
    <w:rsid w:val="002F54E2"/>
    <w:rsid w:val="002F62CA"/>
    <w:rsid w:val="002F6C92"/>
    <w:rsid w:val="00303992"/>
    <w:rsid w:val="00303B58"/>
    <w:rsid w:val="003063E3"/>
    <w:rsid w:val="00307B95"/>
    <w:rsid w:val="0031138C"/>
    <w:rsid w:val="003114E4"/>
    <w:rsid w:val="003116BE"/>
    <w:rsid w:val="00313074"/>
    <w:rsid w:val="00313B4D"/>
    <w:rsid w:val="00315052"/>
    <w:rsid w:val="00315D1B"/>
    <w:rsid w:val="00315F76"/>
    <w:rsid w:val="00315FAB"/>
    <w:rsid w:val="003166D0"/>
    <w:rsid w:val="00316A37"/>
    <w:rsid w:val="0032050D"/>
    <w:rsid w:val="0032074B"/>
    <w:rsid w:val="00320E1D"/>
    <w:rsid w:val="003212A5"/>
    <w:rsid w:val="003218AA"/>
    <w:rsid w:val="00322826"/>
    <w:rsid w:val="00322F02"/>
    <w:rsid w:val="003230B1"/>
    <w:rsid w:val="00323C11"/>
    <w:rsid w:val="00324347"/>
    <w:rsid w:val="00325551"/>
    <w:rsid w:val="003259E2"/>
    <w:rsid w:val="00326E42"/>
    <w:rsid w:val="00327BCD"/>
    <w:rsid w:val="0033022C"/>
    <w:rsid w:val="003307D7"/>
    <w:rsid w:val="0033131C"/>
    <w:rsid w:val="003322D9"/>
    <w:rsid w:val="00334CD9"/>
    <w:rsid w:val="003369C2"/>
    <w:rsid w:val="003375B1"/>
    <w:rsid w:val="00337965"/>
    <w:rsid w:val="0034045E"/>
    <w:rsid w:val="00340886"/>
    <w:rsid w:val="00340C06"/>
    <w:rsid w:val="00340C37"/>
    <w:rsid w:val="0034248E"/>
    <w:rsid w:val="003433D1"/>
    <w:rsid w:val="00343530"/>
    <w:rsid w:val="00343598"/>
    <w:rsid w:val="00343DE9"/>
    <w:rsid w:val="003446EA"/>
    <w:rsid w:val="00344BC7"/>
    <w:rsid w:val="00345000"/>
    <w:rsid w:val="0034514A"/>
    <w:rsid w:val="003461C4"/>
    <w:rsid w:val="00346B4A"/>
    <w:rsid w:val="00346E43"/>
    <w:rsid w:val="003479F0"/>
    <w:rsid w:val="003506FA"/>
    <w:rsid w:val="00350FE5"/>
    <w:rsid w:val="00351B34"/>
    <w:rsid w:val="00351D63"/>
    <w:rsid w:val="00354F57"/>
    <w:rsid w:val="0035524C"/>
    <w:rsid w:val="0035548B"/>
    <w:rsid w:val="0035557D"/>
    <w:rsid w:val="0035770D"/>
    <w:rsid w:val="003605FD"/>
    <w:rsid w:val="00360851"/>
    <w:rsid w:val="00360C5E"/>
    <w:rsid w:val="00362779"/>
    <w:rsid w:val="00362A29"/>
    <w:rsid w:val="00362FEF"/>
    <w:rsid w:val="0036397C"/>
    <w:rsid w:val="00364396"/>
    <w:rsid w:val="00364B22"/>
    <w:rsid w:val="00364F58"/>
    <w:rsid w:val="00366B31"/>
    <w:rsid w:val="00367CDF"/>
    <w:rsid w:val="0037046F"/>
    <w:rsid w:val="00370D8B"/>
    <w:rsid w:val="003712C4"/>
    <w:rsid w:val="00371EA6"/>
    <w:rsid w:val="003728B6"/>
    <w:rsid w:val="003737A8"/>
    <w:rsid w:val="00373B0E"/>
    <w:rsid w:val="00373D7B"/>
    <w:rsid w:val="003773BE"/>
    <w:rsid w:val="003778A3"/>
    <w:rsid w:val="003801F5"/>
    <w:rsid w:val="0038070C"/>
    <w:rsid w:val="00381B40"/>
    <w:rsid w:val="00382A2B"/>
    <w:rsid w:val="003833D9"/>
    <w:rsid w:val="0038344E"/>
    <w:rsid w:val="00383755"/>
    <w:rsid w:val="00384AFA"/>
    <w:rsid w:val="00384C57"/>
    <w:rsid w:val="003866CD"/>
    <w:rsid w:val="00386F47"/>
    <w:rsid w:val="00387D80"/>
    <w:rsid w:val="00390602"/>
    <w:rsid w:val="00390AFB"/>
    <w:rsid w:val="0039105E"/>
    <w:rsid w:val="003941B6"/>
    <w:rsid w:val="00394DA0"/>
    <w:rsid w:val="00394E23"/>
    <w:rsid w:val="003950C3"/>
    <w:rsid w:val="00396F8B"/>
    <w:rsid w:val="003A0363"/>
    <w:rsid w:val="003A0CD5"/>
    <w:rsid w:val="003A1400"/>
    <w:rsid w:val="003A1D5A"/>
    <w:rsid w:val="003A2020"/>
    <w:rsid w:val="003A2B44"/>
    <w:rsid w:val="003A64B5"/>
    <w:rsid w:val="003A6511"/>
    <w:rsid w:val="003A679D"/>
    <w:rsid w:val="003B0554"/>
    <w:rsid w:val="003B43E9"/>
    <w:rsid w:val="003B696A"/>
    <w:rsid w:val="003B72E3"/>
    <w:rsid w:val="003C0DAB"/>
    <w:rsid w:val="003C2132"/>
    <w:rsid w:val="003C293F"/>
    <w:rsid w:val="003C3A59"/>
    <w:rsid w:val="003C6517"/>
    <w:rsid w:val="003C6D47"/>
    <w:rsid w:val="003C7987"/>
    <w:rsid w:val="003D17A9"/>
    <w:rsid w:val="003D4B10"/>
    <w:rsid w:val="003E02E9"/>
    <w:rsid w:val="003E17C4"/>
    <w:rsid w:val="003E19DF"/>
    <w:rsid w:val="003E2CF9"/>
    <w:rsid w:val="003E3705"/>
    <w:rsid w:val="003E3977"/>
    <w:rsid w:val="003E3F3F"/>
    <w:rsid w:val="003E4249"/>
    <w:rsid w:val="003E4D5C"/>
    <w:rsid w:val="003F12DA"/>
    <w:rsid w:val="003F2323"/>
    <w:rsid w:val="003F2A19"/>
    <w:rsid w:val="003F41D4"/>
    <w:rsid w:val="0040131C"/>
    <w:rsid w:val="004014A7"/>
    <w:rsid w:val="00401500"/>
    <w:rsid w:val="00404A39"/>
    <w:rsid w:val="00405DA2"/>
    <w:rsid w:val="00406E9F"/>
    <w:rsid w:val="00406F09"/>
    <w:rsid w:val="00407259"/>
    <w:rsid w:val="00407C74"/>
    <w:rsid w:val="00410AAA"/>
    <w:rsid w:val="00413A3B"/>
    <w:rsid w:val="00413EF2"/>
    <w:rsid w:val="0041400F"/>
    <w:rsid w:val="004146F0"/>
    <w:rsid w:val="00414EBC"/>
    <w:rsid w:val="00415549"/>
    <w:rsid w:val="004160A5"/>
    <w:rsid w:val="0041784C"/>
    <w:rsid w:val="00417BFC"/>
    <w:rsid w:val="00417D59"/>
    <w:rsid w:val="0042051D"/>
    <w:rsid w:val="004215CC"/>
    <w:rsid w:val="00425778"/>
    <w:rsid w:val="004258FD"/>
    <w:rsid w:val="004261DF"/>
    <w:rsid w:val="00426392"/>
    <w:rsid w:val="004268E3"/>
    <w:rsid w:val="00426E21"/>
    <w:rsid w:val="00426F86"/>
    <w:rsid w:val="00427133"/>
    <w:rsid w:val="00431353"/>
    <w:rsid w:val="0043161C"/>
    <w:rsid w:val="00435825"/>
    <w:rsid w:val="00436DEF"/>
    <w:rsid w:val="00440E0A"/>
    <w:rsid w:val="00441EB8"/>
    <w:rsid w:val="004422E6"/>
    <w:rsid w:val="004429F2"/>
    <w:rsid w:val="004436DA"/>
    <w:rsid w:val="00443F19"/>
    <w:rsid w:val="0044588B"/>
    <w:rsid w:val="00450178"/>
    <w:rsid w:val="00450416"/>
    <w:rsid w:val="00450B00"/>
    <w:rsid w:val="00452BF1"/>
    <w:rsid w:val="00452F3E"/>
    <w:rsid w:val="00452FED"/>
    <w:rsid w:val="00453860"/>
    <w:rsid w:val="00454EEF"/>
    <w:rsid w:val="00455F0F"/>
    <w:rsid w:val="00456501"/>
    <w:rsid w:val="004568B5"/>
    <w:rsid w:val="00456DFB"/>
    <w:rsid w:val="0045718C"/>
    <w:rsid w:val="00460AAA"/>
    <w:rsid w:val="00460DF2"/>
    <w:rsid w:val="00462EB8"/>
    <w:rsid w:val="00463445"/>
    <w:rsid w:val="00465342"/>
    <w:rsid w:val="00465D5E"/>
    <w:rsid w:val="00466CB3"/>
    <w:rsid w:val="004704C8"/>
    <w:rsid w:val="0047184E"/>
    <w:rsid w:val="00472066"/>
    <w:rsid w:val="00472887"/>
    <w:rsid w:val="004734F2"/>
    <w:rsid w:val="00473F15"/>
    <w:rsid w:val="0047440F"/>
    <w:rsid w:val="00475C79"/>
    <w:rsid w:val="00476399"/>
    <w:rsid w:val="0047650E"/>
    <w:rsid w:val="00477544"/>
    <w:rsid w:val="004817A6"/>
    <w:rsid w:val="00481D50"/>
    <w:rsid w:val="00482177"/>
    <w:rsid w:val="00482A42"/>
    <w:rsid w:val="00483B1E"/>
    <w:rsid w:val="00483F02"/>
    <w:rsid w:val="0048452E"/>
    <w:rsid w:val="004848B2"/>
    <w:rsid w:val="004869CC"/>
    <w:rsid w:val="00487F27"/>
    <w:rsid w:val="00490AD7"/>
    <w:rsid w:val="004913F4"/>
    <w:rsid w:val="00492751"/>
    <w:rsid w:val="00493DDA"/>
    <w:rsid w:val="0049430D"/>
    <w:rsid w:val="00496193"/>
    <w:rsid w:val="0049649E"/>
    <w:rsid w:val="00496BFE"/>
    <w:rsid w:val="004978B2"/>
    <w:rsid w:val="00497963"/>
    <w:rsid w:val="004A01BF"/>
    <w:rsid w:val="004A04FA"/>
    <w:rsid w:val="004A08AB"/>
    <w:rsid w:val="004A0B1E"/>
    <w:rsid w:val="004A20B1"/>
    <w:rsid w:val="004A2CD6"/>
    <w:rsid w:val="004A3398"/>
    <w:rsid w:val="004A4A12"/>
    <w:rsid w:val="004A4BEA"/>
    <w:rsid w:val="004A5C0F"/>
    <w:rsid w:val="004A6F36"/>
    <w:rsid w:val="004A72EF"/>
    <w:rsid w:val="004B07F1"/>
    <w:rsid w:val="004B0A79"/>
    <w:rsid w:val="004B1157"/>
    <w:rsid w:val="004B5F28"/>
    <w:rsid w:val="004B6C8F"/>
    <w:rsid w:val="004B78AB"/>
    <w:rsid w:val="004C1B79"/>
    <w:rsid w:val="004C1E94"/>
    <w:rsid w:val="004C62CF"/>
    <w:rsid w:val="004C6F5D"/>
    <w:rsid w:val="004C7EE4"/>
    <w:rsid w:val="004D0809"/>
    <w:rsid w:val="004D1B39"/>
    <w:rsid w:val="004D1D9C"/>
    <w:rsid w:val="004D2189"/>
    <w:rsid w:val="004D2B1E"/>
    <w:rsid w:val="004D370B"/>
    <w:rsid w:val="004D385E"/>
    <w:rsid w:val="004D3F01"/>
    <w:rsid w:val="004D3FD8"/>
    <w:rsid w:val="004D4F0C"/>
    <w:rsid w:val="004D5B88"/>
    <w:rsid w:val="004D68FE"/>
    <w:rsid w:val="004D751A"/>
    <w:rsid w:val="004D7928"/>
    <w:rsid w:val="004E0969"/>
    <w:rsid w:val="004E12B5"/>
    <w:rsid w:val="004E12F6"/>
    <w:rsid w:val="004E40EB"/>
    <w:rsid w:val="004E4129"/>
    <w:rsid w:val="004E560F"/>
    <w:rsid w:val="004E703D"/>
    <w:rsid w:val="004F0312"/>
    <w:rsid w:val="004F0427"/>
    <w:rsid w:val="004F066E"/>
    <w:rsid w:val="004F10D0"/>
    <w:rsid w:val="004F1FEB"/>
    <w:rsid w:val="004F3D7C"/>
    <w:rsid w:val="004F5060"/>
    <w:rsid w:val="004F7A1E"/>
    <w:rsid w:val="004F7DF7"/>
    <w:rsid w:val="00500327"/>
    <w:rsid w:val="00500987"/>
    <w:rsid w:val="00501376"/>
    <w:rsid w:val="00501C53"/>
    <w:rsid w:val="00502968"/>
    <w:rsid w:val="00504929"/>
    <w:rsid w:val="00505008"/>
    <w:rsid w:val="00505C00"/>
    <w:rsid w:val="00506F9A"/>
    <w:rsid w:val="005074FA"/>
    <w:rsid w:val="00507F54"/>
    <w:rsid w:val="00507F69"/>
    <w:rsid w:val="00511170"/>
    <w:rsid w:val="00511EDF"/>
    <w:rsid w:val="005125A6"/>
    <w:rsid w:val="00512BAF"/>
    <w:rsid w:val="00513370"/>
    <w:rsid w:val="005138FE"/>
    <w:rsid w:val="00513A0D"/>
    <w:rsid w:val="00513A88"/>
    <w:rsid w:val="00514885"/>
    <w:rsid w:val="00515DA2"/>
    <w:rsid w:val="00516879"/>
    <w:rsid w:val="00520984"/>
    <w:rsid w:val="00521953"/>
    <w:rsid w:val="0052231D"/>
    <w:rsid w:val="005223A4"/>
    <w:rsid w:val="0052352A"/>
    <w:rsid w:val="00524AC6"/>
    <w:rsid w:val="0052783B"/>
    <w:rsid w:val="005333A2"/>
    <w:rsid w:val="005360FB"/>
    <w:rsid w:val="00536862"/>
    <w:rsid w:val="00536FB4"/>
    <w:rsid w:val="00536FBF"/>
    <w:rsid w:val="00540170"/>
    <w:rsid w:val="00540887"/>
    <w:rsid w:val="00541AFB"/>
    <w:rsid w:val="00544580"/>
    <w:rsid w:val="00545312"/>
    <w:rsid w:val="00545E9B"/>
    <w:rsid w:val="0054620F"/>
    <w:rsid w:val="0054714E"/>
    <w:rsid w:val="00550FE4"/>
    <w:rsid w:val="005548FA"/>
    <w:rsid w:val="005564C3"/>
    <w:rsid w:val="00557397"/>
    <w:rsid w:val="005604F8"/>
    <w:rsid w:val="00560501"/>
    <w:rsid w:val="005619EA"/>
    <w:rsid w:val="00562316"/>
    <w:rsid w:val="00563FA2"/>
    <w:rsid w:val="00564105"/>
    <w:rsid w:val="00564E6C"/>
    <w:rsid w:val="00564E8A"/>
    <w:rsid w:val="005655C3"/>
    <w:rsid w:val="0056661D"/>
    <w:rsid w:val="00567DA1"/>
    <w:rsid w:val="00567DFC"/>
    <w:rsid w:val="005703B3"/>
    <w:rsid w:val="00570742"/>
    <w:rsid w:val="0057094F"/>
    <w:rsid w:val="00571250"/>
    <w:rsid w:val="00572064"/>
    <w:rsid w:val="00572353"/>
    <w:rsid w:val="00574B01"/>
    <w:rsid w:val="00576371"/>
    <w:rsid w:val="005764BA"/>
    <w:rsid w:val="00583CCD"/>
    <w:rsid w:val="00583D0E"/>
    <w:rsid w:val="00583EAD"/>
    <w:rsid w:val="00583F96"/>
    <w:rsid w:val="0058406D"/>
    <w:rsid w:val="0058465F"/>
    <w:rsid w:val="00584B71"/>
    <w:rsid w:val="00586D09"/>
    <w:rsid w:val="00587437"/>
    <w:rsid w:val="00591AE8"/>
    <w:rsid w:val="0059503C"/>
    <w:rsid w:val="005967C7"/>
    <w:rsid w:val="005967DB"/>
    <w:rsid w:val="00597328"/>
    <w:rsid w:val="00597611"/>
    <w:rsid w:val="00597DE1"/>
    <w:rsid w:val="005A048B"/>
    <w:rsid w:val="005A0C6E"/>
    <w:rsid w:val="005A4B22"/>
    <w:rsid w:val="005A6601"/>
    <w:rsid w:val="005A6EDC"/>
    <w:rsid w:val="005A7F50"/>
    <w:rsid w:val="005B252A"/>
    <w:rsid w:val="005B2F90"/>
    <w:rsid w:val="005B5045"/>
    <w:rsid w:val="005B7464"/>
    <w:rsid w:val="005C1AE7"/>
    <w:rsid w:val="005C2577"/>
    <w:rsid w:val="005C3E51"/>
    <w:rsid w:val="005C61E3"/>
    <w:rsid w:val="005C78A0"/>
    <w:rsid w:val="005D02B5"/>
    <w:rsid w:val="005D1386"/>
    <w:rsid w:val="005D198D"/>
    <w:rsid w:val="005D2BE2"/>
    <w:rsid w:val="005D2EEF"/>
    <w:rsid w:val="005D3028"/>
    <w:rsid w:val="005D3192"/>
    <w:rsid w:val="005D5170"/>
    <w:rsid w:val="005D6D84"/>
    <w:rsid w:val="005D75B7"/>
    <w:rsid w:val="005D79BA"/>
    <w:rsid w:val="005D7A4C"/>
    <w:rsid w:val="005E128F"/>
    <w:rsid w:val="005E1DCC"/>
    <w:rsid w:val="005E2FE6"/>
    <w:rsid w:val="005E65E1"/>
    <w:rsid w:val="005E689B"/>
    <w:rsid w:val="005F1355"/>
    <w:rsid w:val="005F2ADD"/>
    <w:rsid w:val="005F4019"/>
    <w:rsid w:val="005F45C8"/>
    <w:rsid w:val="005F57CC"/>
    <w:rsid w:val="005F5A53"/>
    <w:rsid w:val="005F786A"/>
    <w:rsid w:val="006008F7"/>
    <w:rsid w:val="006020E9"/>
    <w:rsid w:val="00602923"/>
    <w:rsid w:val="00602C36"/>
    <w:rsid w:val="0060342B"/>
    <w:rsid w:val="00604869"/>
    <w:rsid w:val="00605880"/>
    <w:rsid w:val="0060660D"/>
    <w:rsid w:val="00610531"/>
    <w:rsid w:val="00610E09"/>
    <w:rsid w:val="006119BD"/>
    <w:rsid w:val="00611AB7"/>
    <w:rsid w:val="00611C37"/>
    <w:rsid w:val="00611DF5"/>
    <w:rsid w:val="00612A09"/>
    <w:rsid w:val="00614858"/>
    <w:rsid w:val="00617408"/>
    <w:rsid w:val="00617526"/>
    <w:rsid w:val="00617B89"/>
    <w:rsid w:val="006200E8"/>
    <w:rsid w:val="0062062F"/>
    <w:rsid w:val="006221E6"/>
    <w:rsid w:val="006241BD"/>
    <w:rsid w:val="00624C27"/>
    <w:rsid w:val="00627240"/>
    <w:rsid w:val="00630AAF"/>
    <w:rsid w:val="00630B8C"/>
    <w:rsid w:val="00630BCA"/>
    <w:rsid w:val="0063220E"/>
    <w:rsid w:val="00633B9B"/>
    <w:rsid w:val="00633FC4"/>
    <w:rsid w:val="00634145"/>
    <w:rsid w:val="00634637"/>
    <w:rsid w:val="00634F72"/>
    <w:rsid w:val="00637523"/>
    <w:rsid w:val="006376A3"/>
    <w:rsid w:val="00637DB5"/>
    <w:rsid w:val="00640ACC"/>
    <w:rsid w:val="0064195B"/>
    <w:rsid w:val="00642749"/>
    <w:rsid w:val="0064280F"/>
    <w:rsid w:val="00644A55"/>
    <w:rsid w:val="00644CAD"/>
    <w:rsid w:val="00646CA5"/>
    <w:rsid w:val="00646D5C"/>
    <w:rsid w:val="006479C4"/>
    <w:rsid w:val="00650C6E"/>
    <w:rsid w:val="006525B0"/>
    <w:rsid w:val="00652D02"/>
    <w:rsid w:val="006531A2"/>
    <w:rsid w:val="006540BF"/>
    <w:rsid w:val="00654627"/>
    <w:rsid w:val="0066059A"/>
    <w:rsid w:val="0066177A"/>
    <w:rsid w:val="0066261A"/>
    <w:rsid w:val="006634BF"/>
    <w:rsid w:val="00663EC5"/>
    <w:rsid w:val="006647D4"/>
    <w:rsid w:val="006648A1"/>
    <w:rsid w:val="00665E4E"/>
    <w:rsid w:val="00667E67"/>
    <w:rsid w:val="0067001E"/>
    <w:rsid w:val="00670568"/>
    <w:rsid w:val="00670637"/>
    <w:rsid w:val="0067374A"/>
    <w:rsid w:val="00675569"/>
    <w:rsid w:val="00676745"/>
    <w:rsid w:val="00677348"/>
    <w:rsid w:val="006800C5"/>
    <w:rsid w:val="006803A0"/>
    <w:rsid w:val="00680C59"/>
    <w:rsid w:val="00682DA4"/>
    <w:rsid w:val="00682E35"/>
    <w:rsid w:val="006833FD"/>
    <w:rsid w:val="00683D7F"/>
    <w:rsid w:val="006864AE"/>
    <w:rsid w:val="00690D97"/>
    <w:rsid w:val="00692CC1"/>
    <w:rsid w:val="00693BAA"/>
    <w:rsid w:val="00693DF0"/>
    <w:rsid w:val="00695569"/>
    <w:rsid w:val="00695D5F"/>
    <w:rsid w:val="0069624E"/>
    <w:rsid w:val="00696F9D"/>
    <w:rsid w:val="0069734C"/>
    <w:rsid w:val="006973ED"/>
    <w:rsid w:val="006A0ABF"/>
    <w:rsid w:val="006A1D3A"/>
    <w:rsid w:val="006A4202"/>
    <w:rsid w:val="006A54C5"/>
    <w:rsid w:val="006A58FF"/>
    <w:rsid w:val="006A7194"/>
    <w:rsid w:val="006B0766"/>
    <w:rsid w:val="006B0A31"/>
    <w:rsid w:val="006B1252"/>
    <w:rsid w:val="006B169B"/>
    <w:rsid w:val="006B1DA3"/>
    <w:rsid w:val="006B1E63"/>
    <w:rsid w:val="006B2006"/>
    <w:rsid w:val="006B3CF0"/>
    <w:rsid w:val="006B6F47"/>
    <w:rsid w:val="006C230F"/>
    <w:rsid w:val="006C2E1A"/>
    <w:rsid w:val="006C3687"/>
    <w:rsid w:val="006C434A"/>
    <w:rsid w:val="006C54DB"/>
    <w:rsid w:val="006C6D6A"/>
    <w:rsid w:val="006C7BC8"/>
    <w:rsid w:val="006C7DFB"/>
    <w:rsid w:val="006C7F49"/>
    <w:rsid w:val="006D0362"/>
    <w:rsid w:val="006D1E7B"/>
    <w:rsid w:val="006D202C"/>
    <w:rsid w:val="006D3A7A"/>
    <w:rsid w:val="006D3DDD"/>
    <w:rsid w:val="006D4ED1"/>
    <w:rsid w:val="006D54E3"/>
    <w:rsid w:val="006D6C28"/>
    <w:rsid w:val="006D749E"/>
    <w:rsid w:val="006D76FD"/>
    <w:rsid w:val="006E1D19"/>
    <w:rsid w:val="006E33C5"/>
    <w:rsid w:val="006E4797"/>
    <w:rsid w:val="006E4F0A"/>
    <w:rsid w:val="006E58E1"/>
    <w:rsid w:val="006E5A54"/>
    <w:rsid w:val="006E7CAA"/>
    <w:rsid w:val="006E7D40"/>
    <w:rsid w:val="006F295B"/>
    <w:rsid w:val="006F502F"/>
    <w:rsid w:val="006F56EB"/>
    <w:rsid w:val="006F67F0"/>
    <w:rsid w:val="006F684F"/>
    <w:rsid w:val="006F6881"/>
    <w:rsid w:val="007000DF"/>
    <w:rsid w:val="007028AC"/>
    <w:rsid w:val="00705461"/>
    <w:rsid w:val="00705634"/>
    <w:rsid w:val="007061DC"/>
    <w:rsid w:val="00710180"/>
    <w:rsid w:val="007110E1"/>
    <w:rsid w:val="00712062"/>
    <w:rsid w:val="00713848"/>
    <w:rsid w:val="00715481"/>
    <w:rsid w:val="00715ECF"/>
    <w:rsid w:val="00717136"/>
    <w:rsid w:val="007176BA"/>
    <w:rsid w:val="00720229"/>
    <w:rsid w:val="00720B9D"/>
    <w:rsid w:val="007237EE"/>
    <w:rsid w:val="00723B8E"/>
    <w:rsid w:val="00726CD2"/>
    <w:rsid w:val="00730527"/>
    <w:rsid w:val="00730A82"/>
    <w:rsid w:val="007326D0"/>
    <w:rsid w:val="00732E93"/>
    <w:rsid w:val="007333B0"/>
    <w:rsid w:val="00733BF3"/>
    <w:rsid w:val="00734060"/>
    <w:rsid w:val="0073451A"/>
    <w:rsid w:val="007347B9"/>
    <w:rsid w:val="00736733"/>
    <w:rsid w:val="00736788"/>
    <w:rsid w:val="00737120"/>
    <w:rsid w:val="00737B27"/>
    <w:rsid w:val="00737BF0"/>
    <w:rsid w:val="00737EDF"/>
    <w:rsid w:val="00740565"/>
    <w:rsid w:val="007407D1"/>
    <w:rsid w:val="007413AD"/>
    <w:rsid w:val="00742194"/>
    <w:rsid w:val="00742266"/>
    <w:rsid w:val="007426F2"/>
    <w:rsid w:val="00743D10"/>
    <w:rsid w:val="00745F1C"/>
    <w:rsid w:val="00746A71"/>
    <w:rsid w:val="00746B4D"/>
    <w:rsid w:val="00750A46"/>
    <w:rsid w:val="00750BDC"/>
    <w:rsid w:val="007515EE"/>
    <w:rsid w:val="00751EE1"/>
    <w:rsid w:val="007527B6"/>
    <w:rsid w:val="00752AB7"/>
    <w:rsid w:val="0075372D"/>
    <w:rsid w:val="00753FA7"/>
    <w:rsid w:val="00754B6E"/>
    <w:rsid w:val="00760340"/>
    <w:rsid w:val="00761D5F"/>
    <w:rsid w:val="007626AE"/>
    <w:rsid w:val="00763805"/>
    <w:rsid w:val="007641F3"/>
    <w:rsid w:val="0076429A"/>
    <w:rsid w:val="00764D7D"/>
    <w:rsid w:val="00765532"/>
    <w:rsid w:val="007659B9"/>
    <w:rsid w:val="0076675E"/>
    <w:rsid w:val="00766EB7"/>
    <w:rsid w:val="0076723D"/>
    <w:rsid w:val="00767D68"/>
    <w:rsid w:val="00767E59"/>
    <w:rsid w:val="00770E93"/>
    <w:rsid w:val="00771B09"/>
    <w:rsid w:val="007765F9"/>
    <w:rsid w:val="00776D1E"/>
    <w:rsid w:val="00776EB5"/>
    <w:rsid w:val="00780623"/>
    <w:rsid w:val="0078070D"/>
    <w:rsid w:val="0078174E"/>
    <w:rsid w:val="00782FEF"/>
    <w:rsid w:val="00783F61"/>
    <w:rsid w:val="00784EEB"/>
    <w:rsid w:val="00791361"/>
    <w:rsid w:val="00791607"/>
    <w:rsid w:val="00793237"/>
    <w:rsid w:val="007936BD"/>
    <w:rsid w:val="0079371C"/>
    <w:rsid w:val="00795566"/>
    <w:rsid w:val="0079583E"/>
    <w:rsid w:val="00797827"/>
    <w:rsid w:val="00797BDE"/>
    <w:rsid w:val="007A00B9"/>
    <w:rsid w:val="007A17F6"/>
    <w:rsid w:val="007A23E6"/>
    <w:rsid w:val="007A3E6A"/>
    <w:rsid w:val="007A4FDF"/>
    <w:rsid w:val="007A4FF4"/>
    <w:rsid w:val="007A52E4"/>
    <w:rsid w:val="007A6488"/>
    <w:rsid w:val="007A6DAA"/>
    <w:rsid w:val="007A7880"/>
    <w:rsid w:val="007B0B9B"/>
    <w:rsid w:val="007B2181"/>
    <w:rsid w:val="007B37F6"/>
    <w:rsid w:val="007B3AA0"/>
    <w:rsid w:val="007B5181"/>
    <w:rsid w:val="007B54B7"/>
    <w:rsid w:val="007B59CE"/>
    <w:rsid w:val="007B5BA6"/>
    <w:rsid w:val="007B7D99"/>
    <w:rsid w:val="007C0651"/>
    <w:rsid w:val="007C20B3"/>
    <w:rsid w:val="007C30FD"/>
    <w:rsid w:val="007C3C1D"/>
    <w:rsid w:val="007C425D"/>
    <w:rsid w:val="007C51CA"/>
    <w:rsid w:val="007C692A"/>
    <w:rsid w:val="007C6B6D"/>
    <w:rsid w:val="007D2369"/>
    <w:rsid w:val="007D4801"/>
    <w:rsid w:val="007D52B8"/>
    <w:rsid w:val="007D53BC"/>
    <w:rsid w:val="007D5BCA"/>
    <w:rsid w:val="007E0069"/>
    <w:rsid w:val="007E05C9"/>
    <w:rsid w:val="007E199A"/>
    <w:rsid w:val="007E1A03"/>
    <w:rsid w:val="007E2162"/>
    <w:rsid w:val="007E2E10"/>
    <w:rsid w:val="007E41BE"/>
    <w:rsid w:val="007E4EA3"/>
    <w:rsid w:val="007E7709"/>
    <w:rsid w:val="007F0587"/>
    <w:rsid w:val="007F06CC"/>
    <w:rsid w:val="007F0C98"/>
    <w:rsid w:val="007F0DD5"/>
    <w:rsid w:val="007F0ED8"/>
    <w:rsid w:val="007F1291"/>
    <w:rsid w:val="007F1656"/>
    <w:rsid w:val="007F1665"/>
    <w:rsid w:val="007F20DA"/>
    <w:rsid w:val="007F3671"/>
    <w:rsid w:val="007F3E0C"/>
    <w:rsid w:val="007F4FE5"/>
    <w:rsid w:val="007F58C6"/>
    <w:rsid w:val="007F596C"/>
    <w:rsid w:val="007F750D"/>
    <w:rsid w:val="00801505"/>
    <w:rsid w:val="0080225B"/>
    <w:rsid w:val="00803B49"/>
    <w:rsid w:val="0080478A"/>
    <w:rsid w:val="00805149"/>
    <w:rsid w:val="008059FB"/>
    <w:rsid w:val="0080679E"/>
    <w:rsid w:val="008070E1"/>
    <w:rsid w:val="0081036F"/>
    <w:rsid w:val="0081052D"/>
    <w:rsid w:val="008122EC"/>
    <w:rsid w:val="0081365B"/>
    <w:rsid w:val="00814509"/>
    <w:rsid w:val="00814D02"/>
    <w:rsid w:val="00814FA0"/>
    <w:rsid w:val="00814FAB"/>
    <w:rsid w:val="00817067"/>
    <w:rsid w:val="0081716B"/>
    <w:rsid w:val="00817724"/>
    <w:rsid w:val="0081783E"/>
    <w:rsid w:val="00817BCC"/>
    <w:rsid w:val="008249AF"/>
    <w:rsid w:val="00824BA4"/>
    <w:rsid w:val="00825DFE"/>
    <w:rsid w:val="00826300"/>
    <w:rsid w:val="008263A7"/>
    <w:rsid w:val="0083072B"/>
    <w:rsid w:val="00830A09"/>
    <w:rsid w:val="0083151C"/>
    <w:rsid w:val="00831869"/>
    <w:rsid w:val="00831A9A"/>
    <w:rsid w:val="008321F4"/>
    <w:rsid w:val="00833611"/>
    <w:rsid w:val="00835784"/>
    <w:rsid w:val="008368C6"/>
    <w:rsid w:val="00841D21"/>
    <w:rsid w:val="008423F8"/>
    <w:rsid w:val="0084353E"/>
    <w:rsid w:val="00843962"/>
    <w:rsid w:val="008457F1"/>
    <w:rsid w:val="00845A9C"/>
    <w:rsid w:val="00845C79"/>
    <w:rsid w:val="00846950"/>
    <w:rsid w:val="00846B50"/>
    <w:rsid w:val="0084708F"/>
    <w:rsid w:val="008504DE"/>
    <w:rsid w:val="0085154A"/>
    <w:rsid w:val="00853A7D"/>
    <w:rsid w:val="0085471B"/>
    <w:rsid w:val="00855456"/>
    <w:rsid w:val="008562EB"/>
    <w:rsid w:val="0085688E"/>
    <w:rsid w:val="00856D55"/>
    <w:rsid w:val="00860846"/>
    <w:rsid w:val="00862728"/>
    <w:rsid w:val="00864884"/>
    <w:rsid w:val="00864B1D"/>
    <w:rsid w:val="0086555B"/>
    <w:rsid w:val="008665F5"/>
    <w:rsid w:val="008670AB"/>
    <w:rsid w:val="008676D6"/>
    <w:rsid w:val="00867857"/>
    <w:rsid w:val="008711C6"/>
    <w:rsid w:val="00871C32"/>
    <w:rsid w:val="00872593"/>
    <w:rsid w:val="008726B8"/>
    <w:rsid w:val="00873486"/>
    <w:rsid w:val="008736FB"/>
    <w:rsid w:val="00873978"/>
    <w:rsid w:val="00873C7B"/>
    <w:rsid w:val="00874DE5"/>
    <w:rsid w:val="00875AA4"/>
    <w:rsid w:val="00877F13"/>
    <w:rsid w:val="00880A5E"/>
    <w:rsid w:val="00880E18"/>
    <w:rsid w:val="00882E48"/>
    <w:rsid w:val="00887BA3"/>
    <w:rsid w:val="008902F1"/>
    <w:rsid w:val="00890788"/>
    <w:rsid w:val="00893AA6"/>
    <w:rsid w:val="00893CAF"/>
    <w:rsid w:val="0089446A"/>
    <w:rsid w:val="0089487D"/>
    <w:rsid w:val="00895F2F"/>
    <w:rsid w:val="00897F32"/>
    <w:rsid w:val="008A08C5"/>
    <w:rsid w:val="008A0920"/>
    <w:rsid w:val="008A0D34"/>
    <w:rsid w:val="008A125A"/>
    <w:rsid w:val="008A25C4"/>
    <w:rsid w:val="008A32E0"/>
    <w:rsid w:val="008A407E"/>
    <w:rsid w:val="008A6526"/>
    <w:rsid w:val="008A6654"/>
    <w:rsid w:val="008A720C"/>
    <w:rsid w:val="008A790B"/>
    <w:rsid w:val="008B0862"/>
    <w:rsid w:val="008B351B"/>
    <w:rsid w:val="008B35D5"/>
    <w:rsid w:val="008B3F31"/>
    <w:rsid w:val="008B4A9F"/>
    <w:rsid w:val="008B4BBD"/>
    <w:rsid w:val="008B4FE0"/>
    <w:rsid w:val="008B5595"/>
    <w:rsid w:val="008B56B4"/>
    <w:rsid w:val="008B74DE"/>
    <w:rsid w:val="008B77E2"/>
    <w:rsid w:val="008C2CE9"/>
    <w:rsid w:val="008D0B69"/>
    <w:rsid w:val="008D13C2"/>
    <w:rsid w:val="008D1F6B"/>
    <w:rsid w:val="008D20D3"/>
    <w:rsid w:val="008D33FC"/>
    <w:rsid w:val="008D33FF"/>
    <w:rsid w:val="008D37AD"/>
    <w:rsid w:val="008D39B7"/>
    <w:rsid w:val="008D6379"/>
    <w:rsid w:val="008D67F1"/>
    <w:rsid w:val="008D79D8"/>
    <w:rsid w:val="008E106F"/>
    <w:rsid w:val="008E20B6"/>
    <w:rsid w:val="008E2A7B"/>
    <w:rsid w:val="008E2BE4"/>
    <w:rsid w:val="008E5F10"/>
    <w:rsid w:val="008E6874"/>
    <w:rsid w:val="008E7202"/>
    <w:rsid w:val="008F0409"/>
    <w:rsid w:val="008F0B40"/>
    <w:rsid w:val="008F11AA"/>
    <w:rsid w:val="008F1C1C"/>
    <w:rsid w:val="008F2D9E"/>
    <w:rsid w:val="008F4395"/>
    <w:rsid w:val="008F5205"/>
    <w:rsid w:val="008F551B"/>
    <w:rsid w:val="008F566A"/>
    <w:rsid w:val="008F5E4F"/>
    <w:rsid w:val="008F6D92"/>
    <w:rsid w:val="0090055B"/>
    <w:rsid w:val="00900AAD"/>
    <w:rsid w:val="00904A36"/>
    <w:rsid w:val="009058BE"/>
    <w:rsid w:val="0090725A"/>
    <w:rsid w:val="00907E4C"/>
    <w:rsid w:val="00912BF4"/>
    <w:rsid w:val="00914E6A"/>
    <w:rsid w:val="00916F44"/>
    <w:rsid w:val="009204ED"/>
    <w:rsid w:val="009214BA"/>
    <w:rsid w:val="00924C43"/>
    <w:rsid w:val="00925D2D"/>
    <w:rsid w:val="009265D2"/>
    <w:rsid w:val="009266C0"/>
    <w:rsid w:val="0092682D"/>
    <w:rsid w:val="0092761D"/>
    <w:rsid w:val="00927B1B"/>
    <w:rsid w:val="00927FCC"/>
    <w:rsid w:val="00932BB9"/>
    <w:rsid w:val="009336E4"/>
    <w:rsid w:val="009339EF"/>
    <w:rsid w:val="00934D91"/>
    <w:rsid w:val="00935A71"/>
    <w:rsid w:val="00936F10"/>
    <w:rsid w:val="009373AC"/>
    <w:rsid w:val="00941006"/>
    <w:rsid w:val="00945173"/>
    <w:rsid w:val="00945990"/>
    <w:rsid w:val="009462C9"/>
    <w:rsid w:val="00951073"/>
    <w:rsid w:val="0095438E"/>
    <w:rsid w:val="00955515"/>
    <w:rsid w:val="009558F6"/>
    <w:rsid w:val="00956102"/>
    <w:rsid w:val="00960C5F"/>
    <w:rsid w:val="0096379A"/>
    <w:rsid w:val="009660F8"/>
    <w:rsid w:val="00966A7D"/>
    <w:rsid w:val="0096722A"/>
    <w:rsid w:val="00967CC2"/>
    <w:rsid w:val="0097062D"/>
    <w:rsid w:val="0097217D"/>
    <w:rsid w:val="00972684"/>
    <w:rsid w:val="00973000"/>
    <w:rsid w:val="00977378"/>
    <w:rsid w:val="009814A0"/>
    <w:rsid w:val="009831A3"/>
    <w:rsid w:val="00985669"/>
    <w:rsid w:val="00987BB8"/>
    <w:rsid w:val="00987DAE"/>
    <w:rsid w:val="009910F9"/>
    <w:rsid w:val="0099240B"/>
    <w:rsid w:val="00994B19"/>
    <w:rsid w:val="009956B5"/>
    <w:rsid w:val="0099595A"/>
    <w:rsid w:val="0099632C"/>
    <w:rsid w:val="009A1D79"/>
    <w:rsid w:val="009A254B"/>
    <w:rsid w:val="009A2CA5"/>
    <w:rsid w:val="009A49C8"/>
    <w:rsid w:val="009A4A23"/>
    <w:rsid w:val="009A54B3"/>
    <w:rsid w:val="009B136B"/>
    <w:rsid w:val="009B21E0"/>
    <w:rsid w:val="009B318F"/>
    <w:rsid w:val="009B455B"/>
    <w:rsid w:val="009B5AFB"/>
    <w:rsid w:val="009B703C"/>
    <w:rsid w:val="009C0114"/>
    <w:rsid w:val="009C0A08"/>
    <w:rsid w:val="009C3A31"/>
    <w:rsid w:val="009C46C7"/>
    <w:rsid w:val="009C4DCE"/>
    <w:rsid w:val="009C6F2B"/>
    <w:rsid w:val="009D0E36"/>
    <w:rsid w:val="009D1751"/>
    <w:rsid w:val="009D17E9"/>
    <w:rsid w:val="009D1BAD"/>
    <w:rsid w:val="009D2810"/>
    <w:rsid w:val="009D3607"/>
    <w:rsid w:val="009D44BA"/>
    <w:rsid w:val="009D46EF"/>
    <w:rsid w:val="009D53D0"/>
    <w:rsid w:val="009D560F"/>
    <w:rsid w:val="009D705F"/>
    <w:rsid w:val="009D74CA"/>
    <w:rsid w:val="009D7A2B"/>
    <w:rsid w:val="009E11C8"/>
    <w:rsid w:val="009E15D0"/>
    <w:rsid w:val="009E1C89"/>
    <w:rsid w:val="009E287C"/>
    <w:rsid w:val="009E298A"/>
    <w:rsid w:val="009E34E5"/>
    <w:rsid w:val="009E3986"/>
    <w:rsid w:val="009E3D84"/>
    <w:rsid w:val="009E43FF"/>
    <w:rsid w:val="009E7016"/>
    <w:rsid w:val="009E7953"/>
    <w:rsid w:val="009E79B6"/>
    <w:rsid w:val="009F1382"/>
    <w:rsid w:val="009F4266"/>
    <w:rsid w:val="009F4A4E"/>
    <w:rsid w:val="009F6569"/>
    <w:rsid w:val="009F69A3"/>
    <w:rsid w:val="009F6E63"/>
    <w:rsid w:val="00A002E0"/>
    <w:rsid w:val="00A02F6D"/>
    <w:rsid w:val="00A03347"/>
    <w:rsid w:val="00A055FE"/>
    <w:rsid w:val="00A06373"/>
    <w:rsid w:val="00A065F6"/>
    <w:rsid w:val="00A079DB"/>
    <w:rsid w:val="00A109A6"/>
    <w:rsid w:val="00A10CC6"/>
    <w:rsid w:val="00A13421"/>
    <w:rsid w:val="00A1445B"/>
    <w:rsid w:val="00A148C8"/>
    <w:rsid w:val="00A1586F"/>
    <w:rsid w:val="00A16860"/>
    <w:rsid w:val="00A16A78"/>
    <w:rsid w:val="00A16EA3"/>
    <w:rsid w:val="00A205F1"/>
    <w:rsid w:val="00A20B1F"/>
    <w:rsid w:val="00A21584"/>
    <w:rsid w:val="00A21FDC"/>
    <w:rsid w:val="00A220A8"/>
    <w:rsid w:val="00A224B1"/>
    <w:rsid w:val="00A2326C"/>
    <w:rsid w:val="00A24A34"/>
    <w:rsid w:val="00A259B3"/>
    <w:rsid w:val="00A267A8"/>
    <w:rsid w:val="00A27C9B"/>
    <w:rsid w:val="00A31A6E"/>
    <w:rsid w:val="00A31ABA"/>
    <w:rsid w:val="00A321CD"/>
    <w:rsid w:val="00A328EF"/>
    <w:rsid w:val="00A340F8"/>
    <w:rsid w:val="00A35194"/>
    <w:rsid w:val="00A35741"/>
    <w:rsid w:val="00A35D32"/>
    <w:rsid w:val="00A35FAC"/>
    <w:rsid w:val="00A36D58"/>
    <w:rsid w:val="00A37031"/>
    <w:rsid w:val="00A403A3"/>
    <w:rsid w:val="00A4209C"/>
    <w:rsid w:val="00A42179"/>
    <w:rsid w:val="00A42DE9"/>
    <w:rsid w:val="00A43FA0"/>
    <w:rsid w:val="00A443DA"/>
    <w:rsid w:val="00A44A77"/>
    <w:rsid w:val="00A44DC1"/>
    <w:rsid w:val="00A44E7C"/>
    <w:rsid w:val="00A463B5"/>
    <w:rsid w:val="00A46BAB"/>
    <w:rsid w:val="00A47D53"/>
    <w:rsid w:val="00A501E7"/>
    <w:rsid w:val="00A510CC"/>
    <w:rsid w:val="00A515CE"/>
    <w:rsid w:val="00A51DDE"/>
    <w:rsid w:val="00A526F3"/>
    <w:rsid w:val="00A53349"/>
    <w:rsid w:val="00A546F0"/>
    <w:rsid w:val="00A54B86"/>
    <w:rsid w:val="00A57FA5"/>
    <w:rsid w:val="00A60D03"/>
    <w:rsid w:val="00A617EB"/>
    <w:rsid w:val="00A61DCA"/>
    <w:rsid w:val="00A61E7B"/>
    <w:rsid w:val="00A62A94"/>
    <w:rsid w:val="00A63CC8"/>
    <w:rsid w:val="00A65408"/>
    <w:rsid w:val="00A6584E"/>
    <w:rsid w:val="00A65E44"/>
    <w:rsid w:val="00A7262A"/>
    <w:rsid w:val="00A731A3"/>
    <w:rsid w:val="00A733F8"/>
    <w:rsid w:val="00A747D4"/>
    <w:rsid w:val="00A772DA"/>
    <w:rsid w:val="00A81D26"/>
    <w:rsid w:val="00A82976"/>
    <w:rsid w:val="00A82C56"/>
    <w:rsid w:val="00A82CEA"/>
    <w:rsid w:val="00A83416"/>
    <w:rsid w:val="00A83F05"/>
    <w:rsid w:val="00A84C83"/>
    <w:rsid w:val="00A84F6C"/>
    <w:rsid w:val="00A850A0"/>
    <w:rsid w:val="00A8593E"/>
    <w:rsid w:val="00A873E5"/>
    <w:rsid w:val="00A87C08"/>
    <w:rsid w:val="00A90430"/>
    <w:rsid w:val="00A908D3"/>
    <w:rsid w:val="00A90BDA"/>
    <w:rsid w:val="00A94496"/>
    <w:rsid w:val="00A9473F"/>
    <w:rsid w:val="00A94928"/>
    <w:rsid w:val="00A966AD"/>
    <w:rsid w:val="00AA0754"/>
    <w:rsid w:val="00AA438F"/>
    <w:rsid w:val="00AA50DC"/>
    <w:rsid w:val="00AA5990"/>
    <w:rsid w:val="00AA6490"/>
    <w:rsid w:val="00AA66EF"/>
    <w:rsid w:val="00AA6B6A"/>
    <w:rsid w:val="00AA757B"/>
    <w:rsid w:val="00AA7603"/>
    <w:rsid w:val="00AB0792"/>
    <w:rsid w:val="00AB1BD2"/>
    <w:rsid w:val="00AB4987"/>
    <w:rsid w:val="00AB4EFF"/>
    <w:rsid w:val="00AB539C"/>
    <w:rsid w:val="00AB6BEB"/>
    <w:rsid w:val="00AB7AAC"/>
    <w:rsid w:val="00AC0BF8"/>
    <w:rsid w:val="00AC0F38"/>
    <w:rsid w:val="00AC173C"/>
    <w:rsid w:val="00AC2D13"/>
    <w:rsid w:val="00AC36CF"/>
    <w:rsid w:val="00AC3FFD"/>
    <w:rsid w:val="00AC4283"/>
    <w:rsid w:val="00AC442E"/>
    <w:rsid w:val="00AC6561"/>
    <w:rsid w:val="00AC65F7"/>
    <w:rsid w:val="00AC7A56"/>
    <w:rsid w:val="00AD1CD6"/>
    <w:rsid w:val="00AD3CAD"/>
    <w:rsid w:val="00AE00C0"/>
    <w:rsid w:val="00AE1627"/>
    <w:rsid w:val="00AE185B"/>
    <w:rsid w:val="00AE1CD9"/>
    <w:rsid w:val="00AE237D"/>
    <w:rsid w:val="00AE2AC9"/>
    <w:rsid w:val="00AE3B2D"/>
    <w:rsid w:val="00AE49B2"/>
    <w:rsid w:val="00AF216D"/>
    <w:rsid w:val="00AF2D8A"/>
    <w:rsid w:val="00AF2EAB"/>
    <w:rsid w:val="00AF3A1F"/>
    <w:rsid w:val="00AF3E3C"/>
    <w:rsid w:val="00AF4F3B"/>
    <w:rsid w:val="00AF4FCB"/>
    <w:rsid w:val="00AF5AA0"/>
    <w:rsid w:val="00AF5D34"/>
    <w:rsid w:val="00AF60B2"/>
    <w:rsid w:val="00AF7EF0"/>
    <w:rsid w:val="00B00609"/>
    <w:rsid w:val="00B0244B"/>
    <w:rsid w:val="00B02AA2"/>
    <w:rsid w:val="00B0725A"/>
    <w:rsid w:val="00B0783D"/>
    <w:rsid w:val="00B07CF9"/>
    <w:rsid w:val="00B07D95"/>
    <w:rsid w:val="00B1078E"/>
    <w:rsid w:val="00B10ECB"/>
    <w:rsid w:val="00B11863"/>
    <w:rsid w:val="00B12FF4"/>
    <w:rsid w:val="00B13788"/>
    <w:rsid w:val="00B13FF5"/>
    <w:rsid w:val="00B141F6"/>
    <w:rsid w:val="00B142DD"/>
    <w:rsid w:val="00B1499A"/>
    <w:rsid w:val="00B14DEC"/>
    <w:rsid w:val="00B14E47"/>
    <w:rsid w:val="00B16AE5"/>
    <w:rsid w:val="00B17582"/>
    <w:rsid w:val="00B17BB5"/>
    <w:rsid w:val="00B217EE"/>
    <w:rsid w:val="00B23F8A"/>
    <w:rsid w:val="00B24622"/>
    <w:rsid w:val="00B262F4"/>
    <w:rsid w:val="00B26E70"/>
    <w:rsid w:val="00B31F23"/>
    <w:rsid w:val="00B3262D"/>
    <w:rsid w:val="00B32819"/>
    <w:rsid w:val="00B34E35"/>
    <w:rsid w:val="00B4188A"/>
    <w:rsid w:val="00B42259"/>
    <w:rsid w:val="00B43711"/>
    <w:rsid w:val="00B4500C"/>
    <w:rsid w:val="00B452B6"/>
    <w:rsid w:val="00B469C6"/>
    <w:rsid w:val="00B46D2E"/>
    <w:rsid w:val="00B47349"/>
    <w:rsid w:val="00B4768D"/>
    <w:rsid w:val="00B47EAD"/>
    <w:rsid w:val="00B51150"/>
    <w:rsid w:val="00B53152"/>
    <w:rsid w:val="00B53294"/>
    <w:rsid w:val="00B5453C"/>
    <w:rsid w:val="00B55428"/>
    <w:rsid w:val="00B55F12"/>
    <w:rsid w:val="00B561E6"/>
    <w:rsid w:val="00B60946"/>
    <w:rsid w:val="00B610F0"/>
    <w:rsid w:val="00B63273"/>
    <w:rsid w:val="00B63EBD"/>
    <w:rsid w:val="00B648A6"/>
    <w:rsid w:val="00B64E9A"/>
    <w:rsid w:val="00B67247"/>
    <w:rsid w:val="00B679CB"/>
    <w:rsid w:val="00B67CE2"/>
    <w:rsid w:val="00B67DA7"/>
    <w:rsid w:val="00B7139A"/>
    <w:rsid w:val="00B749FC"/>
    <w:rsid w:val="00B755D4"/>
    <w:rsid w:val="00B7617A"/>
    <w:rsid w:val="00B804E6"/>
    <w:rsid w:val="00B80E96"/>
    <w:rsid w:val="00B8603D"/>
    <w:rsid w:val="00B86176"/>
    <w:rsid w:val="00B86E2D"/>
    <w:rsid w:val="00B90DBB"/>
    <w:rsid w:val="00B910E4"/>
    <w:rsid w:val="00B912FE"/>
    <w:rsid w:val="00B91F38"/>
    <w:rsid w:val="00B92D16"/>
    <w:rsid w:val="00B92D77"/>
    <w:rsid w:val="00B94736"/>
    <w:rsid w:val="00B94B54"/>
    <w:rsid w:val="00B94CD7"/>
    <w:rsid w:val="00B95F36"/>
    <w:rsid w:val="00B96609"/>
    <w:rsid w:val="00BA07C1"/>
    <w:rsid w:val="00BA1076"/>
    <w:rsid w:val="00BA2E65"/>
    <w:rsid w:val="00BA3103"/>
    <w:rsid w:val="00BA36E9"/>
    <w:rsid w:val="00BA4827"/>
    <w:rsid w:val="00BA4AF2"/>
    <w:rsid w:val="00BA56EC"/>
    <w:rsid w:val="00BA610D"/>
    <w:rsid w:val="00BA65D4"/>
    <w:rsid w:val="00BA6B0E"/>
    <w:rsid w:val="00BB034B"/>
    <w:rsid w:val="00BB1E62"/>
    <w:rsid w:val="00BB3533"/>
    <w:rsid w:val="00BB4599"/>
    <w:rsid w:val="00BB6586"/>
    <w:rsid w:val="00BB7A86"/>
    <w:rsid w:val="00BC31F7"/>
    <w:rsid w:val="00BC4762"/>
    <w:rsid w:val="00BC4C47"/>
    <w:rsid w:val="00BC5072"/>
    <w:rsid w:val="00BC5103"/>
    <w:rsid w:val="00BC62DC"/>
    <w:rsid w:val="00BC736E"/>
    <w:rsid w:val="00BD12CE"/>
    <w:rsid w:val="00BD2593"/>
    <w:rsid w:val="00BD2EE6"/>
    <w:rsid w:val="00BD357D"/>
    <w:rsid w:val="00BD3D29"/>
    <w:rsid w:val="00BD4661"/>
    <w:rsid w:val="00BD566A"/>
    <w:rsid w:val="00BD6A35"/>
    <w:rsid w:val="00BD7B29"/>
    <w:rsid w:val="00BD7F5F"/>
    <w:rsid w:val="00BE1DC6"/>
    <w:rsid w:val="00BE4270"/>
    <w:rsid w:val="00BE4C08"/>
    <w:rsid w:val="00BF0652"/>
    <w:rsid w:val="00BF17CD"/>
    <w:rsid w:val="00BF1D30"/>
    <w:rsid w:val="00BF2958"/>
    <w:rsid w:val="00BF2DBB"/>
    <w:rsid w:val="00BF36D9"/>
    <w:rsid w:val="00BF4FC1"/>
    <w:rsid w:val="00BF5FE0"/>
    <w:rsid w:val="00C0050B"/>
    <w:rsid w:val="00C01B1E"/>
    <w:rsid w:val="00C02790"/>
    <w:rsid w:val="00C0334E"/>
    <w:rsid w:val="00C0506E"/>
    <w:rsid w:val="00C05218"/>
    <w:rsid w:val="00C055C3"/>
    <w:rsid w:val="00C0669C"/>
    <w:rsid w:val="00C06883"/>
    <w:rsid w:val="00C06922"/>
    <w:rsid w:val="00C11546"/>
    <w:rsid w:val="00C11E2A"/>
    <w:rsid w:val="00C1233C"/>
    <w:rsid w:val="00C12ACC"/>
    <w:rsid w:val="00C13304"/>
    <w:rsid w:val="00C13CC0"/>
    <w:rsid w:val="00C14269"/>
    <w:rsid w:val="00C14496"/>
    <w:rsid w:val="00C145D8"/>
    <w:rsid w:val="00C148D3"/>
    <w:rsid w:val="00C158CE"/>
    <w:rsid w:val="00C15968"/>
    <w:rsid w:val="00C220C9"/>
    <w:rsid w:val="00C22482"/>
    <w:rsid w:val="00C22FEE"/>
    <w:rsid w:val="00C233E9"/>
    <w:rsid w:val="00C248A5"/>
    <w:rsid w:val="00C26587"/>
    <w:rsid w:val="00C30532"/>
    <w:rsid w:val="00C307A2"/>
    <w:rsid w:val="00C30E20"/>
    <w:rsid w:val="00C31A71"/>
    <w:rsid w:val="00C328B8"/>
    <w:rsid w:val="00C32B1E"/>
    <w:rsid w:val="00C3489D"/>
    <w:rsid w:val="00C35E00"/>
    <w:rsid w:val="00C375DB"/>
    <w:rsid w:val="00C37D16"/>
    <w:rsid w:val="00C4049B"/>
    <w:rsid w:val="00C4064D"/>
    <w:rsid w:val="00C4180A"/>
    <w:rsid w:val="00C42F58"/>
    <w:rsid w:val="00C4353B"/>
    <w:rsid w:val="00C46A25"/>
    <w:rsid w:val="00C47BE0"/>
    <w:rsid w:val="00C51ABC"/>
    <w:rsid w:val="00C5261C"/>
    <w:rsid w:val="00C53004"/>
    <w:rsid w:val="00C53698"/>
    <w:rsid w:val="00C53711"/>
    <w:rsid w:val="00C54D5C"/>
    <w:rsid w:val="00C55CAF"/>
    <w:rsid w:val="00C56157"/>
    <w:rsid w:val="00C6117A"/>
    <w:rsid w:val="00C625E6"/>
    <w:rsid w:val="00C62BEF"/>
    <w:rsid w:val="00C62EFB"/>
    <w:rsid w:val="00C6397E"/>
    <w:rsid w:val="00C645CD"/>
    <w:rsid w:val="00C65055"/>
    <w:rsid w:val="00C6549D"/>
    <w:rsid w:val="00C65DBA"/>
    <w:rsid w:val="00C662A0"/>
    <w:rsid w:val="00C66603"/>
    <w:rsid w:val="00C70DEA"/>
    <w:rsid w:val="00C71F9C"/>
    <w:rsid w:val="00C728EE"/>
    <w:rsid w:val="00C7390C"/>
    <w:rsid w:val="00C73911"/>
    <w:rsid w:val="00C73EA0"/>
    <w:rsid w:val="00C745B0"/>
    <w:rsid w:val="00C749A3"/>
    <w:rsid w:val="00C74BBB"/>
    <w:rsid w:val="00C75D0C"/>
    <w:rsid w:val="00C76127"/>
    <w:rsid w:val="00C76454"/>
    <w:rsid w:val="00C77AB3"/>
    <w:rsid w:val="00C77B6D"/>
    <w:rsid w:val="00C80442"/>
    <w:rsid w:val="00C804A0"/>
    <w:rsid w:val="00C80DE0"/>
    <w:rsid w:val="00C81471"/>
    <w:rsid w:val="00C81F68"/>
    <w:rsid w:val="00C822F4"/>
    <w:rsid w:val="00C831FB"/>
    <w:rsid w:val="00C8611A"/>
    <w:rsid w:val="00C86146"/>
    <w:rsid w:val="00C864F8"/>
    <w:rsid w:val="00C86814"/>
    <w:rsid w:val="00C91798"/>
    <w:rsid w:val="00C940EF"/>
    <w:rsid w:val="00C977C8"/>
    <w:rsid w:val="00C97E57"/>
    <w:rsid w:val="00CA286B"/>
    <w:rsid w:val="00CA3C45"/>
    <w:rsid w:val="00CA475D"/>
    <w:rsid w:val="00CA543D"/>
    <w:rsid w:val="00CA588A"/>
    <w:rsid w:val="00CA5A82"/>
    <w:rsid w:val="00CA70B1"/>
    <w:rsid w:val="00CA78DE"/>
    <w:rsid w:val="00CB1682"/>
    <w:rsid w:val="00CB1AE0"/>
    <w:rsid w:val="00CB30FA"/>
    <w:rsid w:val="00CB3D87"/>
    <w:rsid w:val="00CB4014"/>
    <w:rsid w:val="00CB4E77"/>
    <w:rsid w:val="00CB5E74"/>
    <w:rsid w:val="00CB6652"/>
    <w:rsid w:val="00CB6E78"/>
    <w:rsid w:val="00CB780B"/>
    <w:rsid w:val="00CB7DF8"/>
    <w:rsid w:val="00CC231D"/>
    <w:rsid w:val="00CC318D"/>
    <w:rsid w:val="00CC4646"/>
    <w:rsid w:val="00CC5057"/>
    <w:rsid w:val="00CD0327"/>
    <w:rsid w:val="00CD0BC9"/>
    <w:rsid w:val="00CD17B6"/>
    <w:rsid w:val="00CD325E"/>
    <w:rsid w:val="00CD3C6A"/>
    <w:rsid w:val="00CD5152"/>
    <w:rsid w:val="00CD6411"/>
    <w:rsid w:val="00CD709D"/>
    <w:rsid w:val="00CD7120"/>
    <w:rsid w:val="00CD78B4"/>
    <w:rsid w:val="00CD7A8B"/>
    <w:rsid w:val="00CE0574"/>
    <w:rsid w:val="00CE1B3B"/>
    <w:rsid w:val="00CE2492"/>
    <w:rsid w:val="00CE4395"/>
    <w:rsid w:val="00CE4EDB"/>
    <w:rsid w:val="00CE55D7"/>
    <w:rsid w:val="00CE56A9"/>
    <w:rsid w:val="00CE5D4D"/>
    <w:rsid w:val="00CE632A"/>
    <w:rsid w:val="00CE66AD"/>
    <w:rsid w:val="00CE6737"/>
    <w:rsid w:val="00CE721E"/>
    <w:rsid w:val="00CF0437"/>
    <w:rsid w:val="00CF0F96"/>
    <w:rsid w:val="00CF13F2"/>
    <w:rsid w:val="00CF36D1"/>
    <w:rsid w:val="00CF4B90"/>
    <w:rsid w:val="00CF4C91"/>
    <w:rsid w:val="00CF57E6"/>
    <w:rsid w:val="00CF6057"/>
    <w:rsid w:val="00CF6073"/>
    <w:rsid w:val="00CF69CF"/>
    <w:rsid w:val="00CF6F7D"/>
    <w:rsid w:val="00CF7B7C"/>
    <w:rsid w:val="00D00184"/>
    <w:rsid w:val="00D00640"/>
    <w:rsid w:val="00D0161F"/>
    <w:rsid w:val="00D018AD"/>
    <w:rsid w:val="00D019F2"/>
    <w:rsid w:val="00D02080"/>
    <w:rsid w:val="00D020A5"/>
    <w:rsid w:val="00D026B2"/>
    <w:rsid w:val="00D02D5D"/>
    <w:rsid w:val="00D03AD3"/>
    <w:rsid w:val="00D03CBD"/>
    <w:rsid w:val="00D03EB0"/>
    <w:rsid w:val="00D03F70"/>
    <w:rsid w:val="00D0467C"/>
    <w:rsid w:val="00D04981"/>
    <w:rsid w:val="00D0635E"/>
    <w:rsid w:val="00D066BC"/>
    <w:rsid w:val="00D07312"/>
    <w:rsid w:val="00D12C4F"/>
    <w:rsid w:val="00D12D07"/>
    <w:rsid w:val="00D1330F"/>
    <w:rsid w:val="00D1377C"/>
    <w:rsid w:val="00D151E6"/>
    <w:rsid w:val="00D154E7"/>
    <w:rsid w:val="00D15523"/>
    <w:rsid w:val="00D20C93"/>
    <w:rsid w:val="00D213B0"/>
    <w:rsid w:val="00D22023"/>
    <w:rsid w:val="00D22B62"/>
    <w:rsid w:val="00D230BB"/>
    <w:rsid w:val="00D24618"/>
    <w:rsid w:val="00D24D89"/>
    <w:rsid w:val="00D25F70"/>
    <w:rsid w:val="00D26659"/>
    <w:rsid w:val="00D2759C"/>
    <w:rsid w:val="00D27E46"/>
    <w:rsid w:val="00D3005F"/>
    <w:rsid w:val="00D3086F"/>
    <w:rsid w:val="00D33AF6"/>
    <w:rsid w:val="00D33D42"/>
    <w:rsid w:val="00D36403"/>
    <w:rsid w:val="00D37025"/>
    <w:rsid w:val="00D3736A"/>
    <w:rsid w:val="00D40A14"/>
    <w:rsid w:val="00D40A5E"/>
    <w:rsid w:val="00D439A5"/>
    <w:rsid w:val="00D44DAD"/>
    <w:rsid w:val="00D471E7"/>
    <w:rsid w:val="00D47366"/>
    <w:rsid w:val="00D47F12"/>
    <w:rsid w:val="00D5144A"/>
    <w:rsid w:val="00D520C1"/>
    <w:rsid w:val="00D520D7"/>
    <w:rsid w:val="00D52E4A"/>
    <w:rsid w:val="00D54256"/>
    <w:rsid w:val="00D55943"/>
    <w:rsid w:val="00D55B21"/>
    <w:rsid w:val="00D568FA"/>
    <w:rsid w:val="00D56A0F"/>
    <w:rsid w:val="00D576FC"/>
    <w:rsid w:val="00D60010"/>
    <w:rsid w:val="00D62594"/>
    <w:rsid w:val="00D6259A"/>
    <w:rsid w:val="00D6384C"/>
    <w:rsid w:val="00D640A7"/>
    <w:rsid w:val="00D659DE"/>
    <w:rsid w:val="00D65D99"/>
    <w:rsid w:val="00D66982"/>
    <w:rsid w:val="00D66B01"/>
    <w:rsid w:val="00D67EAF"/>
    <w:rsid w:val="00D67F6C"/>
    <w:rsid w:val="00D70003"/>
    <w:rsid w:val="00D71A05"/>
    <w:rsid w:val="00D806D6"/>
    <w:rsid w:val="00D811EE"/>
    <w:rsid w:val="00D812C7"/>
    <w:rsid w:val="00D813B8"/>
    <w:rsid w:val="00D81689"/>
    <w:rsid w:val="00D823A6"/>
    <w:rsid w:val="00D87167"/>
    <w:rsid w:val="00D87697"/>
    <w:rsid w:val="00D87B86"/>
    <w:rsid w:val="00D90A6C"/>
    <w:rsid w:val="00D91FB9"/>
    <w:rsid w:val="00D92676"/>
    <w:rsid w:val="00D936C7"/>
    <w:rsid w:val="00D94486"/>
    <w:rsid w:val="00D9650F"/>
    <w:rsid w:val="00D97B35"/>
    <w:rsid w:val="00DA0207"/>
    <w:rsid w:val="00DA0708"/>
    <w:rsid w:val="00DA0792"/>
    <w:rsid w:val="00DA2813"/>
    <w:rsid w:val="00DA37CF"/>
    <w:rsid w:val="00DA462C"/>
    <w:rsid w:val="00DA5301"/>
    <w:rsid w:val="00DA5C75"/>
    <w:rsid w:val="00DA7B68"/>
    <w:rsid w:val="00DA7D8B"/>
    <w:rsid w:val="00DB0226"/>
    <w:rsid w:val="00DB0641"/>
    <w:rsid w:val="00DB162E"/>
    <w:rsid w:val="00DB199B"/>
    <w:rsid w:val="00DB1F25"/>
    <w:rsid w:val="00DB2969"/>
    <w:rsid w:val="00DB3034"/>
    <w:rsid w:val="00DB454E"/>
    <w:rsid w:val="00DB4EC4"/>
    <w:rsid w:val="00DB51C6"/>
    <w:rsid w:val="00DB58D6"/>
    <w:rsid w:val="00DB6531"/>
    <w:rsid w:val="00DB797A"/>
    <w:rsid w:val="00DC02C8"/>
    <w:rsid w:val="00DC0540"/>
    <w:rsid w:val="00DC1748"/>
    <w:rsid w:val="00DC1F5C"/>
    <w:rsid w:val="00DC2E77"/>
    <w:rsid w:val="00DC2FA1"/>
    <w:rsid w:val="00DC72D4"/>
    <w:rsid w:val="00DC73CB"/>
    <w:rsid w:val="00DC7D0C"/>
    <w:rsid w:val="00DD1902"/>
    <w:rsid w:val="00DD2B65"/>
    <w:rsid w:val="00DD32D8"/>
    <w:rsid w:val="00DD52B1"/>
    <w:rsid w:val="00DD5397"/>
    <w:rsid w:val="00DD53D8"/>
    <w:rsid w:val="00DD57DE"/>
    <w:rsid w:val="00DD68AC"/>
    <w:rsid w:val="00DD7D7C"/>
    <w:rsid w:val="00DD7DE6"/>
    <w:rsid w:val="00DE042D"/>
    <w:rsid w:val="00DE06CD"/>
    <w:rsid w:val="00DE18BE"/>
    <w:rsid w:val="00DE309F"/>
    <w:rsid w:val="00DE37A7"/>
    <w:rsid w:val="00DE443F"/>
    <w:rsid w:val="00DE6186"/>
    <w:rsid w:val="00DE70CD"/>
    <w:rsid w:val="00DE7E00"/>
    <w:rsid w:val="00DF03A4"/>
    <w:rsid w:val="00DF1ED0"/>
    <w:rsid w:val="00DF4B9D"/>
    <w:rsid w:val="00DF5AF6"/>
    <w:rsid w:val="00DF6195"/>
    <w:rsid w:val="00DF64E3"/>
    <w:rsid w:val="00DF7EE7"/>
    <w:rsid w:val="00E00339"/>
    <w:rsid w:val="00E00354"/>
    <w:rsid w:val="00E009AC"/>
    <w:rsid w:val="00E0101B"/>
    <w:rsid w:val="00E01486"/>
    <w:rsid w:val="00E0191E"/>
    <w:rsid w:val="00E01C46"/>
    <w:rsid w:val="00E02F93"/>
    <w:rsid w:val="00E02FA5"/>
    <w:rsid w:val="00E03F0F"/>
    <w:rsid w:val="00E04AA6"/>
    <w:rsid w:val="00E050B7"/>
    <w:rsid w:val="00E06E57"/>
    <w:rsid w:val="00E105D1"/>
    <w:rsid w:val="00E108C7"/>
    <w:rsid w:val="00E11D59"/>
    <w:rsid w:val="00E12D09"/>
    <w:rsid w:val="00E13024"/>
    <w:rsid w:val="00E13D55"/>
    <w:rsid w:val="00E15956"/>
    <w:rsid w:val="00E15EA1"/>
    <w:rsid w:val="00E16D94"/>
    <w:rsid w:val="00E20FCF"/>
    <w:rsid w:val="00E21AD4"/>
    <w:rsid w:val="00E23A2A"/>
    <w:rsid w:val="00E24D88"/>
    <w:rsid w:val="00E257F6"/>
    <w:rsid w:val="00E26228"/>
    <w:rsid w:val="00E26446"/>
    <w:rsid w:val="00E303B7"/>
    <w:rsid w:val="00E315A8"/>
    <w:rsid w:val="00E335A7"/>
    <w:rsid w:val="00E33E78"/>
    <w:rsid w:val="00E344DF"/>
    <w:rsid w:val="00E34FAF"/>
    <w:rsid w:val="00E358CA"/>
    <w:rsid w:val="00E35EE8"/>
    <w:rsid w:val="00E3687C"/>
    <w:rsid w:val="00E37AD5"/>
    <w:rsid w:val="00E42804"/>
    <w:rsid w:val="00E436F2"/>
    <w:rsid w:val="00E43E87"/>
    <w:rsid w:val="00E448B1"/>
    <w:rsid w:val="00E457BD"/>
    <w:rsid w:val="00E45FCE"/>
    <w:rsid w:val="00E47105"/>
    <w:rsid w:val="00E47976"/>
    <w:rsid w:val="00E47E53"/>
    <w:rsid w:val="00E5134C"/>
    <w:rsid w:val="00E5458B"/>
    <w:rsid w:val="00E5482C"/>
    <w:rsid w:val="00E55444"/>
    <w:rsid w:val="00E5583A"/>
    <w:rsid w:val="00E55968"/>
    <w:rsid w:val="00E55AFF"/>
    <w:rsid w:val="00E55E49"/>
    <w:rsid w:val="00E5608C"/>
    <w:rsid w:val="00E56B31"/>
    <w:rsid w:val="00E56B57"/>
    <w:rsid w:val="00E5778D"/>
    <w:rsid w:val="00E57F9B"/>
    <w:rsid w:val="00E607D7"/>
    <w:rsid w:val="00E6098F"/>
    <w:rsid w:val="00E60A7E"/>
    <w:rsid w:val="00E612EC"/>
    <w:rsid w:val="00E61919"/>
    <w:rsid w:val="00E632A0"/>
    <w:rsid w:val="00E64291"/>
    <w:rsid w:val="00E64640"/>
    <w:rsid w:val="00E64A70"/>
    <w:rsid w:val="00E64D04"/>
    <w:rsid w:val="00E6596F"/>
    <w:rsid w:val="00E67471"/>
    <w:rsid w:val="00E67BCD"/>
    <w:rsid w:val="00E731B2"/>
    <w:rsid w:val="00E740BB"/>
    <w:rsid w:val="00E74BF6"/>
    <w:rsid w:val="00E75D87"/>
    <w:rsid w:val="00E75E24"/>
    <w:rsid w:val="00E76184"/>
    <w:rsid w:val="00E76A76"/>
    <w:rsid w:val="00E7794A"/>
    <w:rsid w:val="00E77B51"/>
    <w:rsid w:val="00E832BA"/>
    <w:rsid w:val="00E8615C"/>
    <w:rsid w:val="00E8735F"/>
    <w:rsid w:val="00E87CEB"/>
    <w:rsid w:val="00E9137A"/>
    <w:rsid w:val="00E91489"/>
    <w:rsid w:val="00E91821"/>
    <w:rsid w:val="00E92080"/>
    <w:rsid w:val="00E9299A"/>
    <w:rsid w:val="00E93481"/>
    <w:rsid w:val="00E938ED"/>
    <w:rsid w:val="00E94DE9"/>
    <w:rsid w:val="00E96341"/>
    <w:rsid w:val="00E971CC"/>
    <w:rsid w:val="00E97E21"/>
    <w:rsid w:val="00EA0B85"/>
    <w:rsid w:val="00EA23A7"/>
    <w:rsid w:val="00EA2479"/>
    <w:rsid w:val="00EA60D3"/>
    <w:rsid w:val="00EA6155"/>
    <w:rsid w:val="00EA7E6F"/>
    <w:rsid w:val="00EB09F8"/>
    <w:rsid w:val="00EB2479"/>
    <w:rsid w:val="00EB327E"/>
    <w:rsid w:val="00EB356D"/>
    <w:rsid w:val="00EB428A"/>
    <w:rsid w:val="00EB478A"/>
    <w:rsid w:val="00EB5A74"/>
    <w:rsid w:val="00EC405C"/>
    <w:rsid w:val="00EC481B"/>
    <w:rsid w:val="00EC51B8"/>
    <w:rsid w:val="00EC67F6"/>
    <w:rsid w:val="00EC68F3"/>
    <w:rsid w:val="00EC735A"/>
    <w:rsid w:val="00ED0C0E"/>
    <w:rsid w:val="00ED1581"/>
    <w:rsid w:val="00ED252F"/>
    <w:rsid w:val="00ED2C5C"/>
    <w:rsid w:val="00ED3AFC"/>
    <w:rsid w:val="00ED5D58"/>
    <w:rsid w:val="00EE2025"/>
    <w:rsid w:val="00EE2FC2"/>
    <w:rsid w:val="00EE3C53"/>
    <w:rsid w:val="00EE3D04"/>
    <w:rsid w:val="00EE4976"/>
    <w:rsid w:val="00EE5377"/>
    <w:rsid w:val="00EE59D5"/>
    <w:rsid w:val="00EE6235"/>
    <w:rsid w:val="00EE6A8D"/>
    <w:rsid w:val="00EF13B9"/>
    <w:rsid w:val="00EF2941"/>
    <w:rsid w:val="00EF533E"/>
    <w:rsid w:val="00EF549B"/>
    <w:rsid w:val="00EF54EF"/>
    <w:rsid w:val="00EF55B9"/>
    <w:rsid w:val="00EF5A08"/>
    <w:rsid w:val="00EF60EB"/>
    <w:rsid w:val="00EF64DA"/>
    <w:rsid w:val="00EF68A9"/>
    <w:rsid w:val="00EF6C05"/>
    <w:rsid w:val="00F002B8"/>
    <w:rsid w:val="00F022AA"/>
    <w:rsid w:val="00F03785"/>
    <w:rsid w:val="00F03903"/>
    <w:rsid w:val="00F0528B"/>
    <w:rsid w:val="00F06170"/>
    <w:rsid w:val="00F06468"/>
    <w:rsid w:val="00F06C14"/>
    <w:rsid w:val="00F06C77"/>
    <w:rsid w:val="00F07CCC"/>
    <w:rsid w:val="00F10CA7"/>
    <w:rsid w:val="00F11141"/>
    <w:rsid w:val="00F1236F"/>
    <w:rsid w:val="00F1290C"/>
    <w:rsid w:val="00F1299F"/>
    <w:rsid w:val="00F13051"/>
    <w:rsid w:val="00F14031"/>
    <w:rsid w:val="00F141DF"/>
    <w:rsid w:val="00F14655"/>
    <w:rsid w:val="00F160E0"/>
    <w:rsid w:val="00F1702B"/>
    <w:rsid w:val="00F171B8"/>
    <w:rsid w:val="00F22043"/>
    <w:rsid w:val="00F2275D"/>
    <w:rsid w:val="00F232A7"/>
    <w:rsid w:val="00F249D1"/>
    <w:rsid w:val="00F25503"/>
    <w:rsid w:val="00F264F0"/>
    <w:rsid w:val="00F26938"/>
    <w:rsid w:val="00F322D2"/>
    <w:rsid w:val="00F329E2"/>
    <w:rsid w:val="00F35F9C"/>
    <w:rsid w:val="00F408B2"/>
    <w:rsid w:val="00F4143B"/>
    <w:rsid w:val="00F41803"/>
    <w:rsid w:val="00F42238"/>
    <w:rsid w:val="00F428FC"/>
    <w:rsid w:val="00F436F3"/>
    <w:rsid w:val="00F45824"/>
    <w:rsid w:val="00F46455"/>
    <w:rsid w:val="00F46860"/>
    <w:rsid w:val="00F534A2"/>
    <w:rsid w:val="00F539D9"/>
    <w:rsid w:val="00F54683"/>
    <w:rsid w:val="00F555B8"/>
    <w:rsid w:val="00F56DB4"/>
    <w:rsid w:val="00F57D9F"/>
    <w:rsid w:val="00F60621"/>
    <w:rsid w:val="00F60CA0"/>
    <w:rsid w:val="00F64EC0"/>
    <w:rsid w:val="00F65CDF"/>
    <w:rsid w:val="00F6797E"/>
    <w:rsid w:val="00F70A00"/>
    <w:rsid w:val="00F719D0"/>
    <w:rsid w:val="00F7356E"/>
    <w:rsid w:val="00F73694"/>
    <w:rsid w:val="00F73D97"/>
    <w:rsid w:val="00F744BA"/>
    <w:rsid w:val="00F747D7"/>
    <w:rsid w:val="00F7518D"/>
    <w:rsid w:val="00F77DC7"/>
    <w:rsid w:val="00F80402"/>
    <w:rsid w:val="00F81669"/>
    <w:rsid w:val="00F83C2A"/>
    <w:rsid w:val="00F84A2D"/>
    <w:rsid w:val="00F8662B"/>
    <w:rsid w:val="00F91049"/>
    <w:rsid w:val="00F91D7B"/>
    <w:rsid w:val="00F94604"/>
    <w:rsid w:val="00F94CC5"/>
    <w:rsid w:val="00F96B21"/>
    <w:rsid w:val="00FA0A9B"/>
    <w:rsid w:val="00FA0CAC"/>
    <w:rsid w:val="00FA2F0E"/>
    <w:rsid w:val="00FA4791"/>
    <w:rsid w:val="00FA5B2D"/>
    <w:rsid w:val="00FA5F7C"/>
    <w:rsid w:val="00FA6293"/>
    <w:rsid w:val="00FA6E41"/>
    <w:rsid w:val="00FA7F99"/>
    <w:rsid w:val="00FB3B27"/>
    <w:rsid w:val="00FB4A5C"/>
    <w:rsid w:val="00FB7886"/>
    <w:rsid w:val="00FC05E2"/>
    <w:rsid w:val="00FC28B9"/>
    <w:rsid w:val="00FC382B"/>
    <w:rsid w:val="00FC3C90"/>
    <w:rsid w:val="00FD0971"/>
    <w:rsid w:val="00FD2B30"/>
    <w:rsid w:val="00FD3B11"/>
    <w:rsid w:val="00FD46B0"/>
    <w:rsid w:val="00FD4D41"/>
    <w:rsid w:val="00FD531D"/>
    <w:rsid w:val="00FD7732"/>
    <w:rsid w:val="00FE0213"/>
    <w:rsid w:val="00FE1767"/>
    <w:rsid w:val="00FE18EB"/>
    <w:rsid w:val="00FE1B02"/>
    <w:rsid w:val="00FE1E0D"/>
    <w:rsid w:val="00FE35B5"/>
    <w:rsid w:val="00FE467F"/>
    <w:rsid w:val="00FE50BA"/>
    <w:rsid w:val="00FE6088"/>
    <w:rsid w:val="00FE66CF"/>
    <w:rsid w:val="00FE69BA"/>
    <w:rsid w:val="00FE707F"/>
    <w:rsid w:val="00FE746E"/>
    <w:rsid w:val="00FE7B11"/>
    <w:rsid w:val="00FF03C6"/>
    <w:rsid w:val="00FF13B9"/>
    <w:rsid w:val="00FF1E10"/>
    <w:rsid w:val="00FF23C8"/>
    <w:rsid w:val="00FF4CE8"/>
    <w:rsid w:val="00FF6AF5"/>
    <w:rsid w:val="00FF70A2"/>
  </w:rsids>
  <m:mathPr>
    <m:mathFont m:val="Cambria Math"/>
    <m:brkBin m:val="before"/>
    <m:brkBinSub m:val="--"/>
    <m:smallFrac m:val="0"/>
    <m:dispDef m:val="0"/>
    <m:lMargin m:val="0"/>
    <m:rMargin m:val="0"/>
    <m:defJc m:val="centerGroup"/>
    <m:wrapRight/>
    <m:intLim m:val="subSup"/>
    <m:naryLim m:val="subSup"/>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F01A5C5"/>
  <w15:docId w15:val="{089F0481-DFA2-4B3B-9C8C-7672737D1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0651"/>
    <w:pPr>
      <w:spacing w:after="200"/>
    </w:pPr>
    <w:rPr>
      <w:rFonts w:ascii="Helvetica" w:hAnsi="Helvetica"/>
      <w:szCs w:val="24"/>
      <w:lang w:eastAsia="en-US"/>
    </w:rPr>
  </w:style>
  <w:style w:type="paragraph" w:styleId="Heading1">
    <w:name w:val="heading 1"/>
    <w:basedOn w:val="Normal"/>
    <w:next w:val="Normal"/>
    <w:link w:val="Heading1Char"/>
    <w:qFormat/>
    <w:rsid w:val="00263EA4"/>
    <w:pPr>
      <w:keepNext/>
      <w:numPr>
        <w:numId w:val="52"/>
      </w:numPr>
      <w:suppressAutoHyphens/>
      <w:spacing w:before="240" w:after="120" w:line="312" w:lineRule="auto"/>
      <w:jc w:val="both"/>
      <w:outlineLvl w:val="0"/>
    </w:pPr>
    <w:rPr>
      <w:rFonts w:eastAsia="Times New Roman" w:cs="Helvetica"/>
      <w:b/>
      <w:bCs/>
      <w:color w:val="595959"/>
      <w:kern w:val="32"/>
      <w:sz w:val="28"/>
      <w:szCs w:val="22"/>
    </w:rPr>
  </w:style>
  <w:style w:type="paragraph" w:styleId="Heading2">
    <w:name w:val="heading 2"/>
    <w:basedOn w:val="Heading1"/>
    <w:next w:val="Normal"/>
    <w:link w:val="Heading2Char"/>
    <w:autoRedefine/>
    <w:unhideWhenUsed/>
    <w:qFormat/>
    <w:rsid w:val="00DA5301"/>
    <w:pPr>
      <w:numPr>
        <w:ilvl w:val="1"/>
      </w:numPr>
      <w:outlineLvl w:val="1"/>
    </w:pPr>
    <w:rPr>
      <w:bCs w:val="0"/>
      <w:i/>
      <w:iCs/>
      <w:sz w:val="24"/>
      <w:szCs w:val="28"/>
    </w:rPr>
  </w:style>
  <w:style w:type="paragraph" w:styleId="Heading3">
    <w:name w:val="heading 3"/>
    <w:basedOn w:val="Heading2"/>
    <w:next w:val="Normal"/>
    <w:link w:val="Heading3Char"/>
    <w:qFormat/>
    <w:rsid w:val="005A0C6E"/>
    <w:pPr>
      <w:numPr>
        <w:ilvl w:val="2"/>
      </w:numPr>
      <w:outlineLvl w:val="2"/>
    </w:pPr>
    <w:rPr>
      <w:b w:val="0"/>
      <w:szCs w:val="20"/>
    </w:rPr>
  </w:style>
  <w:style w:type="paragraph" w:styleId="Heading4">
    <w:name w:val="heading 4"/>
    <w:basedOn w:val="Heading3"/>
    <w:next w:val="Normal"/>
    <w:link w:val="Heading4Char"/>
    <w:qFormat/>
    <w:rsid w:val="00343530"/>
    <w:pPr>
      <w:numPr>
        <w:ilvl w:val="3"/>
      </w:numPr>
      <w:outlineLvl w:val="3"/>
    </w:pPr>
    <w:rPr>
      <w:rFonts w:cs="Arial"/>
      <w:bCs/>
      <w:i w:val="0"/>
      <w:lang w:eastAsia="ar-SA"/>
    </w:rPr>
  </w:style>
  <w:style w:type="paragraph" w:styleId="Heading5">
    <w:name w:val="heading 5"/>
    <w:basedOn w:val="Normal"/>
    <w:next w:val="Normal"/>
    <w:link w:val="Heading5Char"/>
    <w:semiHidden/>
    <w:unhideWhenUsed/>
    <w:qFormat/>
    <w:rsid w:val="00B86E2D"/>
    <w:pPr>
      <w:keepNext/>
      <w:keepLines/>
      <w:numPr>
        <w:ilvl w:val="4"/>
        <w:numId w:val="52"/>
      </w:numPr>
      <w:spacing w:before="40" w:after="0"/>
      <w:outlineLvl w:val="4"/>
    </w:pPr>
    <w:rPr>
      <w:rFonts w:asciiTheme="majorHAnsi" w:eastAsiaTheme="majorEastAsia" w:hAnsiTheme="majorHAnsi" w:cstheme="majorBidi"/>
      <w:color w:val="507A84" w:themeColor="accent1" w:themeShade="BF"/>
    </w:rPr>
  </w:style>
  <w:style w:type="paragraph" w:styleId="Heading8">
    <w:name w:val="heading 8"/>
    <w:basedOn w:val="Normal"/>
    <w:next w:val="Normal"/>
    <w:link w:val="Heading8Char"/>
    <w:unhideWhenUsed/>
    <w:qFormat/>
    <w:rsid w:val="004D7928"/>
    <w:pPr>
      <w:spacing w:before="240" w:after="60"/>
      <w:outlineLvl w:val="7"/>
    </w:pPr>
    <w:rPr>
      <w:rFonts w:ascii="Calibri" w:eastAsia="Times New Roman"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00184"/>
    <w:pPr>
      <w:tabs>
        <w:tab w:val="center" w:pos="4320"/>
        <w:tab w:val="right" w:pos="8640"/>
      </w:tabs>
      <w:spacing w:after="0"/>
    </w:pPr>
  </w:style>
  <w:style w:type="character" w:customStyle="1" w:styleId="HeaderChar">
    <w:name w:val="Header Char"/>
    <w:basedOn w:val="DefaultParagraphFont"/>
    <w:link w:val="Header"/>
    <w:uiPriority w:val="99"/>
    <w:rsid w:val="00D00184"/>
  </w:style>
  <w:style w:type="paragraph" w:styleId="Footer">
    <w:name w:val="footer"/>
    <w:basedOn w:val="Normal"/>
    <w:link w:val="FooterChar"/>
    <w:uiPriority w:val="99"/>
    <w:unhideWhenUsed/>
    <w:rsid w:val="00D00184"/>
    <w:pPr>
      <w:tabs>
        <w:tab w:val="center" w:pos="4320"/>
        <w:tab w:val="right" w:pos="8640"/>
      </w:tabs>
      <w:spacing w:after="0"/>
    </w:pPr>
  </w:style>
  <w:style w:type="character" w:customStyle="1" w:styleId="FooterChar">
    <w:name w:val="Footer Char"/>
    <w:basedOn w:val="DefaultParagraphFont"/>
    <w:link w:val="Footer"/>
    <w:uiPriority w:val="99"/>
    <w:rsid w:val="00D00184"/>
  </w:style>
  <w:style w:type="table" w:customStyle="1" w:styleId="IntenseQuote1">
    <w:name w:val="Intense Quote1"/>
    <w:basedOn w:val="TableNormal"/>
    <w:uiPriority w:val="60"/>
    <w:qFormat/>
    <w:rsid w:val="00D00184"/>
    <w:rPr>
      <w:rFonts w:eastAsia="Times New Roman"/>
      <w:color w:val="365F91"/>
      <w:sz w:val="22"/>
      <w:szCs w:val="22"/>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Heading3Char">
    <w:name w:val="Heading 3 Char"/>
    <w:basedOn w:val="DefaultParagraphFont"/>
    <w:link w:val="Heading3"/>
    <w:rsid w:val="005A0C6E"/>
    <w:rPr>
      <w:rFonts w:ascii="Helvetica" w:eastAsia="Times New Roman" w:hAnsi="Helvetica" w:cs="Helvetica"/>
      <w:i/>
      <w:iCs/>
      <w:color w:val="595959"/>
      <w:kern w:val="32"/>
      <w:sz w:val="24"/>
      <w:lang w:eastAsia="en-US"/>
    </w:rPr>
  </w:style>
  <w:style w:type="paragraph" w:styleId="NormalWeb">
    <w:name w:val="Normal (Web)"/>
    <w:basedOn w:val="Normal"/>
    <w:uiPriority w:val="99"/>
    <w:rsid w:val="00D00184"/>
    <w:pPr>
      <w:spacing w:beforeLines="1" w:afterLines="1"/>
    </w:pPr>
    <w:rPr>
      <w:rFonts w:ascii="Times" w:hAnsi="Times"/>
      <w:szCs w:val="20"/>
    </w:rPr>
  </w:style>
  <w:style w:type="character" w:styleId="PageNumber">
    <w:name w:val="page number"/>
    <w:basedOn w:val="DefaultParagraphFont"/>
    <w:rsid w:val="006C54C7"/>
  </w:style>
  <w:style w:type="character" w:customStyle="1" w:styleId="Heading1Char">
    <w:name w:val="Heading 1 Char"/>
    <w:basedOn w:val="DefaultParagraphFont"/>
    <w:link w:val="Heading1"/>
    <w:rsid w:val="00263EA4"/>
    <w:rPr>
      <w:rFonts w:ascii="Helvetica" w:eastAsia="Times New Roman" w:hAnsi="Helvetica" w:cs="Helvetica"/>
      <w:b/>
      <w:bCs/>
      <w:color w:val="595959"/>
      <w:kern w:val="32"/>
      <w:sz w:val="28"/>
      <w:szCs w:val="22"/>
      <w:lang w:eastAsia="en-US"/>
    </w:rPr>
  </w:style>
  <w:style w:type="character" w:customStyle="1" w:styleId="Heading2Char">
    <w:name w:val="Heading 2 Char"/>
    <w:basedOn w:val="DefaultParagraphFont"/>
    <w:link w:val="Heading2"/>
    <w:rsid w:val="00DA5301"/>
    <w:rPr>
      <w:rFonts w:ascii="Helvetica" w:eastAsia="Times New Roman" w:hAnsi="Helvetica" w:cs="Helvetica"/>
      <w:b/>
      <w:i/>
      <w:iCs/>
      <w:color w:val="595959"/>
      <w:kern w:val="32"/>
      <w:sz w:val="24"/>
      <w:szCs w:val="28"/>
      <w:lang w:eastAsia="en-US"/>
    </w:rPr>
  </w:style>
  <w:style w:type="character" w:customStyle="1" w:styleId="Heading8Char">
    <w:name w:val="Heading 8 Char"/>
    <w:basedOn w:val="DefaultParagraphFont"/>
    <w:link w:val="Heading8"/>
    <w:semiHidden/>
    <w:rsid w:val="004D7928"/>
    <w:rPr>
      <w:rFonts w:ascii="Calibri" w:eastAsia="Times New Roman" w:hAnsi="Calibri" w:cs="Times New Roman"/>
      <w:i/>
      <w:iCs/>
      <w:sz w:val="24"/>
      <w:szCs w:val="24"/>
      <w:lang w:val="en-US" w:eastAsia="en-US"/>
    </w:rPr>
  </w:style>
  <w:style w:type="character" w:customStyle="1" w:styleId="Heading4Char">
    <w:name w:val="Heading 4 Char"/>
    <w:basedOn w:val="DefaultParagraphFont"/>
    <w:link w:val="Heading4"/>
    <w:rsid w:val="00343530"/>
    <w:rPr>
      <w:rFonts w:ascii="Helvetica" w:eastAsia="Times New Roman" w:hAnsi="Helvetica" w:cs="Arial"/>
      <w:bCs/>
      <w:iCs/>
      <w:color w:val="595959"/>
      <w:kern w:val="32"/>
      <w:sz w:val="24"/>
      <w:lang w:eastAsia="ar-SA"/>
    </w:rPr>
  </w:style>
  <w:style w:type="character" w:customStyle="1" w:styleId="WW8Num2z0">
    <w:name w:val="WW8Num2z0"/>
    <w:rsid w:val="004D7928"/>
    <w:rPr>
      <w:rFonts w:ascii="Symbol" w:hAnsi="Symbol"/>
    </w:rPr>
  </w:style>
  <w:style w:type="character" w:customStyle="1" w:styleId="WW8Num3z0">
    <w:name w:val="WW8Num3z0"/>
    <w:rsid w:val="004D7928"/>
    <w:rPr>
      <w:rFonts w:ascii="Symbol" w:hAnsi="Symbol"/>
    </w:rPr>
  </w:style>
  <w:style w:type="character" w:customStyle="1" w:styleId="WW8Num5z0">
    <w:name w:val="WW8Num5z0"/>
    <w:rsid w:val="004D7928"/>
    <w:rPr>
      <w:rFonts w:ascii="Symbol" w:hAnsi="Symbol"/>
    </w:rPr>
  </w:style>
  <w:style w:type="character" w:customStyle="1" w:styleId="WW8Num6z0">
    <w:name w:val="WW8Num6z0"/>
    <w:rsid w:val="004D7928"/>
    <w:rPr>
      <w:rFonts w:ascii="Symbol" w:hAnsi="Symbol"/>
    </w:rPr>
  </w:style>
  <w:style w:type="character" w:customStyle="1" w:styleId="WW8Num7z0">
    <w:name w:val="WW8Num7z0"/>
    <w:rsid w:val="004D7928"/>
    <w:rPr>
      <w:rFonts w:ascii="Symbol" w:hAnsi="Symbol"/>
    </w:rPr>
  </w:style>
  <w:style w:type="character" w:customStyle="1" w:styleId="WW8Num8z0">
    <w:name w:val="WW8Num8z0"/>
    <w:rsid w:val="004D7928"/>
    <w:rPr>
      <w:rFonts w:ascii="Symbol" w:hAnsi="Symbol"/>
    </w:rPr>
  </w:style>
  <w:style w:type="character" w:customStyle="1" w:styleId="WW8Num9z0">
    <w:name w:val="WW8Num9z0"/>
    <w:rsid w:val="004D7928"/>
    <w:rPr>
      <w:sz w:val="16"/>
    </w:rPr>
  </w:style>
  <w:style w:type="character" w:customStyle="1" w:styleId="WW8Num10z0">
    <w:name w:val="WW8Num10z0"/>
    <w:rsid w:val="004D7928"/>
    <w:rPr>
      <w:rFonts w:ascii="Symbol" w:hAnsi="Symbol"/>
    </w:rPr>
  </w:style>
  <w:style w:type="character" w:customStyle="1" w:styleId="WW8Num12z0">
    <w:name w:val="WW8Num12z0"/>
    <w:rsid w:val="004D7928"/>
    <w:rPr>
      <w:rFonts w:ascii="Symbol" w:hAnsi="Symbol" w:cs="OpenSymbol"/>
    </w:rPr>
  </w:style>
  <w:style w:type="character" w:customStyle="1" w:styleId="Absatz-Standardschriftart">
    <w:name w:val="Absatz-Standardschriftart"/>
    <w:rsid w:val="004D7928"/>
  </w:style>
  <w:style w:type="character" w:customStyle="1" w:styleId="WW-Absatz-Standardschriftart">
    <w:name w:val="WW-Absatz-Standardschriftart"/>
    <w:rsid w:val="004D7928"/>
  </w:style>
  <w:style w:type="character" w:customStyle="1" w:styleId="WW-Absatz-Standardschriftart1">
    <w:name w:val="WW-Absatz-Standardschriftart1"/>
    <w:rsid w:val="004D7928"/>
  </w:style>
  <w:style w:type="character" w:customStyle="1" w:styleId="WW-Absatz-Standardschriftart11">
    <w:name w:val="WW-Absatz-Standardschriftart11"/>
    <w:rsid w:val="004D7928"/>
  </w:style>
  <w:style w:type="character" w:customStyle="1" w:styleId="WW-Absatz-Standardschriftart111">
    <w:name w:val="WW-Absatz-Standardschriftart111"/>
    <w:rsid w:val="004D7928"/>
  </w:style>
  <w:style w:type="character" w:customStyle="1" w:styleId="WW-Absatz-Standardschriftart1111">
    <w:name w:val="WW-Absatz-Standardschriftart1111"/>
    <w:rsid w:val="004D7928"/>
  </w:style>
  <w:style w:type="character" w:customStyle="1" w:styleId="WW-Absatz-Standardschriftart11111">
    <w:name w:val="WW-Absatz-Standardschriftart11111"/>
    <w:rsid w:val="004D7928"/>
  </w:style>
  <w:style w:type="character" w:customStyle="1" w:styleId="WW-Absatz-Standardschriftart111111">
    <w:name w:val="WW-Absatz-Standardschriftart111111"/>
    <w:rsid w:val="004D7928"/>
  </w:style>
  <w:style w:type="character" w:customStyle="1" w:styleId="WW-Absatz-Standardschriftart1111111">
    <w:name w:val="WW-Absatz-Standardschriftart1111111"/>
    <w:rsid w:val="004D7928"/>
  </w:style>
  <w:style w:type="character" w:customStyle="1" w:styleId="WW-Absatz-Standardschriftart11111111">
    <w:name w:val="WW-Absatz-Standardschriftart11111111"/>
    <w:rsid w:val="004D7928"/>
  </w:style>
  <w:style w:type="character" w:customStyle="1" w:styleId="WW-Absatz-Standardschriftart111111111">
    <w:name w:val="WW-Absatz-Standardschriftart111111111"/>
    <w:rsid w:val="004D7928"/>
  </w:style>
  <w:style w:type="character" w:customStyle="1" w:styleId="WW-Absatz-Standardschriftart1111111111">
    <w:name w:val="WW-Absatz-Standardschriftart1111111111"/>
    <w:rsid w:val="004D7928"/>
  </w:style>
  <w:style w:type="character" w:customStyle="1" w:styleId="WW-Absatz-Standardschriftart11111111111">
    <w:name w:val="WW-Absatz-Standardschriftart11111111111"/>
    <w:rsid w:val="004D7928"/>
  </w:style>
  <w:style w:type="character" w:customStyle="1" w:styleId="WW-Absatz-Standardschriftart111111111111">
    <w:name w:val="WW-Absatz-Standardschriftart111111111111"/>
    <w:rsid w:val="004D7928"/>
  </w:style>
  <w:style w:type="character" w:customStyle="1" w:styleId="WW-Absatz-Standardschriftart1111111111111">
    <w:name w:val="WW-Absatz-Standardschriftart1111111111111"/>
    <w:rsid w:val="004D7928"/>
  </w:style>
  <w:style w:type="character" w:customStyle="1" w:styleId="WW-Absatz-Standardschriftart11111111111111">
    <w:name w:val="WW-Absatz-Standardschriftart11111111111111"/>
    <w:rsid w:val="004D7928"/>
  </w:style>
  <w:style w:type="character" w:customStyle="1" w:styleId="WW-Absatz-Standardschriftart111111111111111">
    <w:name w:val="WW-Absatz-Standardschriftart111111111111111"/>
    <w:rsid w:val="004D7928"/>
  </w:style>
  <w:style w:type="character" w:customStyle="1" w:styleId="WW-Absatz-Standardschriftart1111111111111111">
    <w:name w:val="WW-Absatz-Standardschriftart1111111111111111"/>
    <w:rsid w:val="004D7928"/>
  </w:style>
  <w:style w:type="character" w:customStyle="1" w:styleId="WW-Absatz-Standardschriftart11111111111111111">
    <w:name w:val="WW-Absatz-Standardschriftart11111111111111111"/>
    <w:rsid w:val="004D7928"/>
  </w:style>
  <w:style w:type="character" w:customStyle="1" w:styleId="WW-Absatz-Standardschriftart111111111111111111">
    <w:name w:val="WW-Absatz-Standardschriftart111111111111111111"/>
    <w:rsid w:val="004D7928"/>
  </w:style>
  <w:style w:type="character" w:customStyle="1" w:styleId="WW-Absatz-Standardschriftart1111111111111111111">
    <w:name w:val="WW-Absatz-Standardschriftart1111111111111111111"/>
    <w:rsid w:val="004D7928"/>
  </w:style>
  <w:style w:type="character" w:customStyle="1" w:styleId="WW8Num11z0">
    <w:name w:val="WW8Num11z0"/>
    <w:rsid w:val="004D7928"/>
    <w:rPr>
      <w:rFonts w:ascii="Symbol" w:hAnsi="Symbol"/>
    </w:rPr>
  </w:style>
  <w:style w:type="character" w:customStyle="1" w:styleId="WW-Absatz-Standardschriftart11111111111111111111">
    <w:name w:val="WW-Absatz-Standardschriftart11111111111111111111"/>
    <w:rsid w:val="004D7928"/>
  </w:style>
  <w:style w:type="character" w:customStyle="1" w:styleId="WW-Absatz-Standardschriftart111111111111111111111">
    <w:name w:val="WW-Absatz-Standardschriftart111111111111111111111"/>
    <w:rsid w:val="004D7928"/>
  </w:style>
  <w:style w:type="character" w:customStyle="1" w:styleId="WW-Absatz-Standardschriftart1111111111111111111111">
    <w:name w:val="WW-Absatz-Standardschriftart1111111111111111111111"/>
    <w:rsid w:val="004D7928"/>
  </w:style>
  <w:style w:type="character" w:customStyle="1" w:styleId="WW-Absatz-Standardschriftart11111111111111111111111">
    <w:name w:val="WW-Absatz-Standardschriftart11111111111111111111111"/>
    <w:rsid w:val="004D7928"/>
  </w:style>
  <w:style w:type="character" w:customStyle="1" w:styleId="WW8Num13z0">
    <w:name w:val="WW8Num13z0"/>
    <w:rsid w:val="004D7928"/>
    <w:rPr>
      <w:rFonts w:ascii="Symbol" w:hAnsi="Symbol" w:cs="OpenSymbol"/>
    </w:rPr>
  </w:style>
  <w:style w:type="character" w:customStyle="1" w:styleId="WW-Absatz-Standardschriftart111111111111111111111111">
    <w:name w:val="WW-Absatz-Standardschriftart111111111111111111111111"/>
    <w:rsid w:val="004D7928"/>
  </w:style>
  <w:style w:type="character" w:customStyle="1" w:styleId="WW-Absatz-Standardschriftart1111111111111111111111111">
    <w:name w:val="WW-Absatz-Standardschriftart1111111111111111111111111"/>
    <w:rsid w:val="004D7928"/>
  </w:style>
  <w:style w:type="character" w:customStyle="1" w:styleId="WW-Absatz-Standardschriftart11111111111111111111111111">
    <w:name w:val="WW-Absatz-Standardschriftart11111111111111111111111111"/>
    <w:rsid w:val="004D7928"/>
  </w:style>
  <w:style w:type="character" w:customStyle="1" w:styleId="WW-Absatz-Standardschriftart111111111111111111111111111">
    <w:name w:val="WW-Absatz-Standardschriftart111111111111111111111111111"/>
    <w:rsid w:val="004D7928"/>
  </w:style>
  <w:style w:type="character" w:customStyle="1" w:styleId="WW-Absatz-Standardschriftart1111111111111111111111111111">
    <w:name w:val="WW-Absatz-Standardschriftart1111111111111111111111111111"/>
    <w:rsid w:val="004D7928"/>
  </w:style>
  <w:style w:type="character" w:customStyle="1" w:styleId="WW-Absatz-Standardschriftart11111111111111111111111111111">
    <w:name w:val="WW-Absatz-Standardschriftart11111111111111111111111111111"/>
    <w:rsid w:val="004D7928"/>
  </w:style>
  <w:style w:type="character" w:customStyle="1" w:styleId="WW-Absatz-Standardschriftart111111111111111111111111111111">
    <w:name w:val="WW-Absatz-Standardschriftart111111111111111111111111111111"/>
    <w:rsid w:val="004D7928"/>
  </w:style>
  <w:style w:type="character" w:customStyle="1" w:styleId="WW-Absatz-Standardschriftart1111111111111111111111111111111">
    <w:name w:val="WW-Absatz-Standardschriftart1111111111111111111111111111111"/>
    <w:rsid w:val="004D7928"/>
  </w:style>
  <w:style w:type="character" w:customStyle="1" w:styleId="WW8Num1z0">
    <w:name w:val="WW8Num1z0"/>
    <w:rsid w:val="004D7928"/>
    <w:rPr>
      <w:rFonts w:ascii="Symbol" w:hAnsi="Symbol"/>
    </w:rPr>
  </w:style>
  <w:style w:type="character" w:customStyle="1" w:styleId="WW8Num4z0">
    <w:name w:val="WW8Num4z0"/>
    <w:rsid w:val="004D7928"/>
    <w:rPr>
      <w:rFonts w:ascii="Symbol" w:hAnsi="Symbol"/>
    </w:rPr>
  </w:style>
  <w:style w:type="character" w:customStyle="1" w:styleId="WW8Num5z1">
    <w:name w:val="WW8Num5z1"/>
    <w:rsid w:val="004D7928"/>
    <w:rPr>
      <w:rFonts w:ascii="Courier New" w:hAnsi="Courier New"/>
    </w:rPr>
  </w:style>
  <w:style w:type="character" w:customStyle="1" w:styleId="WW8Num5z2">
    <w:name w:val="WW8Num5z2"/>
    <w:rsid w:val="004D7928"/>
    <w:rPr>
      <w:rFonts w:ascii="Wingdings" w:hAnsi="Wingdings"/>
    </w:rPr>
  </w:style>
  <w:style w:type="character" w:customStyle="1" w:styleId="WW8Num6z1">
    <w:name w:val="WW8Num6z1"/>
    <w:rsid w:val="004D7928"/>
    <w:rPr>
      <w:rFonts w:ascii="Courier New" w:hAnsi="Courier New"/>
    </w:rPr>
  </w:style>
  <w:style w:type="character" w:customStyle="1" w:styleId="WW8Num6z2">
    <w:name w:val="WW8Num6z2"/>
    <w:rsid w:val="004D7928"/>
    <w:rPr>
      <w:rFonts w:ascii="Wingdings" w:hAnsi="Wingdings"/>
    </w:rPr>
  </w:style>
  <w:style w:type="character" w:customStyle="1" w:styleId="WW8Num8z1">
    <w:name w:val="WW8Num8z1"/>
    <w:rsid w:val="004D7928"/>
    <w:rPr>
      <w:rFonts w:ascii="Courier New" w:hAnsi="Courier New" w:cs="Courier New"/>
    </w:rPr>
  </w:style>
  <w:style w:type="character" w:customStyle="1" w:styleId="WW8Num8z2">
    <w:name w:val="WW8Num8z2"/>
    <w:rsid w:val="004D7928"/>
    <w:rPr>
      <w:rFonts w:ascii="Wingdings" w:hAnsi="Wingdings"/>
    </w:rPr>
  </w:style>
  <w:style w:type="character" w:customStyle="1" w:styleId="WW8Num10z1">
    <w:name w:val="WW8Num10z1"/>
    <w:rsid w:val="004D7928"/>
    <w:rPr>
      <w:rFonts w:ascii="Courier New" w:hAnsi="Courier New"/>
    </w:rPr>
  </w:style>
  <w:style w:type="character" w:customStyle="1" w:styleId="WW8Num10z2">
    <w:name w:val="WW8Num10z2"/>
    <w:rsid w:val="004D7928"/>
    <w:rPr>
      <w:rFonts w:ascii="Wingdings" w:hAnsi="Wingdings"/>
    </w:rPr>
  </w:style>
  <w:style w:type="character" w:customStyle="1" w:styleId="WW8Num11z1">
    <w:name w:val="WW8Num11z1"/>
    <w:rsid w:val="004D7928"/>
    <w:rPr>
      <w:rFonts w:ascii="Courier New" w:hAnsi="Courier New" w:cs="Courier New"/>
    </w:rPr>
  </w:style>
  <w:style w:type="character" w:customStyle="1" w:styleId="WW8Num11z2">
    <w:name w:val="WW8Num11z2"/>
    <w:rsid w:val="004D7928"/>
    <w:rPr>
      <w:rFonts w:ascii="Wingdings" w:hAnsi="Wingdings"/>
    </w:rPr>
  </w:style>
  <w:style w:type="character" w:customStyle="1" w:styleId="Policepardfaut">
    <w:name w:val="Police par défaut"/>
    <w:rsid w:val="004D7928"/>
  </w:style>
  <w:style w:type="character" w:customStyle="1" w:styleId="Caractresdenotedefin">
    <w:name w:val="Caractères de note de fin"/>
    <w:basedOn w:val="Policepardfaut"/>
    <w:rsid w:val="004D7928"/>
    <w:rPr>
      <w:vertAlign w:val="superscript"/>
    </w:rPr>
  </w:style>
  <w:style w:type="character" w:customStyle="1" w:styleId="Marquedecommentaire">
    <w:name w:val="Marque de commentaire"/>
    <w:basedOn w:val="Policepardfaut"/>
    <w:rsid w:val="004D7928"/>
    <w:rPr>
      <w:sz w:val="16"/>
      <w:szCs w:val="16"/>
    </w:rPr>
  </w:style>
  <w:style w:type="character" w:customStyle="1" w:styleId="Caractresdenotedebasdepage">
    <w:name w:val="Caractères de note de bas de page"/>
    <w:basedOn w:val="Policepardfaut"/>
    <w:rsid w:val="004D7928"/>
    <w:rPr>
      <w:vertAlign w:val="superscript"/>
    </w:rPr>
  </w:style>
  <w:style w:type="character" w:styleId="Hyperlink">
    <w:name w:val="Hyperlink"/>
    <w:basedOn w:val="Policepardfaut"/>
    <w:rsid w:val="004D7928"/>
    <w:rPr>
      <w:color w:val="0000FF"/>
      <w:u w:val="single"/>
    </w:rPr>
  </w:style>
  <w:style w:type="character" w:styleId="FollowedHyperlink">
    <w:name w:val="FollowedHyperlink"/>
    <w:basedOn w:val="Policepardfaut"/>
    <w:rsid w:val="004D7928"/>
    <w:rPr>
      <w:color w:val="800080"/>
      <w:u w:val="single"/>
    </w:rPr>
  </w:style>
  <w:style w:type="character" w:customStyle="1" w:styleId="Puces">
    <w:name w:val="Puces"/>
    <w:rsid w:val="004D7928"/>
    <w:rPr>
      <w:rFonts w:ascii="OpenSymbol" w:eastAsia="OpenSymbol" w:hAnsi="OpenSymbol" w:cs="OpenSymbol"/>
    </w:rPr>
  </w:style>
  <w:style w:type="character" w:customStyle="1" w:styleId="Caractresdenumrotation">
    <w:name w:val="Caractères de numérotation"/>
    <w:rsid w:val="004D7928"/>
  </w:style>
  <w:style w:type="paragraph" w:customStyle="1" w:styleId="Titre">
    <w:name w:val="Titre"/>
    <w:basedOn w:val="Normal"/>
    <w:next w:val="BodyText"/>
    <w:rsid w:val="004D7928"/>
    <w:pPr>
      <w:keepNext/>
      <w:suppressAutoHyphens/>
      <w:spacing w:before="240" w:after="120"/>
    </w:pPr>
    <w:rPr>
      <w:rFonts w:ascii="Arial" w:eastAsia="Arial Unicode MS" w:hAnsi="Arial" w:cs="Arial Unicode MS"/>
      <w:sz w:val="28"/>
      <w:szCs w:val="28"/>
      <w:lang w:eastAsia="ar-SA"/>
    </w:rPr>
  </w:style>
  <w:style w:type="paragraph" w:styleId="BodyText">
    <w:name w:val="Body Text"/>
    <w:basedOn w:val="Normal"/>
    <w:link w:val="BodyTextChar"/>
    <w:rsid w:val="004D7928"/>
    <w:pPr>
      <w:suppressAutoHyphens/>
      <w:spacing w:after="0"/>
      <w:jc w:val="both"/>
    </w:pPr>
    <w:rPr>
      <w:rFonts w:ascii="Arial" w:eastAsia="Times New Roman" w:hAnsi="Arial" w:cs="Arial"/>
      <w:iCs/>
      <w:sz w:val="22"/>
      <w:szCs w:val="22"/>
      <w:lang w:eastAsia="ar-SA"/>
    </w:rPr>
  </w:style>
  <w:style w:type="character" w:customStyle="1" w:styleId="BodyTextChar">
    <w:name w:val="Body Text Char"/>
    <w:basedOn w:val="DefaultParagraphFont"/>
    <w:link w:val="BodyText"/>
    <w:rsid w:val="004D7928"/>
    <w:rPr>
      <w:rFonts w:ascii="Arial" w:eastAsia="Times New Roman" w:hAnsi="Arial" w:cs="Arial"/>
      <w:iCs/>
      <w:sz w:val="22"/>
      <w:szCs w:val="22"/>
      <w:lang w:eastAsia="ar-SA"/>
    </w:rPr>
  </w:style>
  <w:style w:type="paragraph" w:styleId="List">
    <w:name w:val="List"/>
    <w:basedOn w:val="BodyText"/>
    <w:rsid w:val="004D7928"/>
  </w:style>
  <w:style w:type="paragraph" w:customStyle="1" w:styleId="Lgende">
    <w:name w:val="Légende"/>
    <w:basedOn w:val="Normal"/>
    <w:rsid w:val="004D7928"/>
    <w:pPr>
      <w:suppressLineNumbers/>
      <w:suppressAutoHyphens/>
      <w:spacing w:before="120" w:after="120"/>
    </w:pPr>
    <w:rPr>
      <w:rFonts w:ascii="Times New Roman" w:eastAsia="Times New Roman" w:hAnsi="Times New Roman"/>
      <w:i/>
      <w:iCs/>
      <w:lang w:eastAsia="ar-SA"/>
    </w:rPr>
  </w:style>
  <w:style w:type="paragraph" w:customStyle="1" w:styleId="Index">
    <w:name w:val="Index"/>
    <w:basedOn w:val="Normal"/>
    <w:rsid w:val="004D7928"/>
    <w:pPr>
      <w:suppressLineNumbers/>
      <w:suppressAutoHyphens/>
      <w:spacing w:after="0"/>
    </w:pPr>
    <w:rPr>
      <w:rFonts w:ascii="Times New Roman" w:eastAsia="Times New Roman" w:hAnsi="Times New Roman"/>
      <w:lang w:eastAsia="ar-SA"/>
    </w:rPr>
  </w:style>
  <w:style w:type="paragraph" w:styleId="EndnoteText">
    <w:name w:val="endnote text"/>
    <w:basedOn w:val="Normal"/>
    <w:link w:val="EndnoteTextChar"/>
    <w:rsid w:val="004D7928"/>
    <w:pPr>
      <w:suppressAutoHyphens/>
      <w:spacing w:after="0"/>
    </w:pPr>
    <w:rPr>
      <w:rFonts w:ascii="Times New Roman" w:eastAsia="Times New Roman" w:hAnsi="Times New Roman"/>
      <w:szCs w:val="20"/>
      <w:lang w:eastAsia="ar-SA"/>
    </w:rPr>
  </w:style>
  <w:style w:type="character" w:customStyle="1" w:styleId="EndnoteTextChar">
    <w:name w:val="Endnote Text Char"/>
    <w:basedOn w:val="DefaultParagraphFont"/>
    <w:link w:val="EndnoteText"/>
    <w:rsid w:val="004D7928"/>
    <w:rPr>
      <w:rFonts w:ascii="Times New Roman" w:eastAsia="Times New Roman" w:hAnsi="Times New Roman"/>
      <w:lang w:eastAsia="ar-SA"/>
    </w:rPr>
  </w:style>
  <w:style w:type="paragraph" w:styleId="FootnoteText">
    <w:name w:val="footnote text"/>
    <w:basedOn w:val="Normal"/>
    <w:link w:val="FootnoteTextChar"/>
    <w:rsid w:val="004D7928"/>
    <w:pPr>
      <w:suppressAutoHyphens/>
      <w:spacing w:after="0"/>
    </w:pPr>
    <w:rPr>
      <w:rFonts w:ascii="Times New Roman" w:eastAsia="Times New Roman" w:hAnsi="Times New Roman"/>
      <w:szCs w:val="20"/>
      <w:lang w:eastAsia="ar-SA"/>
    </w:rPr>
  </w:style>
  <w:style w:type="character" w:customStyle="1" w:styleId="FootnoteTextChar">
    <w:name w:val="Footnote Text Char"/>
    <w:basedOn w:val="DefaultParagraphFont"/>
    <w:link w:val="FootnoteText"/>
    <w:rsid w:val="004D7928"/>
    <w:rPr>
      <w:rFonts w:ascii="Times New Roman" w:eastAsia="Times New Roman" w:hAnsi="Times New Roman"/>
      <w:lang w:eastAsia="ar-SA"/>
    </w:rPr>
  </w:style>
  <w:style w:type="paragraph" w:customStyle="1" w:styleId="Explorateurdedocument">
    <w:name w:val="Explorateur de document"/>
    <w:basedOn w:val="Normal"/>
    <w:rsid w:val="004D7928"/>
    <w:pPr>
      <w:shd w:val="clear" w:color="auto" w:fill="000080"/>
      <w:suppressAutoHyphens/>
      <w:spacing w:after="0"/>
    </w:pPr>
    <w:rPr>
      <w:rFonts w:ascii="Tahoma" w:eastAsia="Times New Roman" w:hAnsi="Tahoma" w:cs="Tahoma"/>
      <w:szCs w:val="20"/>
      <w:lang w:eastAsia="ar-SA"/>
    </w:rPr>
  </w:style>
  <w:style w:type="paragraph" w:customStyle="1" w:styleId="Corpsdetexte2">
    <w:name w:val="Corps de texte 2"/>
    <w:basedOn w:val="Normal"/>
    <w:rsid w:val="004D7928"/>
    <w:pPr>
      <w:widowControl w:val="0"/>
      <w:suppressAutoHyphens/>
      <w:spacing w:after="0"/>
      <w:ind w:left="720"/>
    </w:pPr>
    <w:rPr>
      <w:rFonts w:ascii="Times New Roman" w:eastAsia="Times New Roman" w:hAnsi="Times New Roman"/>
      <w:szCs w:val="20"/>
      <w:lang w:eastAsia="ar-SA"/>
    </w:rPr>
  </w:style>
  <w:style w:type="paragraph" w:customStyle="1" w:styleId="Afterbullet">
    <w:name w:val="Afterbullet"/>
    <w:basedOn w:val="Normal"/>
    <w:next w:val="Normal"/>
    <w:rsid w:val="004D7928"/>
    <w:pPr>
      <w:suppressAutoHyphens/>
      <w:spacing w:after="0"/>
      <w:jc w:val="both"/>
    </w:pPr>
    <w:rPr>
      <w:rFonts w:ascii="Arial" w:eastAsia="Times New Roman" w:hAnsi="Arial"/>
      <w:szCs w:val="20"/>
      <w:lang w:eastAsia="ar-SA"/>
    </w:rPr>
  </w:style>
  <w:style w:type="paragraph" w:customStyle="1" w:styleId="Textedebulles">
    <w:name w:val="Texte de bulles"/>
    <w:basedOn w:val="Normal"/>
    <w:rsid w:val="004D7928"/>
    <w:pPr>
      <w:suppressAutoHyphens/>
      <w:spacing w:after="0"/>
    </w:pPr>
    <w:rPr>
      <w:rFonts w:ascii="Tahoma" w:eastAsia="Times New Roman" w:hAnsi="Tahoma" w:cs="Tahoma"/>
      <w:sz w:val="16"/>
      <w:szCs w:val="16"/>
      <w:lang w:eastAsia="ar-SA"/>
    </w:rPr>
  </w:style>
  <w:style w:type="paragraph" w:styleId="TOC3">
    <w:name w:val="toc 3"/>
    <w:basedOn w:val="Normal"/>
    <w:next w:val="Normal"/>
    <w:uiPriority w:val="39"/>
    <w:rsid w:val="004D7928"/>
    <w:pPr>
      <w:spacing w:after="0"/>
      <w:ind w:left="240"/>
    </w:pPr>
    <w:rPr>
      <w:rFonts w:asciiTheme="minorHAnsi" w:hAnsiTheme="minorHAnsi"/>
      <w:szCs w:val="20"/>
    </w:rPr>
  </w:style>
  <w:style w:type="paragraph" w:customStyle="1" w:styleId="Commentaire">
    <w:name w:val="Commentaire"/>
    <w:basedOn w:val="Normal"/>
    <w:rsid w:val="004D7928"/>
    <w:pPr>
      <w:suppressAutoHyphens/>
      <w:spacing w:after="0"/>
    </w:pPr>
    <w:rPr>
      <w:rFonts w:ascii="Times New Roman" w:eastAsia="Times New Roman" w:hAnsi="Times New Roman"/>
      <w:szCs w:val="20"/>
      <w:lang w:eastAsia="ar-SA"/>
    </w:rPr>
  </w:style>
  <w:style w:type="paragraph" w:customStyle="1" w:styleId="Objetducommentaire">
    <w:name w:val="Objet du commentaire"/>
    <w:basedOn w:val="Commentaire"/>
    <w:next w:val="Commentaire"/>
    <w:rsid w:val="004D7928"/>
    <w:rPr>
      <w:b/>
      <w:bCs/>
    </w:rPr>
  </w:style>
  <w:style w:type="paragraph" w:customStyle="1" w:styleId="Bullets">
    <w:name w:val="Bullets"/>
    <w:basedOn w:val="Normal"/>
    <w:rsid w:val="004D7928"/>
    <w:pPr>
      <w:numPr>
        <w:numId w:val="3"/>
      </w:numPr>
      <w:tabs>
        <w:tab w:val="left" w:pos="720"/>
      </w:tabs>
      <w:suppressAutoHyphens/>
      <w:spacing w:after="0"/>
    </w:pPr>
    <w:rPr>
      <w:rFonts w:ascii="Times Roman" w:eastAsia="Times New Roman" w:hAnsi="Times Roman"/>
      <w:sz w:val="22"/>
      <w:szCs w:val="20"/>
      <w:lang w:eastAsia="ar-SA"/>
    </w:rPr>
  </w:style>
  <w:style w:type="paragraph" w:customStyle="1" w:styleId="headingIAI16">
    <w:name w:val="heading IAI 16"/>
    <w:basedOn w:val="Header"/>
    <w:rsid w:val="004D7928"/>
    <w:pPr>
      <w:widowControl w:val="0"/>
      <w:tabs>
        <w:tab w:val="left" w:pos="-1440"/>
        <w:tab w:val="left" w:pos="-720"/>
        <w:tab w:val="left" w:pos="0"/>
      </w:tabs>
      <w:suppressAutoHyphens/>
      <w:jc w:val="both"/>
    </w:pPr>
    <w:rPr>
      <w:rFonts w:ascii="Arial" w:eastAsia="Times New Roman" w:hAnsi="Arial"/>
      <w:b/>
      <w:sz w:val="32"/>
      <w:szCs w:val="20"/>
      <w:lang w:eastAsia="ar-SA"/>
    </w:rPr>
  </w:style>
  <w:style w:type="paragraph" w:styleId="TOC1">
    <w:name w:val="toc 1"/>
    <w:basedOn w:val="Normal"/>
    <w:next w:val="Normal"/>
    <w:autoRedefine/>
    <w:uiPriority w:val="39"/>
    <w:rsid w:val="003C293F"/>
    <w:pPr>
      <w:spacing w:before="360" w:after="0"/>
    </w:pPr>
    <w:rPr>
      <w:rFonts w:asciiTheme="majorHAnsi" w:hAnsiTheme="majorHAnsi"/>
      <w:b/>
      <w:bCs/>
      <w:caps/>
    </w:rPr>
  </w:style>
  <w:style w:type="paragraph" w:styleId="TOC2">
    <w:name w:val="toc 2"/>
    <w:basedOn w:val="TOC1"/>
    <w:next w:val="Normal"/>
    <w:autoRedefine/>
    <w:uiPriority w:val="39"/>
    <w:rsid w:val="004D7928"/>
    <w:pPr>
      <w:spacing w:before="240"/>
    </w:pPr>
    <w:rPr>
      <w:rFonts w:asciiTheme="minorHAnsi" w:hAnsiTheme="minorHAnsi"/>
      <w:caps w:val="0"/>
      <w:szCs w:val="20"/>
    </w:rPr>
  </w:style>
  <w:style w:type="paragraph" w:customStyle="1" w:styleId="Normalcentr">
    <w:name w:val="Normal centré"/>
    <w:basedOn w:val="Normal"/>
    <w:rsid w:val="004D7928"/>
    <w:pPr>
      <w:tabs>
        <w:tab w:val="left" w:pos="0"/>
      </w:tabs>
      <w:suppressAutoHyphens/>
      <w:spacing w:after="0"/>
      <w:ind w:left="1080" w:right="486" w:hanging="720"/>
      <w:jc w:val="both"/>
    </w:pPr>
    <w:rPr>
      <w:rFonts w:ascii="Times New Roman" w:eastAsia="Times New Roman" w:hAnsi="Times New Roman"/>
      <w:spacing w:val="-2"/>
      <w:szCs w:val="20"/>
      <w:lang w:eastAsia="ar-SA"/>
    </w:rPr>
  </w:style>
  <w:style w:type="paragraph" w:customStyle="1" w:styleId="Style1">
    <w:name w:val="Style1"/>
    <w:basedOn w:val="Heading3"/>
    <w:rsid w:val="004D7928"/>
    <w:rPr>
      <w:rFonts w:ascii="Arial" w:hAnsi="Arial" w:cs="Arial"/>
      <w:bCs/>
      <w:spacing w:val="-2"/>
      <w:sz w:val="22"/>
      <w:szCs w:val="24"/>
      <w:lang w:eastAsia="ar-SA"/>
    </w:rPr>
  </w:style>
  <w:style w:type="paragraph" w:customStyle="1" w:styleId="Normal1">
    <w:name w:val="Normal1"/>
    <w:basedOn w:val="Normal"/>
    <w:next w:val="Normal"/>
    <w:rsid w:val="004D7928"/>
    <w:pPr>
      <w:suppressAutoHyphens/>
      <w:spacing w:after="0"/>
    </w:pPr>
    <w:rPr>
      <w:rFonts w:ascii="Arial" w:eastAsia="Times New Roman" w:hAnsi="Arial" w:cs="Arial"/>
      <w:b/>
      <w:bCs/>
      <w:spacing w:val="-2"/>
      <w:sz w:val="22"/>
      <w:lang w:eastAsia="ar-SA"/>
    </w:rPr>
  </w:style>
  <w:style w:type="paragraph" w:styleId="BodyTextIndent">
    <w:name w:val="Body Text Indent"/>
    <w:basedOn w:val="Normal"/>
    <w:link w:val="BodyTextIndentChar"/>
    <w:rsid w:val="004D7928"/>
    <w:pPr>
      <w:suppressAutoHyphens/>
      <w:spacing w:after="0"/>
      <w:ind w:left="360" w:hanging="360"/>
    </w:pPr>
    <w:rPr>
      <w:rFonts w:ascii="Arial" w:eastAsia="Times New Roman" w:hAnsi="Arial" w:cs="Arial"/>
      <w:lang w:eastAsia="ar-SA"/>
    </w:rPr>
  </w:style>
  <w:style w:type="character" w:customStyle="1" w:styleId="BodyTextIndentChar">
    <w:name w:val="Body Text Indent Char"/>
    <w:basedOn w:val="DefaultParagraphFont"/>
    <w:link w:val="BodyTextIndent"/>
    <w:rsid w:val="004D7928"/>
    <w:rPr>
      <w:rFonts w:ascii="Arial" w:eastAsia="Times New Roman" w:hAnsi="Arial" w:cs="Arial"/>
      <w:sz w:val="24"/>
      <w:szCs w:val="24"/>
      <w:lang w:eastAsia="ar-SA"/>
    </w:rPr>
  </w:style>
  <w:style w:type="paragraph" w:customStyle="1" w:styleId="Retraitcorpsdetexte2">
    <w:name w:val="Retrait corps de texte 2"/>
    <w:basedOn w:val="Normal"/>
    <w:rsid w:val="004D7928"/>
    <w:pPr>
      <w:suppressAutoHyphens/>
      <w:spacing w:after="0"/>
      <w:ind w:left="540" w:hanging="540"/>
    </w:pPr>
    <w:rPr>
      <w:rFonts w:ascii="Arial" w:eastAsia="Times New Roman" w:hAnsi="Arial" w:cs="Arial"/>
      <w:lang w:eastAsia="ar-SA"/>
    </w:rPr>
  </w:style>
  <w:style w:type="paragraph" w:customStyle="1" w:styleId="Default">
    <w:name w:val="Default"/>
    <w:rsid w:val="004D7928"/>
    <w:pPr>
      <w:suppressAutoHyphens/>
      <w:autoSpaceDE w:val="0"/>
    </w:pPr>
    <w:rPr>
      <w:rFonts w:ascii="Arial" w:eastAsia="Arial" w:hAnsi="Arial"/>
      <w:lang w:val="en-US" w:eastAsia="ar-SA"/>
    </w:rPr>
  </w:style>
  <w:style w:type="paragraph" w:styleId="TOC4">
    <w:name w:val="toc 4"/>
    <w:basedOn w:val="Index"/>
    <w:uiPriority w:val="39"/>
    <w:rsid w:val="004D7928"/>
    <w:pPr>
      <w:suppressLineNumbers w:val="0"/>
      <w:suppressAutoHyphens w:val="0"/>
      <w:ind w:left="480"/>
    </w:pPr>
    <w:rPr>
      <w:rFonts w:asciiTheme="minorHAnsi" w:eastAsia="Cambria" w:hAnsiTheme="minorHAnsi"/>
      <w:szCs w:val="20"/>
      <w:lang w:eastAsia="en-US"/>
    </w:rPr>
  </w:style>
  <w:style w:type="paragraph" w:styleId="TOC5">
    <w:name w:val="toc 5"/>
    <w:basedOn w:val="Index"/>
    <w:rsid w:val="004D7928"/>
    <w:pPr>
      <w:suppressLineNumbers w:val="0"/>
      <w:suppressAutoHyphens w:val="0"/>
      <w:ind w:left="720"/>
    </w:pPr>
    <w:rPr>
      <w:rFonts w:asciiTheme="minorHAnsi" w:eastAsia="Cambria" w:hAnsiTheme="minorHAnsi"/>
      <w:szCs w:val="20"/>
      <w:lang w:eastAsia="en-US"/>
    </w:rPr>
  </w:style>
  <w:style w:type="paragraph" w:styleId="TOC6">
    <w:name w:val="toc 6"/>
    <w:basedOn w:val="Index"/>
    <w:rsid w:val="004D7928"/>
    <w:pPr>
      <w:suppressLineNumbers w:val="0"/>
      <w:suppressAutoHyphens w:val="0"/>
      <w:ind w:left="960"/>
    </w:pPr>
    <w:rPr>
      <w:rFonts w:asciiTheme="minorHAnsi" w:eastAsia="Cambria" w:hAnsiTheme="minorHAnsi"/>
      <w:szCs w:val="20"/>
      <w:lang w:eastAsia="en-US"/>
    </w:rPr>
  </w:style>
  <w:style w:type="paragraph" w:styleId="TOC7">
    <w:name w:val="toc 7"/>
    <w:basedOn w:val="Index"/>
    <w:rsid w:val="004D7928"/>
    <w:pPr>
      <w:suppressLineNumbers w:val="0"/>
      <w:suppressAutoHyphens w:val="0"/>
      <w:ind w:left="1200"/>
    </w:pPr>
    <w:rPr>
      <w:rFonts w:asciiTheme="minorHAnsi" w:eastAsia="Cambria" w:hAnsiTheme="minorHAnsi"/>
      <w:szCs w:val="20"/>
      <w:lang w:eastAsia="en-US"/>
    </w:rPr>
  </w:style>
  <w:style w:type="paragraph" w:styleId="TOC8">
    <w:name w:val="toc 8"/>
    <w:basedOn w:val="Index"/>
    <w:rsid w:val="004D7928"/>
    <w:pPr>
      <w:suppressLineNumbers w:val="0"/>
      <w:suppressAutoHyphens w:val="0"/>
      <w:ind w:left="1440"/>
    </w:pPr>
    <w:rPr>
      <w:rFonts w:asciiTheme="minorHAnsi" w:eastAsia="Cambria" w:hAnsiTheme="minorHAnsi"/>
      <w:szCs w:val="20"/>
      <w:lang w:eastAsia="en-US"/>
    </w:rPr>
  </w:style>
  <w:style w:type="paragraph" w:styleId="TOC9">
    <w:name w:val="toc 9"/>
    <w:basedOn w:val="Index"/>
    <w:rsid w:val="004D7928"/>
    <w:pPr>
      <w:suppressLineNumbers w:val="0"/>
      <w:suppressAutoHyphens w:val="0"/>
      <w:ind w:left="1680"/>
    </w:pPr>
    <w:rPr>
      <w:rFonts w:asciiTheme="minorHAnsi" w:eastAsia="Cambria" w:hAnsiTheme="minorHAnsi"/>
      <w:szCs w:val="20"/>
      <w:lang w:eastAsia="en-US"/>
    </w:rPr>
  </w:style>
  <w:style w:type="paragraph" w:customStyle="1" w:styleId="Tabledesmatiresniveau10">
    <w:name w:val="Table des matières niveau 10"/>
    <w:basedOn w:val="Index"/>
    <w:rsid w:val="004D7928"/>
    <w:pPr>
      <w:tabs>
        <w:tab w:val="right" w:leader="dot" w:pos="7091"/>
      </w:tabs>
      <w:ind w:left="2547"/>
    </w:pPr>
  </w:style>
  <w:style w:type="paragraph" w:customStyle="1" w:styleId="Contenudetableau">
    <w:name w:val="Contenu de tableau"/>
    <w:basedOn w:val="Normal"/>
    <w:rsid w:val="004D7928"/>
    <w:pPr>
      <w:suppressLineNumbers/>
      <w:suppressAutoHyphens/>
      <w:spacing w:after="0"/>
    </w:pPr>
    <w:rPr>
      <w:rFonts w:ascii="Times New Roman" w:eastAsia="Times New Roman" w:hAnsi="Times New Roman"/>
      <w:lang w:eastAsia="ar-SA"/>
    </w:rPr>
  </w:style>
  <w:style w:type="paragraph" w:customStyle="1" w:styleId="Titredetableau">
    <w:name w:val="Titre de tableau"/>
    <w:basedOn w:val="Contenudetableau"/>
    <w:rsid w:val="004D7928"/>
    <w:pPr>
      <w:jc w:val="center"/>
    </w:pPr>
    <w:rPr>
      <w:b/>
      <w:bCs/>
    </w:rPr>
  </w:style>
  <w:style w:type="paragraph" w:customStyle="1" w:styleId="Titredetabledesmatires">
    <w:name w:val="Titre de table des matières"/>
    <w:basedOn w:val="Titre"/>
    <w:rsid w:val="004D7928"/>
    <w:pPr>
      <w:suppressLineNumbers/>
    </w:pPr>
    <w:rPr>
      <w:b/>
      <w:bCs/>
      <w:sz w:val="32"/>
      <w:szCs w:val="32"/>
    </w:rPr>
  </w:style>
  <w:style w:type="character" w:styleId="FootnoteReference">
    <w:name w:val="footnote reference"/>
    <w:basedOn w:val="DefaultParagraphFont"/>
    <w:rsid w:val="009E34E5"/>
    <w:rPr>
      <w:vertAlign w:val="superscript"/>
    </w:rPr>
  </w:style>
  <w:style w:type="paragraph" w:styleId="ListParagraph">
    <w:name w:val="List Paragraph"/>
    <w:basedOn w:val="Normal"/>
    <w:uiPriority w:val="34"/>
    <w:qFormat/>
    <w:rsid w:val="00A16A78"/>
    <w:pPr>
      <w:ind w:left="720"/>
    </w:pPr>
  </w:style>
  <w:style w:type="character" w:styleId="CommentReference">
    <w:name w:val="annotation reference"/>
    <w:basedOn w:val="DefaultParagraphFont"/>
    <w:rsid w:val="00386F47"/>
    <w:rPr>
      <w:sz w:val="16"/>
      <w:szCs w:val="16"/>
    </w:rPr>
  </w:style>
  <w:style w:type="paragraph" w:styleId="CommentText">
    <w:name w:val="annotation text"/>
    <w:basedOn w:val="Normal"/>
    <w:link w:val="CommentTextChar"/>
    <w:rsid w:val="00386F47"/>
    <w:rPr>
      <w:szCs w:val="20"/>
    </w:rPr>
  </w:style>
  <w:style w:type="character" w:customStyle="1" w:styleId="CommentTextChar">
    <w:name w:val="Comment Text Char"/>
    <w:basedOn w:val="DefaultParagraphFont"/>
    <w:link w:val="CommentText"/>
    <w:rsid w:val="00386F47"/>
    <w:rPr>
      <w:lang w:eastAsia="en-US"/>
    </w:rPr>
  </w:style>
  <w:style w:type="paragraph" w:styleId="CommentSubject">
    <w:name w:val="annotation subject"/>
    <w:basedOn w:val="CommentText"/>
    <w:next w:val="CommentText"/>
    <w:link w:val="CommentSubjectChar"/>
    <w:rsid w:val="00386F47"/>
    <w:rPr>
      <w:b/>
      <w:bCs/>
    </w:rPr>
  </w:style>
  <w:style w:type="character" w:customStyle="1" w:styleId="CommentSubjectChar">
    <w:name w:val="Comment Subject Char"/>
    <w:basedOn w:val="CommentTextChar"/>
    <w:link w:val="CommentSubject"/>
    <w:rsid w:val="00386F47"/>
    <w:rPr>
      <w:b/>
      <w:bCs/>
      <w:lang w:eastAsia="en-US"/>
    </w:rPr>
  </w:style>
  <w:style w:type="paragraph" w:styleId="BalloonText">
    <w:name w:val="Balloon Text"/>
    <w:basedOn w:val="Normal"/>
    <w:link w:val="BalloonTextChar"/>
    <w:rsid w:val="00386F47"/>
    <w:pPr>
      <w:spacing w:after="0"/>
    </w:pPr>
    <w:rPr>
      <w:rFonts w:ascii="Tahoma" w:hAnsi="Tahoma" w:cs="Tahoma"/>
      <w:sz w:val="16"/>
      <w:szCs w:val="16"/>
    </w:rPr>
  </w:style>
  <w:style w:type="character" w:customStyle="1" w:styleId="BalloonTextChar">
    <w:name w:val="Balloon Text Char"/>
    <w:basedOn w:val="DefaultParagraphFont"/>
    <w:link w:val="BalloonText"/>
    <w:rsid w:val="00386F47"/>
    <w:rPr>
      <w:rFonts w:ascii="Tahoma" w:hAnsi="Tahoma" w:cs="Tahoma"/>
      <w:sz w:val="16"/>
      <w:szCs w:val="16"/>
      <w:lang w:eastAsia="en-US"/>
    </w:rPr>
  </w:style>
  <w:style w:type="table" w:styleId="TableGrid">
    <w:name w:val="Table Grid"/>
    <w:basedOn w:val="TableNormal"/>
    <w:uiPriority w:val="59"/>
    <w:rsid w:val="00B94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56B57"/>
    <w:pPr>
      <w:jc w:val="both"/>
    </w:pPr>
    <w:rPr>
      <w:rFonts w:ascii="Calibri" w:eastAsia="Times New Roman" w:hAnsi="Calibri"/>
      <w:b/>
      <w:bCs/>
      <w:color w:val="4F81BD"/>
      <w:sz w:val="18"/>
      <w:szCs w:val="18"/>
      <w:lang w:bidi="en-US"/>
    </w:rPr>
  </w:style>
  <w:style w:type="table" w:styleId="ColorfulGrid-Accent1">
    <w:name w:val="Colorful Grid Accent 1"/>
    <w:basedOn w:val="TableNormal"/>
    <w:rsid w:val="00536FB4"/>
    <w:rPr>
      <w:color w:val="454545" w:themeColor="text1"/>
    </w:rPr>
    <w:tblPr>
      <w:tblStyleRowBandSize w:val="1"/>
      <w:tblStyleColBandSize w:val="1"/>
      <w:tblBorders>
        <w:insideH w:val="single" w:sz="4" w:space="0" w:color="FFFFFF" w:themeColor="background1"/>
      </w:tblBorders>
    </w:tblPr>
    <w:tcPr>
      <w:shd w:val="clear" w:color="auto" w:fill="E3EBEE" w:themeFill="accent1" w:themeFillTint="33"/>
    </w:tcPr>
    <w:tblStylePr w:type="firstRow">
      <w:rPr>
        <w:b/>
        <w:bCs/>
      </w:rPr>
      <w:tblPr/>
      <w:tcPr>
        <w:shd w:val="clear" w:color="auto" w:fill="C7D8DD" w:themeFill="accent1" w:themeFillTint="66"/>
      </w:tcPr>
    </w:tblStylePr>
    <w:tblStylePr w:type="lastRow">
      <w:rPr>
        <w:b/>
        <w:bCs/>
        <w:color w:val="454545" w:themeColor="text1"/>
      </w:rPr>
      <w:tblPr/>
      <w:tcPr>
        <w:shd w:val="clear" w:color="auto" w:fill="C7D8DD" w:themeFill="accent1" w:themeFillTint="66"/>
      </w:tcPr>
    </w:tblStylePr>
    <w:tblStylePr w:type="firstCol">
      <w:rPr>
        <w:color w:val="FFFFFF" w:themeColor="background1"/>
      </w:rPr>
      <w:tblPr/>
      <w:tcPr>
        <w:shd w:val="clear" w:color="auto" w:fill="507A84" w:themeFill="accent1" w:themeFillShade="BF"/>
      </w:tcPr>
    </w:tblStylePr>
    <w:tblStylePr w:type="lastCol">
      <w:rPr>
        <w:color w:val="FFFFFF" w:themeColor="background1"/>
      </w:rPr>
      <w:tblPr/>
      <w:tcPr>
        <w:shd w:val="clear" w:color="auto" w:fill="507A84" w:themeFill="accent1" w:themeFillShade="BF"/>
      </w:tcPr>
    </w:tblStylePr>
    <w:tblStylePr w:type="band1Vert">
      <w:tblPr/>
      <w:tcPr>
        <w:shd w:val="clear" w:color="auto" w:fill="B9CFD4" w:themeFill="accent1" w:themeFillTint="7F"/>
      </w:tcPr>
    </w:tblStylePr>
    <w:tblStylePr w:type="band1Horz">
      <w:tblPr/>
      <w:tcPr>
        <w:shd w:val="clear" w:color="auto" w:fill="B9CFD4" w:themeFill="accent1" w:themeFillTint="7F"/>
      </w:tcPr>
    </w:tblStylePr>
  </w:style>
  <w:style w:type="paragraph" w:styleId="Revision">
    <w:name w:val="Revision"/>
    <w:hidden/>
    <w:semiHidden/>
    <w:rsid w:val="00CE4EDB"/>
    <w:rPr>
      <w:sz w:val="24"/>
      <w:szCs w:val="24"/>
      <w:lang w:eastAsia="en-US"/>
    </w:rPr>
  </w:style>
  <w:style w:type="character" w:customStyle="1" w:styleId="skypepnhcontainer">
    <w:name w:val="skype_pnh_container"/>
    <w:basedOn w:val="DefaultParagraphFont"/>
    <w:rsid w:val="003E02E9"/>
    <w:rPr>
      <w:rtl w:val="0"/>
    </w:rPr>
  </w:style>
  <w:style w:type="character" w:customStyle="1" w:styleId="skypepnhmark1">
    <w:name w:val="skype_pnh_mark1"/>
    <w:basedOn w:val="DefaultParagraphFont"/>
    <w:rsid w:val="003E02E9"/>
    <w:rPr>
      <w:vanish/>
      <w:webHidden w:val="0"/>
      <w:specVanish w:val="0"/>
    </w:rPr>
  </w:style>
  <w:style w:type="character" w:customStyle="1" w:styleId="skypepnhprintcontainer1376042428">
    <w:name w:val="skype_pnh_print_container_1376042428"/>
    <w:basedOn w:val="DefaultParagraphFont"/>
    <w:rsid w:val="003E02E9"/>
  </w:style>
  <w:style w:type="character" w:customStyle="1" w:styleId="skypepnhtextspan">
    <w:name w:val="skype_pnh_text_span"/>
    <w:basedOn w:val="DefaultParagraphFont"/>
    <w:rsid w:val="003E02E9"/>
  </w:style>
  <w:style w:type="character" w:customStyle="1" w:styleId="skypepnhfreetextspan">
    <w:name w:val="skype_pnh_free_text_span"/>
    <w:basedOn w:val="DefaultParagraphFont"/>
    <w:rsid w:val="003E02E9"/>
  </w:style>
  <w:style w:type="paragraph" w:customStyle="1" w:styleId="BasicParagraph">
    <w:name w:val="[Basic Paragraph]"/>
    <w:basedOn w:val="Normal"/>
    <w:uiPriority w:val="99"/>
    <w:rsid w:val="003E02E9"/>
    <w:pPr>
      <w:widowControl w:val="0"/>
      <w:autoSpaceDE w:val="0"/>
      <w:autoSpaceDN w:val="0"/>
      <w:adjustRightInd w:val="0"/>
      <w:spacing w:after="0" w:line="288" w:lineRule="auto"/>
      <w:textAlignment w:val="center"/>
    </w:pPr>
    <w:rPr>
      <w:rFonts w:ascii="Times-Roman" w:hAnsi="Times-Roman" w:cs="Times-Roman"/>
      <w:color w:val="000000"/>
      <w:lang w:val="en-US"/>
    </w:rPr>
  </w:style>
  <w:style w:type="table" w:styleId="PlainTable1">
    <w:name w:val="Plain Table 1"/>
    <w:basedOn w:val="TableNormal"/>
    <w:uiPriority w:val="41"/>
    <w:rsid w:val="00CD0BC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data-heading">
    <w:name w:val="data-heading"/>
    <w:basedOn w:val="DefaultParagraphFont"/>
    <w:rsid w:val="006D3A7A"/>
  </w:style>
  <w:style w:type="character" w:customStyle="1" w:styleId="total-area-name">
    <w:name w:val="total-area-name"/>
    <w:basedOn w:val="DefaultParagraphFont"/>
    <w:rsid w:val="006D3A7A"/>
  </w:style>
  <w:style w:type="character" w:customStyle="1" w:styleId="apple-converted-space">
    <w:name w:val="apple-converted-space"/>
    <w:basedOn w:val="DefaultParagraphFont"/>
    <w:rsid w:val="006D3A7A"/>
  </w:style>
  <w:style w:type="character" w:customStyle="1" w:styleId="total-dates">
    <w:name w:val="total-dates"/>
    <w:basedOn w:val="DefaultParagraphFont"/>
    <w:rsid w:val="006D3A7A"/>
  </w:style>
  <w:style w:type="character" w:customStyle="1" w:styleId="colon">
    <w:name w:val="colon"/>
    <w:basedOn w:val="DefaultParagraphFont"/>
    <w:rsid w:val="006D3A7A"/>
  </w:style>
  <w:style w:type="character" w:customStyle="1" w:styleId="grand-total">
    <w:name w:val="grand-total"/>
    <w:basedOn w:val="DefaultParagraphFont"/>
    <w:rsid w:val="006D3A7A"/>
  </w:style>
  <w:style w:type="character" w:customStyle="1" w:styleId="report-units">
    <w:name w:val="report-units"/>
    <w:basedOn w:val="DefaultParagraphFont"/>
    <w:rsid w:val="006D3A7A"/>
  </w:style>
  <w:style w:type="character" w:customStyle="1" w:styleId="Heading5Char">
    <w:name w:val="Heading 5 Char"/>
    <w:basedOn w:val="DefaultParagraphFont"/>
    <w:link w:val="Heading5"/>
    <w:semiHidden/>
    <w:rsid w:val="00B86E2D"/>
    <w:rPr>
      <w:rFonts w:asciiTheme="majorHAnsi" w:eastAsiaTheme="majorEastAsia" w:hAnsiTheme="majorHAnsi" w:cstheme="majorBidi"/>
      <w:color w:val="507A84" w:themeColor="accent1" w:themeShade="BF"/>
      <w:sz w:val="24"/>
      <w:szCs w:val="24"/>
      <w:lang w:eastAsia="en-US"/>
    </w:rPr>
  </w:style>
  <w:style w:type="table" w:customStyle="1" w:styleId="PlainTable11">
    <w:name w:val="Plain Table 11"/>
    <w:basedOn w:val="TableNormal"/>
    <w:uiPriority w:val="41"/>
    <w:rsid w:val="0027381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ndnoteReference">
    <w:name w:val="endnote reference"/>
    <w:basedOn w:val="DefaultParagraphFont"/>
    <w:semiHidden/>
    <w:unhideWhenUsed/>
    <w:rsid w:val="009265D2"/>
    <w:rPr>
      <w:vertAlign w:val="superscript"/>
    </w:rPr>
  </w:style>
  <w:style w:type="character" w:styleId="UnresolvedMention">
    <w:name w:val="Unresolved Mention"/>
    <w:basedOn w:val="DefaultParagraphFont"/>
    <w:uiPriority w:val="99"/>
    <w:semiHidden/>
    <w:unhideWhenUsed/>
    <w:rsid w:val="00C14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0456">
      <w:bodyDiv w:val="1"/>
      <w:marLeft w:val="0"/>
      <w:marRight w:val="0"/>
      <w:marTop w:val="0"/>
      <w:marBottom w:val="0"/>
      <w:divBdr>
        <w:top w:val="none" w:sz="0" w:space="0" w:color="auto"/>
        <w:left w:val="none" w:sz="0" w:space="0" w:color="auto"/>
        <w:bottom w:val="none" w:sz="0" w:space="0" w:color="auto"/>
        <w:right w:val="none" w:sz="0" w:space="0" w:color="auto"/>
      </w:divBdr>
    </w:div>
    <w:div w:id="46492820">
      <w:bodyDiv w:val="1"/>
      <w:marLeft w:val="0"/>
      <w:marRight w:val="0"/>
      <w:marTop w:val="0"/>
      <w:marBottom w:val="0"/>
      <w:divBdr>
        <w:top w:val="none" w:sz="0" w:space="0" w:color="auto"/>
        <w:left w:val="none" w:sz="0" w:space="0" w:color="auto"/>
        <w:bottom w:val="none" w:sz="0" w:space="0" w:color="auto"/>
        <w:right w:val="none" w:sz="0" w:space="0" w:color="auto"/>
      </w:divBdr>
    </w:div>
    <w:div w:id="47649265">
      <w:bodyDiv w:val="1"/>
      <w:marLeft w:val="0"/>
      <w:marRight w:val="0"/>
      <w:marTop w:val="0"/>
      <w:marBottom w:val="0"/>
      <w:divBdr>
        <w:top w:val="none" w:sz="0" w:space="0" w:color="auto"/>
        <w:left w:val="none" w:sz="0" w:space="0" w:color="auto"/>
        <w:bottom w:val="none" w:sz="0" w:space="0" w:color="auto"/>
        <w:right w:val="none" w:sz="0" w:space="0" w:color="auto"/>
      </w:divBdr>
    </w:div>
    <w:div w:id="76756730">
      <w:bodyDiv w:val="1"/>
      <w:marLeft w:val="0"/>
      <w:marRight w:val="0"/>
      <w:marTop w:val="0"/>
      <w:marBottom w:val="0"/>
      <w:divBdr>
        <w:top w:val="none" w:sz="0" w:space="0" w:color="auto"/>
        <w:left w:val="none" w:sz="0" w:space="0" w:color="auto"/>
        <w:bottom w:val="none" w:sz="0" w:space="0" w:color="auto"/>
        <w:right w:val="none" w:sz="0" w:space="0" w:color="auto"/>
      </w:divBdr>
    </w:div>
    <w:div w:id="78403720">
      <w:bodyDiv w:val="1"/>
      <w:marLeft w:val="0"/>
      <w:marRight w:val="0"/>
      <w:marTop w:val="0"/>
      <w:marBottom w:val="0"/>
      <w:divBdr>
        <w:top w:val="none" w:sz="0" w:space="0" w:color="auto"/>
        <w:left w:val="none" w:sz="0" w:space="0" w:color="auto"/>
        <w:bottom w:val="none" w:sz="0" w:space="0" w:color="auto"/>
        <w:right w:val="none" w:sz="0" w:space="0" w:color="auto"/>
      </w:divBdr>
    </w:div>
    <w:div w:id="78603002">
      <w:bodyDiv w:val="1"/>
      <w:marLeft w:val="0"/>
      <w:marRight w:val="0"/>
      <w:marTop w:val="0"/>
      <w:marBottom w:val="0"/>
      <w:divBdr>
        <w:top w:val="none" w:sz="0" w:space="0" w:color="auto"/>
        <w:left w:val="none" w:sz="0" w:space="0" w:color="auto"/>
        <w:bottom w:val="none" w:sz="0" w:space="0" w:color="auto"/>
        <w:right w:val="none" w:sz="0" w:space="0" w:color="auto"/>
      </w:divBdr>
    </w:div>
    <w:div w:id="163054072">
      <w:bodyDiv w:val="1"/>
      <w:marLeft w:val="0"/>
      <w:marRight w:val="0"/>
      <w:marTop w:val="0"/>
      <w:marBottom w:val="0"/>
      <w:divBdr>
        <w:top w:val="none" w:sz="0" w:space="0" w:color="auto"/>
        <w:left w:val="none" w:sz="0" w:space="0" w:color="auto"/>
        <w:bottom w:val="none" w:sz="0" w:space="0" w:color="auto"/>
        <w:right w:val="none" w:sz="0" w:space="0" w:color="auto"/>
      </w:divBdr>
    </w:div>
    <w:div w:id="166331694">
      <w:bodyDiv w:val="1"/>
      <w:marLeft w:val="0"/>
      <w:marRight w:val="0"/>
      <w:marTop w:val="0"/>
      <w:marBottom w:val="0"/>
      <w:divBdr>
        <w:top w:val="none" w:sz="0" w:space="0" w:color="auto"/>
        <w:left w:val="none" w:sz="0" w:space="0" w:color="auto"/>
        <w:bottom w:val="none" w:sz="0" w:space="0" w:color="auto"/>
        <w:right w:val="none" w:sz="0" w:space="0" w:color="auto"/>
      </w:divBdr>
    </w:div>
    <w:div w:id="169637573">
      <w:bodyDiv w:val="1"/>
      <w:marLeft w:val="0"/>
      <w:marRight w:val="0"/>
      <w:marTop w:val="0"/>
      <w:marBottom w:val="0"/>
      <w:divBdr>
        <w:top w:val="none" w:sz="0" w:space="0" w:color="auto"/>
        <w:left w:val="none" w:sz="0" w:space="0" w:color="auto"/>
        <w:bottom w:val="none" w:sz="0" w:space="0" w:color="auto"/>
        <w:right w:val="none" w:sz="0" w:space="0" w:color="auto"/>
      </w:divBdr>
    </w:div>
    <w:div w:id="187108345">
      <w:bodyDiv w:val="1"/>
      <w:marLeft w:val="0"/>
      <w:marRight w:val="0"/>
      <w:marTop w:val="0"/>
      <w:marBottom w:val="0"/>
      <w:divBdr>
        <w:top w:val="none" w:sz="0" w:space="0" w:color="auto"/>
        <w:left w:val="none" w:sz="0" w:space="0" w:color="auto"/>
        <w:bottom w:val="none" w:sz="0" w:space="0" w:color="auto"/>
        <w:right w:val="none" w:sz="0" w:space="0" w:color="auto"/>
      </w:divBdr>
    </w:div>
    <w:div w:id="191648963">
      <w:bodyDiv w:val="1"/>
      <w:marLeft w:val="0"/>
      <w:marRight w:val="0"/>
      <w:marTop w:val="0"/>
      <w:marBottom w:val="0"/>
      <w:divBdr>
        <w:top w:val="none" w:sz="0" w:space="0" w:color="auto"/>
        <w:left w:val="none" w:sz="0" w:space="0" w:color="auto"/>
        <w:bottom w:val="none" w:sz="0" w:space="0" w:color="auto"/>
        <w:right w:val="none" w:sz="0" w:space="0" w:color="auto"/>
      </w:divBdr>
    </w:div>
    <w:div w:id="192429017">
      <w:bodyDiv w:val="1"/>
      <w:marLeft w:val="0"/>
      <w:marRight w:val="0"/>
      <w:marTop w:val="0"/>
      <w:marBottom w:val="0"/>
      <w:divBdr>
        <w:top w:val="none" w:sz="0" w:space="0" w:color="auto"/>
        <w:left w:val="none" w:sz="0" w:space="0" w:color="auto"/>
        <w:bottom w:val="none" w:sz="0" w:space="0" w:color="auto"/>
        <w:right w:val="none" w:sz="0" w:space="0" w:color="auto"/>
      </w:divBdr>
    </w:div>
    <w:div w:id="204026821">
      <w:bodyDiv w:val="1"/>
      <w:marLeft w:val="0"/>
      <w:marRight w:val="0"/>
      <w:marTop w:val="0"/>
      <w:marBottom w:val="0"/>
      <w:divBdr>
        <w:top w:val="none" w:sz="0" w:space="0" w:color="auto"/>
        <w:left w:val="none" w:sz="0" w:space="0" w:color="auto"/>
        <w:bottom w:val="none" w:sz="0" w:space="0" w:color="auto"/>
        <w:right w:val="none" w:sz="0" w:space="0" w:color="auto"/>
      </w:divBdr>
    </w:div>
    <w:div w:id="204372298">
      <w:bodyDiv w:val="1"/>
      <w:marLeft w:val="0"/>
      <w:marRight w:val="0"/>
      <w:marTop w:val="0"/>
      <w:marBottom w:val="0"/>
      <w:divBdr>
        <w:top w:val="none" w:sz="0" w:space="0" w:color="auto"/>
        <w:left w:val="none" w:sz="0" w:space="0" w:color="auto"/>
        <w:bottom w:val="none" w:sz="0" w:space="0" w:color="auto"/>
        <w:right w:val="none" w:sz="0" w:space="0" w:color="auto"/>
      </w:divBdr>
    </w:div>
    <w:div w:id="205531835">
      <w:bodyDiv w:val="1"/>
      <w:marLeft w:val="0"/>
      <w:marRight w:val="0"/>
      <w:marTop w:val="0"/>
      <w:marBottom w:val="0"/>
      <w:divBdr>
        <w:top w:val="none" w:sz="0" w:space="0" w:color="auto"/>
        <w:left w:val="none" w:sz="0" w:space="0" w:color="auto"/>
        <w:bottom w:val="none" w:sz="0" w:space="0" w:color="auto"/>
        <w:right w:val="none" w:sz="0" w:space="0" w:color="auto"/>
      </w:divBdr>
    </w:div>
    <w:div w:id="211692871">
      <w:bodyDiv w:val="1"/>
      <w:marLeft w:val="0"/>
      <w:marRight w:val="0"/>
      <w:marTop w:val="0"/>
      <w:marBottom w:val="0"/>
      <w:divBdr>
        <w:top w:val="none" w:sz="0" w:space="0" w:color="auto"/>
        <w:left w:val="none" w:sz="0" w:space="0" w:color="auto"/>
        <w:bottom w:val="none" w:sz="0" w:space="0" w:color="auto"/>
        <w:right w:val="none" w:sz="0" w:space="0" w:color="auto"/>
      </w:divBdr>
    </w:div>
    <w:div w:id="242229935">
      <w:bodyDiv w:val="1"/>
      <w:marLeft w:val="0"/>
      <w:marRight w:val="0"/>
      <w:marTop w:val="0"/>
      <w:marBottom w:val="0"/>
      <w:divBdr>
        <w:top w:val="none" w:sz="0" w:space="0" w:color="auto"/>
        <w:left w:val="none" w:sz="0" w:space="0" w:color="auto"/>
        <w:bottom w:val="none" w:sz="0" w:space="0" w:color="auto"/>
        <w:right w:val="none" w:sz="0" w:space="0" w:color="auto"/>
      </w:divBdr>
    </w:div>
    <w:div w:id="270433410">
      <w:bodyDiv w:val="1"/>
      <w:marLeft w:val="0"/>
      <w:marRight w:val="0"/>
      <w:marTop w:val="0"/>
      <w:marBottom w:val="0"/>
      <w:divBdr>
        <w:top w:val="none" w:sz="0" w:space="0" w:color="auto"/>
        <w:left w:val="none" w:sz="0" w:space="0" w:color="auto"/>
        <w:bottom w:val="none" w:sz="0" w:space="0" w:color="auto"/>
        <w:right w:val="none" w:sz="0" w:space="0" w:color="auto"/>
      </w:divBdr>
    </w:div>
    <w:div w:id="319845913">
      <w:bodyDiv w:val="1"/>
      <w:marLeft w:val="0"/>
      <w:marRight w:val="0"/>
      <w:marTop w:val="0"/>
      <w:marBottom w:val="0"/>
      <w:divBdr>
        <w:top w:val="none" w:sz="0" w:space="0" w:color="auto"/>
        <w:left w:val="none" w:sz="0" w:space="0" w:color="auto"/>
        <w:bottom w:val="none" w:sz="0" w:space="0" w:color="auto"/>
        <w:right w:val="none" w:sz="0" w:space="0" w:color="auto"/>
      </w:divBdr>
    </w:div>
    <w:div w:id="341664626">
      <w:bodyDiv w:val="1"/>
      <w:marLeft w:val="0"/>
      <w:marRight w:val="0"/>
      <w:marTop w:val="0"/>
      <w:marBottom w:val="0"/>
      <w:divBdr>
        <w:top w:val="none" w:sz="0" w:space="0" w:color="auto"/>
        <w:left w:val="none" w:sz="0" w:space="0" w:color="auto"/>
        <w:bottom w:val="none" w:sz="0" w:space="0" w:color="auto"/>
        <w:right w:val="none" w:sz="0" w:space="0" w:color="auto"/>
      </w:divBdr>
    </w:div>
    <w:div w:id="348526786">
      <w:bodyDiv w:val="1"/>
      <w:marLeft w:val="0"/>
      <w:marRight w:val="0"/>
      <w:marTop w:val="0"/>
      <w:marBottom w:val="0"/>
      <w:divBdr>
        <w:top w:val="none" w:sz="0" w:space="0" w:color="auto"/>
        <w:left w:val="none" w:sz="0" w:space="0" w:color="auto"/>
        <w:bottom w:val="none" w:sz="0" w:space="0" w:color="auto"/>
        <w:right w:val="none" w:sz="0" w:space="0" w:color="auto"/>
      </w:divBdr>
    </w:div>
    <w:div w:id="359556212">
      <w:bodyDiv w:val="1"/>
      <w:marLeft w:val="0"/>
      <w:marRight w:val="0"/>
      <w:marTop w:val="0"/>
      <w:marBottom w:val="0"/>
      <w:divBdr>
        <w:top w:val="none" w:sz="0" w:space="0" w:color="auto"/>
        <w:left w:val="none" w:sz="0" w:space="0" w:color="auto"/>
        <w:bottom w:val="none" w:sz="0" w:space="0" w:color="auto"/>
        <w:right w:val="none" w:sz="0" w:space="0" w:color="auto"/>
      </w:divBdr>
    </w:div>
    <w:div w:id="363794085">
      <w:bodyDiv w:val="1"/>
      <w:marLeft w:val="0"/>
      <w:marRight w:val="0"/>
      <w:marTop w:val="0"/>
      <w:marBottom w:val="0"/>
      <w:divBdr>
        <w:top w:val="none" w:sz="0" w:space="0" w:color="auto"/>
        <w:left w:val="none" w:sz="0" w:space="0" w:color="auto"/>
        <w:bottom w:val="none" w:sz="0" w:space="0" w:color="auto"/>
        <w:right w:val="none" w:sz="0" w:space="0" w:color="auto"/>
      </w:divBdr>
    </w:div>
    <w:div w:id="384107593">
      <w:bodyDiv w:val="1"/>
      <w:marLeft w:val="0"/>
      <w:marRight w:val="0"/>
      <w:marTop w:val="0"/>
      <w:marBottom w:val="0"/>
      <w:divBdr>
        <w:top w:val="none" w:sz="0" w:space="0" w:color="auto"/>
        <w:left w:val="none" w:sz="0" w:space="0" w:color="auto"/>
        <w:bottom w:val="none" w:sz="0" w:space="0" w:color="auto"/>
        <w:right w:val="none" w:sz="0" w:space="0" w:color="auto"/>
      </w:divBdr>
    </w:div>
    <w:div w:id="418405462">
      <w:bodyDiv w:val="1"/>
      <w:marLeft w:val="0"/>
      <w:marRight w:val="0"/>
      <w:marTop w:val="0"/>
      <w:marBottom w:val="0"/>
      <w:divBdr>
        <w:top w:val="none" w:sz="0" w:space="0" w:color="auto"/>
        <w:left w:val="none" w:sz="0" w:space="0" w:color="auto"/>
        <w:bottom w:val="none" w:sz="0" w:space="0" w:color="auto"/>
        <w:right w:val="none" w:sz="0" w:space="0" w:color="auto"/>
      </w:divBdr>
    </w:div>
    <w:div w:id="429590414">
      <w:bodyDiv w:val="1"/>
      <w:marLeft w:val="0"/>
      <w:marRight w:val="0"/>
      <w:marTop w:val="0"/>
      <w:marBottom w:val="0"/>
      <w:divBdr>
        <w:top w:val="none" w:sz="0" w:space="0" w:color="auto"/>
        <w:left w:val="none" w:sz="0" w:space="0" w:color="auto"/>
        <w:bottom w:val="none" w:sz="0" w:space="0" w:color="auto"/>
        <w:right w:val="none" w:sz="0" w:space="0" w:color="auto"/>
      </w:divBdr>
    </w:div>
    <w:div w:id="463547669">
      <w:bodyDiv w:val="1"/>
      <w:marLeft w:val="0"/>
      <w:marRight w:val="0"/>
      <w:marTop w:val="0"/>
      <w:marBottom w:val="0"/>
      <w:divBdr>
        <w:top w:val="none" w:sz="0" w:space="0" w:color="auto"/>
        <w:left w:val="none" w:sz="0" w:space="0" w:color="auto"/>
        <w:bottom w:val="none" w:sz="0" w:space="0" w:color="auto"/>
        <w:right w:val="none" w:sz="0" w:space="0" w:color="auto"/>
      </w:divBdr>
    </w:div>
    <w:div w:id="477069187">
      <w:bodyDiv w:val="1"/>
      <w:marLeft w:val="0"/>
      <w:marRight w:val="0"/>
      <w:marTop w:val="0"/>
      <w:marBottom w:val="0"/>
      <w:divBdr>
        <w:top w:val="none" w:sz="0" w:space="0" w:color="auto"/>
        <w:left w:val="none" w:sz="0" w:space="0" w:color="auto"/>
        <w:bottom w:val="none" w:sz="0" w:space="0" w:color="auto"/>
        <w:right w:val="none" w:sz="0" w:space="0" w:color="auto"/>
      </w:divBdr>
    </w:div>
    <w:div w:id="508297351">
      <w:bodyDiv w:val="1"/>
      <w:marLeft w:val="0"/>
      <w:marRight w:val="0"/>
      <w:marTop w:val="0"/>
      <w:marBottom w:val="0"/>
      <w:divBdr>
        <w:top w:val="none" w:sz="0" w:space="0" w:color="auto"/>
        <w:left w:val="none" w:sz="0" w:space="0" w:color="auto"/>
        <w:bottom w:val="none" w:sz="0" w:space="0" w:color="auto"/>
        <w:right w:val="none" w:sz="0" w:space="0" w:color="auto"/>
      </w:divBdr>
    </w:div>
    <w:div w:id="534469028">
      <w:bodyDiv w:val="1"/>
      <w:marLeft w:val="0"/>
      <w:marRight w:val="0"/>
      <w:marTop w:val="0"/>
      <w:marBottom w:val="0"/>
      <w:divBdr>
        <w:top w:val="none" w:sz="0" w:space="0" w:color="auto"/>
        <w:left w:val="none" w:sz="0" w:space="0" w:color="auto"/>
        <w:bottom w:val="none" w:sz="0" w:space="0" w:color="auto"/>
        <w:right w:val="none" w:sz="0" w:space="0" w:color="auto"/>
      </w:divBdr>
    </w:div>
    <w:div w:id="549268679">
      <w:bodyDiv w:val="1"/>
      <w:marLeft w:val="0"/>
      <w:marRight w:val="0"/>
      <w:marTop w:val="0"/>
      <w:marBottom w:val="0"/>
      <w:divBdr>
        <w:top w:val="none" w:sz="0" w:space="0" w:color="auto"/>
        <w:left w:val="none" w:sz="0" w:space="0" w:color="auto"/>
        <w:bottom w:val="none" w:sz="0" w:space="0" w:color="auto"/>
        <w:right w:val="none" w:sz="0" w:space="0" w:color="auto"/>
      </w:divBdr>
    </w:div>
    <w:div w:id="559436487">
      <w:bodyDiv w:val="1"/>
      <w:marLeft w:val="0"/>
      <w:marRight w:val="0"/>
      <w:marTop w:val="0"/>
      <w:marBottom w:val="0"/>
      <w:divBdr>
        <w:top w:val="none" w:sz="0" w:space="0" w:color="auto"/>
        <w:left w:val="none" w:sz="0" w:space="0" w:color="auto"/>
        <w:bottom w:val="none" w:sz="0" w:space="0" w:color="auto"/>
        <w:right w:val="none" w:sz="0" w:space="0" w:color="auto"/>
      </w:divBdr>
    </w:div>
    <w:div w:id="579338795">
      <w:bodyDiv w:val="1"/>
      <w:marLeft w:val="0"/>
      <w:marRight w:val="0"/>
      <w:marTop w:val="0"/>
      <w:marBottom w:val="0"/>
      <w:divBdr>
        <w:top w:val="none" w:sz="0" w:space="0" w:color="auto"/>
        <w:left w:val="none" w:sz="0" w:space="0" w:color="auto"/>
        <w:bottom w:val="none" w:sz="0" w:space="0" w:color="auto"/>
        <w:right w:val="none" w:sz="0" w:space="0" w:color="auto"/>
      </w:divBdr>
    </w:div>
    <w:div w:id="617298440">
      <w:bodyDiv w:val="1"/>
      <w:marLeft w:val="0"/>
      <w:marRight w:val="0"/>
      <w:marTop w:val="0"/>
      <w:marBottom w:val="0"/>
      <w:divBdr>
        <w:top w:val="none" w:sz="0" w:space="0" w:color="auto"/>
        <w:left w:val="none" w:sz="0" w:space="0" w:color="auto"/>
        <w:bottom w:val="none" w:sz="0" w:space="0" w:color="auto"/>
        <w:right w:val="none" w:sz="0" w:space="0" w:color="auto"/>
      </w:divBdr>
    </w:div>
    <w:div w:id="629559661">
      <w:bodyDiv w:val="1"/>
      <w:marLeft w:val="0"/>
      <w:marRight w:val="0"/>
      <w:marTop w:val="0"/>
      <w:marBottom w:val="0"/>
      <w:divBdr>
        <w:top w:val="none" w:sz="0" w:space="0" w:color="auto"/>
        <w:left w:val="none" w:sz="0" w:space="0" w:color="auto"/>
        <w:bottom w:val="none" w:sz="0" w:space="0" w:color="auto"/>
        <w:right w:val="none" w:sz="0" w:space="0" w:color="auto"/>
      </w:divBdr>
    </w:div>
    <w:div w:id="630787462">
      <w:bodyDiv w:val="1"/>
      <w:marLeft w:val="0"/>
      <w:marRight w:val="0"/>
      <w:marTop w:val="0"/>
      <w:marBottom w:val="0"/>
      <w:divBdr>
        <w:top w:val="none" w:sz="0" w:space="0" w:color="auto"/>
        <w:left w:val="none" w:sz="0" w:space="0" w:color="auto"/>
        <w:bottom w:val="none" w:sz="0" w:space="0" w:color="auto"/>
        <w:right w:val="none" w:sz="0" w:space="0" w:color="auto"/>
      </w:divBdr>
    </w:div>
    <w:div w:id="635528177">
      <w:bodyDiv w:val="1"/>
      <w:marLeft w:val="0"/>
      <w:marRight w:val="0"/>
      <w:marTop w:val="0"/>
      <w:marBottom w:val="0"/>
      <w:divBdr>
        <w:top w:val="none" w:sz="0" w:space="0" w:color="auto"/>
        <w:left w:val="none" w:sz="0" w:space="0" w:color="auto"/>
        <w:bottom w:val="none" w:sz="0" w:space="0" w:color="auto"/>
        <w:right w:val="none" w:sz="0" w:space="0" w:color="auto"/>
      </w:divBdr>
    </w:div>
    <w:div w:id="663624092">
      <w:bodyDiv w:val="1"/>
      <w:marLeft w:val="0"/>
      <w:marRight w:val="0"/>
      <w:marTop w:val="0"/>
      <w:marBottom w:val="0"/>
      <w:divBdr>
        <w:top w:val="none" w:sz="0" w:space="0" w:color="auto"/>
        <w:left w:val="none" w:sz="0" w:space="0" w:color="auto"/>
        <w:bottom w:val="none" w:sz="0" w:space="0" w:color="auto"/>
        <w:right w:val="none" w:sz="0" w:space="0" w:color="auto"/>
      </w:divBdr>
    </w:div>
    <w:div w:id="667441609">
      <w:bodyDiv w:val="1"/>
      <w:marLeft w:val="0"/>
      <w:marRight w:val="0"/>
      <w:marTop w:val="0"/>
      <w:marBottom w:val="0"/>
      <w:divBdr>
        <w:top w:val="none" w:sz="0" w:space="0" w:color="auto"/>
        <w:left w:val="none" w:sz="0" w:space="0" w:color="auto"/>
        <w:bottom w:val="none" w:sz="0" w:space="0" w:color="auto"/>
        <w:right w:val="none" w:sz="0" w:space="0" w:color="auto"/>
      </w:divBdr>
    </w:div>
    <w:div w:id="737436672">
      <w:bodyDiv w:val="1"/>
      <w:marLeft w:val="0"/>
      <w:marRight w:val="0"/>
      <w:marTop w:val="0"/>
      <w:marBottom w:val="0"/>
      <w:divBdr>
        <w:top w:val="none" w:sz="0" w:space="0" w:color="auto"/>
        <w:left w:val="none" w:sz="0" w:space="0" w:color="auto"/>
        <w:bottom w:val="none" w:sz="0" w:space="0" w:color="auto"/>
        <w:right w:val="none" w:sz="0" w:space="0" w:color="auto"/>
      </w:divBdr>
    </w:div>
    <w:div w:id="754322085">
      <w:bodyDiv w:val="1"/>
      <w:marLeft w:val="0"/>
      <w:marRight w:val="0"/>
      <w:marTop w:val="0"/>
      <w:marBottom w:val="0"/>
      <w:divBdr>
        <w:top w:val="none" w:sz="0" w:space="0" w:color="auto"/>
        <w:left w:val="none" w:sz="0" w:space="0" w:color="auto"/>
        <w:bottom w:val="none" w:sz="0" w:space="0" w:color="auto"/>
        <w:right w:val="none" w:sz="0" w:space="0" w:color="auto"/>
      </w:divBdr>
    </w:div>
    <w:div w:id="768042936">
      <w:bodyDiv w:val="1"/>
      <w:marLeft w:val="0"/>
      <w:marRight w:val="0"/>
      <w:marTop w:val="0"/>
      <w:marBottom w:val="0"/>
      <w:divBdr>
        <w:top w:val="none" w:sz="0" w:space="0" w:color="auto"/>
        <w:left w:val="none" w:sz="0" w:space="0" w:color="auto"/>
        <w:bottom w:val="none" w:sz="0" w:space="0" w:color="auto"/>
        <w:right w:val="none" w:sz="0" w:space="0" w:color="auto"/>
      </w:divBdr>
    </w:div>
    <w:div w:id="769200610">
      <w:bodyDiv w:val="1"/>
      <w:marLeft w:val="0"/>
      <w:marRight w:val="0"/>
      <w:marTop w:val="0"/>
      <w:marBottom w:val="0"/>
      <w:divBdr>
        <w:top w:val="none" w:sz="0" w:space="0" w:color="auto"/>
        <w:left w:val="none" w:sz="0" w:space="0" w:color="auto"/>
        <w:bottom w:val="none" w:sz="0" w:space="0" w:color="auto"/>
        <w:right w:val="none" w:sz="0" w:space="0" w:color="auto"/>
      </w:divBdr>
    </w:div>
    <w:div w:id="770857063">
      <w:bodyDiv w:val="1"/>
      <w:marLeft w:val="0"/>
      <w:marRight w:val="0"/>
      <w:marTop w:val="0"/>
      <w:marBottom w:val="0"/>
      <w:divBdr>
        <w:top w:val="none" w:sz="0" w:space="0" w:color="auto"/>
        <w:left w:val="none" w:sz="0" w:space="0" w:color="auto"/>
        <w:bottom w:val="none" w:sz="0" w:space="0" w:color="auto"/>
        <w:right w:val="none" w:sz="0" w:space="0" w:color="auto"/>
      </w:divBdr>
    </w:div>
    <w:div w:id="772282818">
      <w:bodyDiv w:val="1"/>
      <w:marLeft w:val="0"/>
      <w:marRight w:val="0"/>
      <w:marTop w:val="0"/>
      <w:marBottom w:val="0"/>
      <w:divBdr>
        <w:top w:val="none" w:sz="0" w:space="0" w:color="auto"/>
        <w:left w:val="none" w:sz="0" w:space="0" w:color="auto"/>
        <w:bottom w:val="none" w:sz="0" w:space="0" w:color="auto"/>
        <w:right w:val="none" w:sz="0" w:space="0" w:color="auto"/>
      </w:divBdr>
    </w:div>
    <w:div w:id="784033600">
      <w:bodyDiv w:val="1"/>
      <w:marLeft w:val="0"/>
      <w:marRight w:val="0"/>
      <w:marTop w:val="0"/>
      <w:marBottom w:val="0"/>
      <w:divBdr>
        <w:top w:val="none" w:sz="0" w:space="0" w:color="auto"/>
        <w:left w:val="none" w:sz="0" w:space="0" w:color="auto"/>
        <w:bottom w:val="none" w:sz="0" w:space="0" w:color="auto"/>
        <w:right w:val="none" w:sz="0" w:space="0" w:color="auto"/>
      </w:divBdr>
    </w:div>
    <w:div w:id="798689452">
      <w:bodyDiv w:val="1"/>
      <w:marLeft w:val="0"/>
      <w:marRight w:val="0"/>
      <w:marTop w:val="0"/>
      <w:marBottom w:val="0"/>
      <w:divBdr>
        <w:top w:val="none" w:sz="0" w:space="0" w:color="auto"/>
        <w:left w:val="none" w:sz="0" w:space="0" w:color="auto"/>
        <w:bottom w:val="none" w:sz="0" w:space="0" w:color="auto"/>
        <w:right w:val="none" w:sz="0" w:space="0" w:color="auto"/>
      </w:divBdr>
      <w:divsChild>
        <w:div w:id="1273318176">
          <w:marLeft w:val="720"/>
          <w:marRight w:val="0"/>
          <w:marTop w:val="0"/>
          <w:marBottom w:val="256"/>
          <w:divBdr>
            <w:top w:val="none" w:sz="0" w:space="0" w:color="auto"/>
            <w:left w:val="none" w:sz="0" w:space="0" w:color="auto"/>
            <w:bottom w:val="none" w:sz="0" w:space="0" w:color="auto"/>
            <w:right w:val="none" w:sz="0" w:space="0" w:color="auto"/>
          </w:divBdr>
        </w:div>
      </w:divsChild>
    </w:div>
    <w:div w:id="836069748">
      <w:bodyDiv w:val="1"/>
      <w:marLeft w:val="0"/>
      <w:marRight w:val="0"/>
      <w:marTop w:val="0"/>
      <w:marBottom w:val="0"/>
      <w:divBdr>
        <w:top w:val="none" w:sz="0" w:space="0" w:color="auto"/>
        <w:left w:val="none" w:sz="0" w:space="0" w:color="auto"/>
        <w:bottom w:val="none" w:sz="0" w:space="0" w:color="auto"/>
        <w:right w:val="none" w:sz="0" w:space="0" w:color="auto"/>
      </w:divBdr>
    </w:div>
    <w:div w:id="867106865">
      <w:bodyDiv w:val="1"/>
      <w:marLeft w:val="0"/>
      <w:marRight w:val="0"/>
      <w:marTop w:val="0"/>
      <w:marBottom w:val="0"/>
      <w:divBdr>
        <w:top w:val="none" w:sz="0" w:space="0" w:color="auto"/>
        <w:left w:val="none" w:sz="0" w:space="0" w:color="auto"/>
        <w:bottom w:val="none" w:sz="0" w:space="0" w:color="auto"/>
        <w:right w:val="none" w:sz="0" w:space="0" w:color="auto"/>
      </w:divBdr>
    </w:div>
    <w:div w:id="871461546">
      <w:bodyDiv w:val="1"/>
      <w:marLeft w:val="0"/>
      <w:marRight w:val="0"/>
      <w:marTop w:val="0"/>
      <w:marBottom w:val="0"/>
      <w:divBdr>
        <w:top w:val="none" w:sz="0" w:space="0" w:color="auto"/>
        <w:left w:val="none" w:sz="0" w:space="0" w:color="auto"/>
        <w:bottom w:val="none" w:sz="0" w:space="0" w:color="auto"/>
        <w:right w:val="none" w:sz="0" w:space="0" w:color="auto"/>
      </w:divBdr>
    </w:div>
    <w:div w:id="908684970">
      <w:bodyDiv w:val="1"/>
      <w:marLeft w:val="0"/>
      <w:marRight w:val="0"/>
      <w:marTop w:val="0"/>
      <w:marBottom w:val="0"/>
      <w:divBdr>
        <w:top w:val="none" w:sz="0" w:space="0" w:color="auto"/>
        <w:left w:val="none" w:sz="0" w:space="0" w:color="auto"/>
        <w:bottom w:val="none" w:sz="0" w:space="0" w:color="auto"/>
        <w:right w:val="none" w:sz="0" w:space="0" w:color="auto"/>
      </w:divBdr>
    </w:div>
    <w:div w:id="919294825">
      <w:bodyDiv w:val="1"/>
      <w:marLeft w:val="0"/>
      <w:marRight w:val="0"/>
      <w:marTop w:val="0"/>
      <w:marBottom w:val="0"/>
      <w:divBdr>
        <w:top w:val="none" w:sz="0" w:space="0" w:color="auto"/>
        <w:left w:val="none" w:sz="0" w:space="0" w:color="auto"/>
        <w:bottom w:val="none" w:sz="0" w:space="0" w:color="auto"/>
        <w:right w:val="none" w:sz="0" w:space="0" w:color="auto"/>
      </w:divBdr>
    </w:div>
    <w:div w:id="922834420">
      <w:bodyDiv w:val="1"/>
      <w:marLeft w:val="0"/>
      <w:marRight w:val="0"/>
      <w:marTop w:val="0"/>
      <w:marBottom w:val="0"/>
      <w:divBdr>
        <w:top w:val="none" w:sz="0" w:space="0" w:color="auto"/>
        <w:left w:val="none" w:sz="0" w:space="0" w:color="auto"/>
        <w:bottom w:val="none" w:sz="0" w:space="0" w:color="auto"/>
        <w:right w:val="none" w:sz="0" w:space="0" w:color="auto"/>
      </w:divBdr>
    </w:div>
    <w:div w:id="926766030">
      <w:bodyDiv w:val="1"/>
      <w:marLeft w:val="0"/>
      <w:marRight w:val="0"/>
      <w:marTop w:val="0"/>
      <w:marBottom w:val="0"/>
      <w:divBdr>
        <w:top w:val="none" w:sz="0" w:space="0" w:color="auto"/>
        <w:left w:val="none" w:sz="0" w:space="0" w:color="auto"/>
        <w:bottom w:val="none" w:sz="0" w:space="0" w:color="auto"/>
        <w:right w:val="none" w:sz="0" w:space="0" w:color="auto"/>
      </w:divBdr>
    </w:div>
    <w:div w:id="989284910">
      <w:bodyDiv w:val="1"/>
      <w:marLeft w:val="0"/>
      <w:marRight w:val="0"/>
      <w:marTop w:val="0"/>
      <w:marBottom w:val="0"/>
      <w:divBdr>
        <w:top w:val="none" w:sz="0" w:space="0" w:color="auto"/>
        <w:left w:val="none" w:sz="0" w:space="0" w:color="auto"/>
        <w:bottom w:val="none" w:sz="0" w:space="0" w:color="auto"/>
        <w:right w:val="none" w:sz="0" w:space="0" w:color="auto"/>
      </w:divBdr>
    </w:div>
    <w:div w:id="1020813994">
      <w:bodyDiv w:val="1"/>
      <w:marLeft w:val="0"/>
      <w:marRight w:val="0"/>
      <w:marTop w:val="0"/>
      <w:marBottom w:val="0"/>
      <w:divBdr>
        <w:top w:val="none" w:sz="0" w:space="0" w:color="auto"/>
        <w:left w:val="none" w:sz="0" w:space="0" w:color="auto"/>
        <w:bottom w:val="none" w:sz="0" w:space="0" w:color="auto"/>
        <w:right w:val="none" w:sz="0" w:space="0" w:color="auto"/>
      </w:divBdr>
    </w:div>
    <w:div w:id="1032148243">
      <w:bodyDiv w:val="1"/>
      <w:marLeft w:val="0"/>
      <w:marRight w:val="0"/>
      <w:marTop w:val="0"/>
      <w:marBottom w:val="0"/>
      <w:divBdr>
        <w:top w:val="none" w:sz="0" w:space="0" w:color="auto"/>
        <w:left w:val="none" w:sz="0" w:space="0" w:color="auto"/>
        <w:bottom w:val="none" w:sz="0" w:space="0" w:color="auto"/>
        <w:right w:val="none" w:sz="0" w:space="0" w:color="auto"/>
      </w:divBdr>
    </w:div>
    <w:div w:id="1044910702">
      <w:bodyDiv w:val="1"/>
      <w:marLeft w:val="0"/>
      <w:marRight w:val="0"/>
      <w:marTop w:val="0"/>
      <w:marBottom w:val="0"/>
      <w:divBdr>
        <w:top w:val="none" w:sz="0" w:space="0" w:color="auto"/>
        <w:left w:val="none" w:sz="0" w:space="0" w:color="auto"/>
        <w:bottom w:val="none" w:sz="0" w:space="0" w:color="auto"/>
        <w:right w:val="none" w:sz="0" w:space="0" w:color="auto"/>
      </w:divBdr>
    </w:div>
    <w:div w:id="1062366853">
      <w:bodyDiv w:val="1"/>
      <w:marLeft w:val="0"/>
      <w:marRight w:val="0"/>
      <w:marTop w:val="0"/>
      <w:marBottom w:val="0"/>
      <w:divBdr>
        <w:top w:val="none" w:sz="0" w:space="0" w:color="auto"/>
        <w:left w:val="none" w:sz="0" w:space="0" w:color="auto"/>
        <w:bottom w:val="none" w:sz="0" w:space="0" w:color="auto"/>
        <w:right w:val="none" w:sz="0" w:space="0" w:color="auto"/>
      </w:divBdr>
    </w:div>
    <w:div w:id="1073427030">
      <w:bodyDiv w:val="1"/>
      <w:marLeft w:val="0"/>
      <w:marRight w:val="0"/>
      <w:marTop w:val="0"/>
      <w:marBottom w:val="0"/>
      <w:divBdr>
        <w:top w:val="none" w:sz="0" w:space="0" w:color="auto"/>
        <w:left w:val="none" w:sz="0" w:space="0" w:color="auto"/>
        <w:bottom w:val="none" w:sz="0" w:space="0" w:color="auto"/>
        <w:right w:val="none" w:sz="0" w:space="0" w:color="auto"/>
      </w:divBdr>
    </w:div>
    <w:div w:id="1086078597">
      <w:bodyDiv w:val="1"/>
      <w:marLeft w:val="0"/>
      <w:marRight w:val="0"/>
      <w:marTop w:val="0"/>
      <w:marBottom w:val="0"/>
      <w:divBdr>
        <w:top w:val="none" w:sz="0" w:space="0" w:color="auto"/>
        <w:left w:val="none" w:sz="0" w:space="0" w:color="auto"/>
        <w:bottom w:val="none" w:sz="0" w:space="0" w:color="auto"/>
        <w:right w:val="none" w:sz="0" w:space="0" w:color="auto"/>
      </w:divBdr>
    </w:div>
    <w:div w:id="1105228937">
      <w:bodyDiv w:val="1"/>
      <w:marLeft w:val="0"/>
      <w:marRight w:val="0"/>
      <w:marTop w:val="0"/>
      <w:marBottom w:val="0"/>
      <w:divBdr>
        <w:top w:val="none" w:sz="0" w:space="0" w:color="auto"/>
        <w:left w:val="none" w:sz="0" w:space="0" w:color="auto"/>
        <w:bottom w:val="none" w:sz="0" w:space="0" w:color="auto"/>
        <w:right w:val="none" w:sz="0" w:space="0" w:color="auto"/>
      </w:divBdr>
    </w:div>
    <w:div w:id="1127941000">
      <w:bodyDiv w:val="1"/>
      <w:marLeft w:val="0"/>
      <w:marRight w:val="0"/>
      <w:marTop w:val="0"/>
      <w:marBottom w:val="0"/>
      <w:divBdr>
        <w:top w:val="none" w:sz="0" w:space="0" w:color="auto"/>
        <w:left w:val="none" w:sz="0" w:space="0" w:color="auto"/>
        <w:bottom w:val="none" w:sz="0" w:space="0" w:color="auto"/>
        <w:right w:val="none" w:sz="0" w:space="0" w:color="auto"/>
      </w:divBdr>
    </w:div>
    <w:div w:id="1153258935">
      <w:bodyDiv w:val="1"/>
      <w:marLeft w:val="0"/>
      <w:marRight w:val="0"/>
      <w:marTop w:val="0"/>
      <w:marBottom w:val="0"/>
      <w:divBdr>
        <w:top w:val="none" w:sz="0" w:space="0" w:color="auto"/>
        <w:left w:val="none" w:sz="0" w:space="0" w:color="auto"/>
        <w:bottom w:val="none" w:sz="0" w:space="0" w:color="auto"/>
        <w:right w:val="none" w:sz="0" w:space="0" w:color="auto"/>
      </w:divBdr>
    </w:div>
    <w:div w:id="1177423776">
      <w:bodyDiv w:val="1"/>
      <w:marLeft w:val="0"/>
      <w:marRight w:val="0"/>
      <w:marTop w:val="0"/>
      <w:marBottom w:val="0"/>
      <w:divBdr>
        <w:top w:val="none" w:sz="0" w:space="0" w:color="auto"/>
        <w:left w:val="none" w:sz="0" w:space="0" w:color="auto"/>
        <w:bottom w:val="none" w:sz="0" w:space="0" w:color="auto"/>
        <w:right w:val="none" w:sz="0" w:space="0" w:color="auto"/>
      </w:divBdr>
    </w:div>
    <w:div w:id="1180582447">
      <w:bodyDiv w:val="1"/>
      <w:marLeft w:val="0"/>
      <w:marRight w:val="0"/>
      <w:marTop w:val="0"/>
      <w:marBottom w:val="0"/>
      <w:divBdr>
        <w:top w:val="none" w:sz="0" w:space="0" w:color="auto"/>
        <w:left w:val="none" w:sz="0" w:space="0" w:color="auto"/>
        <w:bottom w:val="none" w:sz="0" w:space="0" w:color="auto"/>
        <w:right w:val="none" w:sz="0" w:space="0" w:color="auto"/>
      </w:divBdr>
    </w:div>
    <w:div w:id="1198549236">
      <w:bodyDiv w:val="1"/>
      <w:marLeft w:val="0"/>
      <w:marRight w:val="0"/>
      <w:marTop w:val="0"/>
      <w:marBottom w:val="0"/>
      <w:divBdr>
        <w:top w:val="none" w:sz="0" w:space="0" w:color="auto"/>
        <w:left w:val="none" w:sz="0" w:space="0" w:color="auto"/>
        <w:bottom w:val="none" w:sz="0" w:space="0" w:color="auto"/>
        <w:right w:val="none" w:sz="0" w:space="0" w:color="auto"/>
      </w:divBdr>
    </w:div>
    <w:div w:id="1208765200">
      <w:bodyDiv w:val="1"/>
      <w:marLeft w:val="0"/>
      <w:marRight w:val="0"/>
      <w:marTop w:val="0"/>
      <w:marBottom w:val="0"/>
      <w:divBdr>
        <w:top w:val="none" w:sz="0" w:space="0" w:color="auto"/>
        <w:left w:val="none" w:sz="0" w:space="0" w:color="auto"/>
        <w:bottom w:val="none" w:sz="0" w:space="0" w:color="auto"/>
        <w:right w:val="none" w:sz="0" w:space="0" w:color="auto"/>
      </w:divBdr>
    </w:div>
    <w:div w:id="1223180738">
      <w:bodyDiv w:val="1"/>
      <w:marLeft w:val="0"/>
      <w:marRight w:val="0"/>
      <w:marTop w:val="0"/>
      <w:marBottom w:val="0"/>
      <w:divBdr>
        <w:top w:val="none" w:sz="0" w:space="0" w:color="auto"/>
        <w:left w:val="none" w:sz="0" w:space="0" w:color="auto"/>
        <w:bottom w:val="none" w:sz="0" w:space="0" w:color="auto"/>
        <w:right w:val="none" w:sz="0" w:space="0" w:color="auto"/>
      </w:divBdr>
    </w:div>
    <w:div w:id="1248078287">
      <w:bodyDiv w:val="1"/>
      <w:marLeft w:val="0"/>
      <w:marRight w:val="0"/>
      <w:marTop w:val="0"/>
      <w:marBottom w:val="0"/>
      <w:divBdr>
        <w:top w:val="none" w:sz="0" w:space="0" w:color="auto"/>
        <w:left w:val="none" w:sz="0" w:space="0" w:color="auto"/>
        <w:bottom w:val="none" w:sz="0" w:space="0" w:color="auto"/>
        <w:right w:val="none" w:sz="0" w:space="0" w:color="auto"/>
      </w:divBdr>
    </w:div>
    <w:div w:id="1269242968">
      <w:bodyDiv w:val="1"/>
      <w:marLeft w:val="0"/>
      <w:marRight w:val="0"/>
      <w:marTop w:val="0"/>
      <w:marBottom w:val="0"/>
      <w:divBdr>
        <w:top w:val="none" w:sz="0" w:space="0" w:color="auto"/>
        <w:left w:val="none" w:sz="0" w:space="0" w:color="auto"/>
        <w:bottom w:val="none" w:sz="0" w:space="0" w:color="auto"/>
        <w:right w:val="none" w:sz="0" w:space="0" w:color="auto"/>
      </w:divBdr>
    </w:div>
    <w:div w:id="1279409747">
      <w:bodyDiv w:val="1"/>
      <w:marLeft w:val="0"/>
      <w:marRight w:val="0"/>
      <w:marTop w:val="0"/>
      <w:marBottom w:val="0"/>
      <w:divBdr>
        <w:top w:val="none" w:sz="0" w:space="0" w:color="auto"/>
        <w:left w:val="none" w:sz="0" w:space="0" w:color="auto"/>
        <w:bottom w:val="none" w:sz="0" w:space="0" w:color="auto"/>
        <w:right w:val="none" w:sz="0" w:space="0" w:color="auto"/>
      </w:divBdr>
    </w:div>
    <w:div w:id="1285841899">
      <w:bodyDiv w:val="1"/>
      <w:marLeft w:val="0"/>
      <w:marRight w:val="0"/>
      <w:marTop w:val="0"/>
      <w:marBottom w:val="0"/>
      <w:divBdr>
        <w:top w:val="none" w:sz="0" w:space="0" w:color="auto"/>
        <w:left w:val="none" w:sz="0" w:space="0" w:color="auto"/>
        <w:bottom w:val="none" w:sz="0" w:space="0" w:color="auto"/>
        <w:right w:val="none" w:sz="0" w:space="0" w:color="auto"/>
      </w:divBdr>
    </w:div>
    <w:div w:id="1290815429">
      <w:bodyDiv w:val="1"/>
      <w:marLeft w:val="0"/>
      <w:marRight w:val="0"/>
      <w:marTop w:val="0"/>
      <w:marBottom w:val="0"/>
      <w:divBdr>
        <w:top w:val="none" w:sz="0" w:space="0" w:color="auto"/>
        <w:left w:val="none" w:sz="0" w:space="0" w:color="auto"/>
        <w:bottom w:val="none" w:sz="0" w:space="0" w:color="auto"/>
        <w:right w:val="none" w:sz="0" w:space="0" w:color="auto"/>
      </w:divBdr>
    </w:div>
    <w:div w:id="1325091006">
      <w:bodyDiv w:val="1"/>
      <w:marLeft w:val="0"/>
      <w:marRight w:val="0"/>
      <w:marTop w:val="0"/>
      <w:marBottom w:val="0"/>
      <w:divBdr>
        <w:top w:val="none" w:sz="0" w:space="0" w:color="auto"/>
        <w:left w:val="none" w:sz="0" w:space="0" w:color="auto"/>
        <w:bottom w:val="none" w:sz="0" w:space="0" w:color="auto"/>
        <w:right w:val="none" w:sz="0" w:space="0" w:color="auto"/>
      </w:divBdr>
    </w:div>
    <w:div w:id="1348870191">
      <w:bodyDiv w:val="1"/>
      <w:marLeft w:val="0"/>
      <w:marRight w:val="0"/>
      <w:marTop w:val="0"/>
      <w:marBottom w:val="0"/>
      <w:divBdr>
        <w:top w:val="none" w:sz="0" w:space="0" w:color="auto"/>
        <w:left w:val="none" w:sz="0" w:space="0" w:color="auto"/>
        <w:bottom w:val="none" w:sz="0" w:space="0" w:color="auto"/>
        <w:right w:val="none" w:sz="0" w:space="0" w:color="auto"/>
      </w:divBdr>
    </w:div>
    <w:div w:id="1358583784">
      <w:bodyDiv w:val="1"/>
      <w:marLeft w:val="0"/>
      <w:marRight w:val="0"/>
      <w:marTop w:val="0"/>
      <w:marBottom w:val="0"/>
      <w:divBdr>
        <w:top w:val="none" w:sz="0" w:space="0" w:color="auto"/>
        <w:left w:val="none" w:sz="0" w:space="0" w:color="auto"/>
        <w:bottom w:val="none" w:sz="0" w:space="0" w:color="auto"/>
        <w:right w:val="none" w:sz="0" w:space="0" w:color="auto"/>
      </w:divBdr>
    </w:div>
    <w:div w:id="1366056309">
      <w:bodyDiv w:val="1"/>
      <w:marLeft w:val="0"/>
      <w:marRight w:val="0"/>
      <w:marTop w:val="0"/>
      <w:marBottom w:val="0"/>
      <w:divBdr>
        <w:top w:val="none" w:sz="0" w:space="0" w:color="auto"/>
        <w:left w:val="none" w:sz="0" w:space="0" w:color="auto"/>
        <w:bottom w:val="none" w:sz="0" w:space="0" w:color="auto"/>
        <w:right w:val="none" w:sz="0" w:space="0" w:color="auto"/>
      </w:divBdr>
    </w:div>
    <w:div w:id="1366178643">
      <w:bodyDiv w:val="1"/>
      <w:marLeft w:val="0"/>
      <w:marRight w:val="0"/>
      <w:marTop w:val="0"/>
      <w:marBottom w:val="0"/>
      <w:divBdr>
        <w:top w:val="none" w:sz="0" w:space="0" w:color="auto"/>
        <w:left w:val="none" w:sz="0" w:space="0" w:color="auto"/>
        <w:bottom w:val="none" w:sz="0" w:space="0" w:color="auto"/>
        <w:right w:val="none" w:sz="0" w:space="0" w:color="auto"/>
      </w:divBdr>
    </w:div>
    <w:div w:id="1376395966">
      <w:bodyDiv w:val="1"/>
      <w:marLeft w:val="0"/>
      <w:marRight w:val="0"/>
      <w:marTop w:val="0"/>
      <w:marBottom w:val="0"/>
      <w:divBdr>
        <w:top w:val="none" w:sz="0" w:space="0" w:color="auto"/>
        <w:left w:val="none" w:sz="0" w:space="0" w:color="auto"/>
        <w:bottom w:val="none" w:sz="0" w:space="0" w:color="auto"/>
        <w:right w:val="none" w:sz="0" w:space="0" w:color="auto"/>
      </w:divBdr>
    </w:div>
    <w:div w:id="1412703923">
      <w:bodyDiv w:val="1"/>
      <w:marLeft w:val="0"/>
      <w:marRight w:val="0"/>
      <w:marTop w:val="0"/>
      <w:marBottom w:val="0"/>
      <w:divBdr>
        <w:top w:val="none" w:sz="0" w:space="0" w:color="auto"/>
        <w:left w:val="none" w:sz="0" w:space="0" w:color="auto"/>
        <w:bottom w:val="none" w:sz="0" w:space="0" w:color="auto"/>
        <w:right w:val="none" w:sz="0" w:space="0" w:color="auto"/>
      </w:divBdr>
    </w:div>
    <w:div w:id="1421752991">
      <w:bodyDiv w:val="1"/>
      <w:marLeft w:val="0"/>
      <w:marRight w:val="0"/>
      <w:marTop w:val="0"/>
      <w:marBottom w:val="0"/>
      <w:divBdr>
        <w:top w:val="none" w:sz="0" w:space="0" w:color="auto"/>
        <w:left w:val="none" w:sz="0" w:space="0" w:color="auto"/>
        <w:bottom w:val="none" w:sz="0" w:space="0" w:color="auto"/>
        <w:right w:val="none" w:sz="0" w:space="0" w:color="auto"/>
      </w:divBdr>
    </w:div>
    <w:div w:id="1432313879">
      <w:bodyDiv w:val="1"/>
      <w:marLeft w:val="0"/>
      <w:marRight w:val="0"/>
      <w:marTop w:val="0"/>
      <w:marBottom w:val="0"/>
      <w:divBdr>
        <w:top w:val="none" w:sz="0" w:space="0" w:color="auto"/>
        <w:left w:val="none" w:sz="0" w:space="0" w:color="auto"/>
        <w:bottom w:val="none" w:sz="0" w:space="0" w:color="auto"/>
        <w:right w:val="none" w:sz="0" w:space="0" w:color="auto"/>
      </w:divBdr>
    </w:div>
    <w:div w:id="1452627921">
      <w:bodyDiv w:val="1"/>
      <w:marLeft w:val="0"/>
      <w:marRight w:val="0"/>
      <w:marTop w:val="0"/>
      <w:marBottom w:val="0"/>
      <w:divBdr>
        <w:top w:val="none" w:sz="0" w:space="0" w:color="auto"/>
        <w:left w:val="none" w:sz="0" w:space="0" w:color="auto"/>
        <w:bottom w:val="none" w:sz="0" w:space="0" w:color="auto"/>
        <w:right w:val="none" w:sz="0" w:space="0" w:color="auto"/>
      </w:divBdr>
    </w:div>
    <w:div w:id="1467819849">
      <w:bodyDiv w:val="1"/>
      <w:marLeft w:val="0"/>
      <w:marRight w:val="0"/>
      <w:marTop w:val="0"/>
      <w:marBottom w:val="0"/>
      <w:divBdr>
        <w:top w:val="none" w:sz="0" w:space="0" w:color="auto"/>
        <w:left w:val="none" w:sz="0" w:space="0" w:color="auto"/>
        <w:bottom w:val="none" w:sz="0" w:space="0" w:color="auto"/>
        <w:right w:val="none" w:sz="0" w:space="0" w:color="auto"/>
      </w:divBdr>
    </w:div>
    <w:div w:id="1474061895">
      <w:bodyDiv w:val="1"/>
      <w:marLeft w:val="0"/>
      <w:marRight w:val="0"/>
      <w:marTop w:val="0"/>
      <w:marBottom w:val="0"/>
      <w:divBdr>
        <w:top w:val="none" w:sz="0" w:space="0" w:color="auto"/>
        <w:left w:val="none" w:sz="0" w:space="0" w:color="auto"/>
        <w:bottom w:val="none" w:sz="0" w:space="0" w:color="auto"/>
        <w:right w:val="none" w:sz="0" w:space="0" w:color="auto"/>
      </w:divBdr>
    </w:div>
    <w:div w:id="1477604259">
      <w:bodyDiv w:val="1"/>
      <w:marLeft w:val="0"/>
      <w:marRight w:val="0"/>
      <w:marTop w:val="0"/>
      <w:marBottom w:val="0"/>
      <w:divBdr>
        <w:top w:val="none" w:sz="0" w:space="0" w:color="auto"/>
        <w:left w:val="none" w:sz="0" w:space="0" w:color="auto"/>
        <w:bottom w:val="none" w:sz="0" w:space="0" w:color="auto"/>
        <w:right w:val="none" w:sz="0" w:space="0" w:color="auto"/>
      </w:divBdr>
    </w:div>
    <w:div w:id="1498110649">
      <w:bodyDiv w:val="1"/>
      <w:marLeft w:val="0"/>
      <w:marRight w:val="0"/>
      <w:marTop w:val="0"/>
      <w:marBottom w:val="0"/>
      <w:divBdr>
        <w:top w:val="none" w:sz="0" w:space="0" w:color="auto"/>
        <w:left w:val="none" w:sz="0" w:space="0" w:color="auto"/>
        <w:bottom w:val="none" w:sz="0" w:space="0" w:color="auto"/>
        <w:right w:val="none" w:sz="0" w:space="0" w:color="auto"/>
      </w:divBdr>
      <w:divsChild>
        <w:div w:id="1564438894">
          <w:marLeft w:val="0"/>
          <w:marRight w:val="0"/>
          <w:marTop w:val="0"/>
          <w:marBottom w:val="600"/>
          <w:divBdr>
            <w:top w:val="none" w:sz="0" w:space="0" w:color="auto"/>
            <w:left w:val="none" w:sz="0" w:space="0" w:color="auto"/>
            <w:bottom w:val="none" w:sz="0" w:space="0" w:color="auto"/>
            <w:right w:val="none" w:sz="0" w:space="0" w:color="auto"/>
          </w:divBdr>
        </w:div>
        <w:div w:id="1695842165">
          <w:marLeft w:val="0"/>
          <w:marRight w:val="0"/>
          <w:marTop w:val="0"/>
          <w:marBottom w:val="600"/>
          <w:divBdr>
            <w:top w:val="none" w:sz="0" w:space="0" w:color="auto"/>
            <w:left w:val="none" w:sz="0" w:space="0" w:color="auto"/>
            <w:bottom w:val="none" w:sz="0" w:space="0" w:color="auto"/>
            <w:right w:val="none" w:sz="0" w:space="0" w:color="auto"/>
          </w:divBdr>
          <w:divsChild>
            <w:div w:id="6294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9253">
      <w:bodyDiv w:val="1"/>
      <w:marLeft w:val="0"/>
      <w:marRight w:val="0"/>
      <w:marTop w:val="0"/>
      <w:marBottom w:val="0"/>
      <w:divBdr>
        <w:top w:val="none" w:sz="0" w:space="0" w:color="auto"/>
        <w:left w:val="none" w:sz="0" w:space="0" w:color="auto"/>
        <w:bottom w:val="none" w:sz="0" w:space="0" w:color="auto"/>
        <w:right w:val="none" w:sz="0" w:space="0" w:color="auto"/>
      </w:divBdr>
      <w:divsChild>
        <w:div w:id="218831095">
          <w:marLeft w:val="0"/>
          <w:marRight w:val="0"/>
          <w:marTop w:val="0"/>
          <w:marBottom w:val="600"/>
          <w:divBdr>
            <w:top w:val="none" w:sz="0" w:space="0" w:color="auto"/>
            <w:left w:val="none" w:sz="0" w:space="0" w:color="auto"/>
            <w:bottom w:val="none" w:sz="0" w:space="0" w:color="auto"/>
            <w:right w:val="none" w:sz="0" w:space="0" w:color="auto"/>
          </w:divBdr>
          <w:divsChild>
            <w:div w:id="1535926633">
              <w:marLeft w:val="0"/>
              <w:marRight w:val="0"/>
              <w:marTop w:val="0"/>
              <w:marBottom w:val="0"/>
              <w:divBdr>
                <w:top w:val="none" w:sz="0" w:space="0" w:color="auto"/>
                <w:left w:val="none" w:sz="0" w:space="0" w:color="auto"/>
                <w:bottom w:val="none" w:sz="0" w:space="0" w:color="auto"/>
                <w:right w:val="none" w:sz="0" w:space="0" w:color="auto"/>
              </w:divBdr>
            </w:div>
          </w:divsChild>
        </w:div>
        <w:div w:id="1477725892">
          <w:marLeft w:val="0"/>
          <w:marRight w:val="0"/>
          <w:marTop w:val="0"/>
          <w:marBottom w:val="600"/>
          <w:divBdr>
            <w:top w:val="none" w:sz="0" w:space="0" w:color="auto"/>
            <w:left w:val="none" w:sz="0" w:space="0" w:color="auto"/>
            <w:bottom w:val="none" w:sz="0" w:space="0" w:color="auto"/>
            <w:right w:val="none" w:sz="0" w:space="0" w:color="auto"/>
          </w:divBdr>
        </w:div>
      </w:divsChild>
    </w:div>
    <w:div w:id="1533572285">
      <w:bodyDiv w:val="1"/>
      <w:marLeft w:val="0"/>
      <w:marRight w:val="0"/>
      <w:marTop w:val="0"/>
      <w:marBottom w:val="0"/>
      <w:divBdr>
        <w:top w:val="none" w:sz="0" w:space="0" w:color="auto"/>
        <w:left w:val="none" w:sz="0" w:space="0" w:color="auto"/>
        <w:bottom w:val="none" w:sz="0" w:space="0" w:color="auto"/>
        <w:right w:val="none" w:sz="0" w:space="0" w:color="auto"/>
      </w:divBdr>
    </w:div>
    <w:div w:id="1534346511">
      <w:bodyDiv w:val="1"/>
      <w:marLeft w:val="0"/>
      <w:marRight w:val="0"/>
      <w:marTop w:val="0"/>
      <w:marBottom w:val="0"/>
      <w:divBdr>
        <w:top w:val="none" w:sz="0" w:space="0" w:color="auto"/>
        <w:left w:val="none" w:sz="0" w:space="0" w:color="auto"/>
        <w:bottom w:val="none" w:sz="0" w:space="0" w:color="auto"/>
        <w:right w:val="none" w:sz="0" w:space="0" w:color="auto"/>
      </w:divBdr>
    </w:div>
    <w:div w:id="1561867321">
      <w:bodyDiv w:val="1"/>
      <w:marLeft w:val="0"/>
      <w:marRight w:val="0"/>
      <w:marTop w:val="0"/>
      <w:marBottom w:val="0"/>
      <w:divBdr>
        <w:top w:val="none" w:sz="0" w:space="0" w:color="auto"/>
        <w:left w:val="none" w:sz="0" w:space="0" w:color="auto"/>
        <w:bottom w:val="none" w:sz="0" w:space="0" w:color="auto"/>
        <w:right w:val="none" w:sz="0" w:space="0" w:color="auto"/>
      </w:divBdr>
    </w:div>
    <w:div w:id="1617954124">
      <w:bodyDiv w:val="1"/>
      <w:marLeft w:val="0"/>
      <w:marRight w:val="0"/>
      <w:marTop w:val="0"/>
      <w:marBottom w:val="0"/>
      <w:divBdr>
        <w:top w:val="none" w:sz="0" w:space="0" w:color="auto"/>
        <w:left w:val="none" w:sz="0" w:space="0" w:color="auto"/>
        <w:bottom w:val="none" w:sz="0" w:space="0" w:color="auto"/>
        <w:right w:val="none" w:sz="0" w:space="0" w:color="auto"/>
      </w:divBdr>
    </w:div>
    <w:div w:id="1625384158">
      <w:bodyDiv w:val="1"/>
      <w:marLeft w:val="0"/>
      <w:marRight w:val="0"/>
      <w:marTop w:val="0"/>
      <w:marBottom w:val="0"/>
      <w:divBdr>
        <w:top w:val="none" w:sz="0" w:space="0" w:color="auto"/>
        <w:left w:val="none" w:sz="0" w:space="0" w:color="auto"/>
        <w:bottom w:val="none" w:sz="0" w:space="0" w:color="auto"/>
        <w:right w:val="none" w:sz="0" w:space="0" w:color="auto"/>
      </w:divBdr>
    </w:div>
    <w:div w:id="1630017131">
      <w:bodyDiv w:val="1"/>
      <w:marLeft w:val="0"/>
      <w:marRight w:val="0"/>
      <w:marTop w:val="0"/>
      <w:marBottom w:val="0"/>
      <w:divBdr>
        <w:top w:val="none" w:sz="0" w:space="0" w:color="auto"/>
        <w:left w:val="none" w:sz="0" w:space="0" w:color="auto"/>
        <w:bottom w:val="none" w:sz="0" w:space="0" w:color="auto"/>
        <w:right w:val="none" w:sz="0" w:space="0" w:color="auto"/>
      </w:divBdr>
    </w:div>
    <w:div w:id="1636182778">
      <w:bodyDiv w:val="1"/>
      <w:marLeft w:val="0"/>
      <w:marRight w:val="0"/>
      <w:marTop w:val="0"/>
      <w:marBottom w:val="0"/>
      <w:divBdr>
        <w:top w:val="none" w:sz="0" w:space="0" w:color="auto"/>
        <w:left w:val="none" w:sz="0" w:space="0" w:color="auto"/>
        <w:bottom w:val="none" w:sz="0" w:space="0" w:color="auto"/>
        <w:right w:val="none" w:sz="0" w:space="0" w:color="auto"/>
      </w:divBdr>
    </w:div>
    <w:div w:id="1641112993">
      <w:bodyDiv w:val="1"/>
      <w:marLeft w:val="0"/>
      <w:marRight w:val="0"/>
      <w:marTop w:val="0"/>
      <w:marBottom w:val="0"/>
      <w:divBdr>
        <w:top w:val="none" w:sz="0" w:space="0" w:color="auto"/>
        <w:left w:val="none" w:sz="0" w:space="0" w:color="auto"/>
        <w:bottom w:val="none" w:sz="0" w:space="0" w:color="auto"/>
        <w:right w:val="none" w:sz="0" w:space="0" w:color="auto"/>
      </w:divBdr>
    </w:div>
    <w:div w:id="1680889534">
      <w:bodyDiv w:val="1"/>
      <w:marLeft w:val="0"/>
      <w:marRight w:val="0"/>
      <w:marTop w:val="0"/>
      <w:marBottom w:val="0"/>
      <w:divBdr>
        <w:top w:val="none" w:sz="0" w:space="0" w:color="auto"/>
        <w:left w:val="none" w:sz="0" w:space="0" w:color="auto"/>
        <w:bottom w:val="none" w:sz="0" w:space="0" w:color="auto"/>
        <w:right w:val="none" w:sz="0" w:space="0" w:color="auto"/>
      </w:divBdr>
      <w:divsChild>
        <w:div w:id="765614312">
          <w:marLeft w:val="0"/>
          <w:marRight w:val="0"/>
          <w:marTop w:val="0"/>
          <w:marBottom w:val="0"/>
          <w:divBdr>
            <w:top w:val="none" w:sz="0" w:space="0" w:color="auto"/>
            <w:left w:val="none" w:sz="0" w:space="0" w:color="auto"/>
            <w:bottom w:val="none" w:sz="0" w:space="0" w:color="auto"/>
            <w:right w:val="none" w:sz="0" w:space="0" w:color="auto"/>
          </w:divBdr>
          <w:divsChild>
            <w:div w:id="1054307268">
              <w:marLeft w:val="0"/>
              <w:marRight w:val="0"/>
              <w:marTop w:val="0"/>
              <w:marBottom w:val="0"/>
              <w:divBdr>
                <w:top w:val="none" w:sz="0" w:space="0" w:color="auto"/>
                <w:left w:val="none" w:sz="0" w:space="0" w:color="auto"/>
                <w:bottom w:val="none" w:sz="0" w:space="0" w:color="auto"/>
                <w:right w:val="none" w:sz="0" w:space="0" w:color="auto"/>
              </w:divBdr>
            </w:div>
            <w:div w:id="11714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0790">
      <w:bodyDiv w:val="1"/>
      <w:marLeft w:val="0"/>
      <w:marRight w:val="0"/>
      <w:marTop w:val="0"/>
      <w:marBottom w:val="0"/>
      <w:divBdr>
        <w:top w:val="none" w:sz="0" w:space="0" w:color="auto"/>
        <w:left w:val="none" w:sz="0" w:space="0" w:color="auto"/>
        <w:bottom w:val="none" w:sz="0" w:space="0" w:color="auto"/>
        <w:right w:val="none" w:sz="0" w:space="0" w:color="auto"/>
      </w:divBdr>
    </w:div>
    <w:div w:id="1767843324">
      <w:bodyDiv w:val="1"/>
      <w:marLeft w:val="0"/>
      <w:marRight w:val="0"/>
      <w:marTop w:val="0"/>
      <w:marBottom w:val="0"/>
      <w:divBdr>
        <w:top w:val="none" w:sz="0" w:space="0" w:color="auto"/>
        <w:left w:val="none" w:sz="0" w:space="0" w:color="auto"/>
        <w:bottom w:val="none" w:sz="0" w:space="0" w:color="auto"/>
        <w:right w:val="none" w:sz="0" w:space="0" w:color="auto"/>
      </w:divBdr>
    </w:div>
    <w:div w:id="1771269920">
      <w:bodyDiv w:val="1"/>
      <w:marLeft w:val="0"/>
      <w:marRight w:val="0"/>
      <w:marTop w:val="0"/>
      <w:marBottom w:val="0"/>
      <w:divBdr>
        <w:top w:val="none" w:sz="0" w:space="0" w:color="auto"/>
        <w:left w:val="none" w:sz="0" w:space="0" w:color="auto"/>
        <w:bottom w:val="none" w:sz="0" w:space="0" w:color="auto"/>
        <w:right w:val="none" w:sz="0" w:space="0" w:color="auto"/>
      </w:divBdr>
    </w:div>
    <w:div w:id="1776553578">
      <w:bodyDiv w:val="1"/>
      <w:marLeft w:val="0"/>
      <w:marRight w:val="0"/>
      <w:marTop w:val="0"/>
      <w:marBottom w:val="0"/>
      <w:divBdr>
        <w:top w:val="none" w:sz="0" w:space="0" w:color="auto"/>
        <w:left w:val="none" w:sz="0" w:space="0" w:color="auto"/>
        <w:bottom w:val="none" w:sz="0" w:space="0" w:color="auto"/>
        <w:right w:val="none" w:sz="0" w:space="0" w:color="auto"/>
      </w:divBdr>
    </w:div>
    <w:div w:id="1790585576">
      <w:bodyDiv w:val="1"/>
      <w:marLeft w:val="0"/>
      <w:marRight w:val="0"/>
      <w:marTop w:val="0"/>
      <w:marBottom w:val="0"/>
      <w:divBdr>
        <w:top w:val="none" w:sz="0" w:space="0" w:color="auto"/>
        <w:left w:val="none" w:sz="0" w:space="0" w:color="auto"/>
        <w:bottom w:val="none" w:sz="0" w:space="0" w:color="auto"/>
        <w:right w:val="none" w:sz="0" w:space="0" w:color="auto"/>
      </w:divBdr>
    </w:div>
    <w:div w:id="1807383869">
      <w:bodyDiv w:val="1"/>
      <w:marLeft w:val="0"/>
      <w:marRight w:val="0"/>
      <w:marTop w:val="0"/>
      <w:marBottom w:val="0"/>
      <w:divBdr>
        <w:top w:val="none" w:sz="0" w:space="0" w:color="auto"/>
        <w:left w:val="none" w:sz="0" w:space="0" w:color="auto"/>
        <w:bottom w:val="none" w:sz="0" w:space="0" w:color="auto"/>
        <w:right w:val="none" w:sz="0" w:space="0" w:color="auto"/>
      </w:divBdr>
    </w:div>
    <w:div w:id="1844197195">
      <w:bodyDiv w:val="1"/>
      <w:marLeft w:val="0"/>
      <w:marRight w:val="0"/>
      <w:marTop w:val="0"/>
      <w:marBottom w:val="0"/>
      <w:divBdr>
        <w:top w:val="none" w:sz="0" w:space="0" w:color="auto"/>
        <w:left w:val="none" w:sz="0" w:space="0" w:color="auto"/>
        <w:bottom w:val="none" w:sz="0" w:space="0" w:color="auto"/>
        <w:right w:val="none" w:sz="0" w:space="0" w:color="auto"/>
      </w:divBdr>
    </w:div>
    <w:div w:id="1879731973">
      <w:bodyDiv w:val="1"/>
      <w:marLeft w:val="0"/>
      <w:marRight w:val="0"/>
      <w:marTop w:val="0"/>
      <w:marBottom w:val="0"/>
      <w:divBdr>
        <w:top w:val="none" w:sz="0" w:space="0" w:color="auto"/>
        <w:left w:val="none" w:sz="0" w:space="0" w:color="auto"/>
        <w:bottom w:val="none" w:sz="0" w:space="0" w:color="auto"/>
        <w:right w:val="none" w:sz="0" w:space="0" w:color="auto"/>
      </w:divBdr>
    </w:div>
    <w:div w:id="1890873206">
      <w:bodyDiv w:val="1"/>
      <w:marLeft w:val="0"/>
      <w:marRight w:val="0"/>
      <w:marTop w:val="0"/>
      <w:marBottom w:val="0"/>
      <w:divBdr>
        <w:top w:val="none" w:sz="0" w:space="0" w:color="auto"/>
        <w:left w:val="none" w:sz="0" w:space="0" w:color="auto"/>
        <w:bottom w:val="none" w:sz="0" w:space="0" w:color="auto"/>
        <w:right w:val="none" w:sz="0" w:space="0" w:color="auto"/>
      </w:divBdr>
    </w:div>
    <w:div w:id="1970435680">
      <w:bodyDiv w:val="1"/>
      <w:marLeft w:val="0"/>
      <w:marRight w:val="0"/>
      <w:marTop w:val="0"/>
      <w:marBottom w:val="0"/>
      <w:divBdr>
        <w:top w:val="none" w:sz="0" w:space="0" w:color="auto"/>
        <w:left w:val="none" w:sz="0" w:space="0" w:color="auto"/>
        <w:bottom w:val="none" w:sz="0" w:space="0" w:color="auto"/>
        <w:right w:val="none" w:sz="0" w:space="0" w:color="auto"/>
      </w:divBdr>
    </w:div>
    <w:div w:id="1976910066">
      <w:bodyDiv w:val="1"/>
      <w:marLeft w:val="0"/>
      <w:marRight w:val="0"/>
      <w:marTop w:val="0"/>
      <w:marBottom w:val="0"/>
      <w:divBdr>
        <w:top w:val="none" w:sz="0" w:space="0" w:color="auto"/>
        <w:left w:val="none" w:sz="0" w:space="0" w:color="auto"/>
        <w:bottom w:val="none" w:sz="0" w:space="0" w:color="auto"/>
        <w:right w:val="none" w:sz="0" w:space="0" w:color="auto"/>
      </w:divBdr>
    </w:div>
    <w:div w:id="1987778131">
      <w:bodyDiv w:val="1"/>
      <w:marLeft w:val="0"/>
      <w:marRight w:val="0"/>
      <w:marTop w:val="0"/>
      <w:marBottom w:val="0"/>
      <w:divBdr>
        <w:top w:val="none" w:sz="0" w:space="0" w:color="auto"/>
        <w:left w:val="none" w:sz="0" w:space="0" w:color="auto"/>
        <w:bottom w:val="none" w:sz="0" w:space="0" w:color="auto"/>
        <w:right w:val="none" w:sz="0" w:space="0" w:color="auto"/>
      </w:divBdr>
    </w:div>
    <w:div w:id="1997300348">
      <w:bodyDiv w:val="1"/>
      <w:marLeft w:val="0"/>
      <w:marRight w:val="0"/>
      <w:marTop w:val="0"/>
      <w:marBottom w:val="0"/>
      <w:divBdr>
        <w:top w:val="none" w:sz="0" w:space="0" w:color="auto"/>
        <w:left w:val="none" w:sz="0" w:space="0" w:color="auto"/>
        <w:bottom w:val="none" w:sz="0" w:space="0" w:color="auto"/>
        <w:right w:val="none" w:sz="0" w:space="0" w:color="auto"/>
      </w:divBdr>
    </w:div>
    <w:div w:id="2007858129">
      <w:bodyDiv w:val="1"/>
      <w:marLeft w:val="0"/>
      <w:marRight w:val="0"/>
      <w:marTop w:val="0"/>
      <w:marBottom w:val="0"/>
      <w:divBdr>
        <w:top w:val="none" w:sz="0" w:space="0" w:color="auto"/>
        <w:left w:val="none" w:sz="0" w:space="0" w:color="auto"/>
        <w:bottom w:val="none" w:sz="0" w:space="0" w:color="auto"/>
        <w:right w:val="none" w:sz="0" w:space="0" w:color="auto"/>
      </w:divBdr>
    </w:div>
    <w:div w:id="2053995345">
      <w:bodyDiv w:val="1"/>
      <w:marLeft w:val="0"/>
      <w:marRight w:val="0"/>
      <w:marTop w:val="0"/>
      <w:marBottom w:val="0"/>
      <w:divBdr>
        <w:top w:val="none" w:sz="0" w:space="0" w:color="auto"/>
        <w:left w:val="none" w:sz="0" w:space="0" w:color="auto"/>
        <w:bottom w:val="none" w:sz="0" w:space="0" w:color="auto"/>
        <w:right w:val="none" w:sz="0" w:space="0" w:color="auto"/>
      </w:divBdr>
    </w:div>
    <w:div w:id="2087071758">
      <w:bodyDiv w:val="1"/>
      <w:marLeft w:val="0"/>
      <w:marRight w:val="0"/>
      <w:marTop w:val="0"/>
      <w:marBottom w:val="0"/>
      <w:divBdr>
        <w:top w:val="none" w:sz="0" w:space="0" w:color="auto"/>
        <w:left w:val="none" w:sz="0" w:space="0" w:color="auto"/>
        <w:bottom w:val="none" w:sz="0" w:space="0" w:color="auto"/>
        <w:right w:val="none" w:sz="0" w:space="0" w:color="auto"/>
      </w:divBdr>
    </w:div>
    <w:div w:id="2092657879">
      <w:bodyDiv w:val="1"/>
      <w:marLeft w:val="0"/>
      <w:marRight w:val="0"/>
      <w:marTop w:val="0"/>
      <w:marBottom w:val="0"/>
      <w:divBdr>
        <w:top w:val="none" w:sz="0" w:space="0" w:color="auto"/>
        <w:left w:val="none" w:sz="0" w:space="0" w:color="auto"/>
        <w:bottom w:val="none" w:sz="0" w:space="0" w:color="auto"/>
        <w:right w:val="none" w:sz="0" w:space="0" w:color="auto"/>
      </w:divBdr>
    </w:div>
    <w:div w:id="2101872619">
      <w:bodyDiv w:val="1"/>
      <w:marLeft w:val="0"/>
      <w:marRight w:val="0"/>
      <w:marTop w:val="0"/>
      <w:marBottom w:val="0"/>
      <w:divBdr>
        <w:top w:val="none" w:sz="0" w:space="0" w:color="auto"/>
        <w:left w:val="none" w:sz="0" w:space="0" w:color="auto"/>
        <w:bottom w:val="none" w:sz="0" w:space="0" w:color="auto"/>
        <w:right w:val="none" w:sz="0" w:space="0" w:color="auto"/>
      </w:divBdr>
    </w:div>
    <w:div w:id="2104762758">
      <w:bodyDiv w:val="1"/>
      <w:marLeft w:val="0"/>
      <w:marRight w:val="0"/>
      <w:marTop w:val="0"/>
      <w:marBottom w:val="0"/>
      <w:divBdr>
        <w:top w:val="none" w:sz="0" w:space="0" w:color="auto"/>
        <w:left w:val="none" w:sz="0" w:space="0" w:color="auto"/>
        <w:bottom w:val="none" w:sz="0" w:space="0" w:color="auto"/>
        <w:right w:val="none" w:sz="0" w:space="0" w:color="auto"/>
      </w:divBdr>
    </w:div>
    <w:div w:id="2110076314">
      <w:bodyDiv w:val="1"/>
      <w:marLeft w:val="0"/>
      <w:marRight w:val="0"/>
      <w:marTop w:val="0"/>
      <w:marBottom w:val="0"/>
      <w:divBdr>
        <w:top w:val="none" w:sz="0" w:space="0" w:color="auto"/>
        <w:left w:val="none" w:sz="0" w:space="0" w:color="auto"/>
        <w:bottom w:val="none" w:sz="0" w:space="0" w:color="auto"/>
        <w:right w:val="none" w:sz="0" w:space="0" w:color="auto"/>
      </w:divBdr>
    </w:div>
    <w:div w:id="2115123943">
      <w:bodyDiv w:val="1"/>
      <w:marLeft w:val="0"/>
      <w:marRight w:val="0"/>
      <w:marTop w:val="0"/>
      <w:marBottom w:val="0"/>
      <w:divBdr>
        <w:top w:val="none" w:sz="0" w:space="0" w:color="auto"/>
        <w:left w:val="none" w:sz="0" w:space="0" w:color="auto"/>
        <w:bottom w:val="none" w:sz="0" w:space="0" w:color="auto"/>
        <w:right w:val="none" w:sz="0" w:space="0" w:color="auto"/>
      </w:divBdr>
    </w:div>
    <w:div w:id="2138790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ternational-aluminium.org/statistics)" TargetMode="External"/><Relationship Id="rId18" Type="http://schemas.openxmlformats.org/officeDocument/2006/relationships/chart" Target="charts/chart6.xml"/><Relationship Id="rId26" Type="http://schemas.openxmlformats.org/officeDocument/2006/relationships/image" Target="media/image7.png"/><Relationship Id="rId39" Type="http://schemas.openxmlformats.org/officeDocument/2006/relationships/hyperlink" Target="http://www.euromines.org/files/publications/harmonization-lca-methodologies-metals.pdf" TargetMode="External"/><Relationship Id="rId3" Type="http://schemas.openxmlformats.org/officeDocument/2006/relationships/customXml" Target="../customXml/item3.xml"/><Relationship Id="rId21" Type="http://schemas.openxmlformats.org/officeDocument/2006/relationships/header" Target="header2.xml"/><Relationship Id="rId34" Type="http://schemas.openxmlformats.org/officeDocument/2006/relationships/chart" Target="charts/chart9.xm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chart" Target="charts/chart5.xml"/><Relationship Id="rId25" Type="http://schemas.openxmlformats.org/officeDocument/2006/relationships/hyperlink" Target="https://international-aluminium.org/statistics/primary-aluminium-smelting-power-consumption" TargetMode="External"/><Relationship Id="rId33" Type="http://schemas.openxmlformats.org/officeDocument/2006/relationships/chart" Target="charts/chart8.xml"/><Relationship Id="rId38" Type="http://schemas.openxmlformats.org/officeDocument/2006/relationships/chart" Target="charts/chart13.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footer" Target="footer1.xml"/><Relationship Id="rId29" Type="http://schemas.openxmlformats.org/officeDocument/2006/relationships/diagramQuickStyle" Target="diagrams/quickStyle1.xml"/><Relationship Id="rId41" Type="http://schemas.openxmlformats.org/officeDocument/2006/relationships/hyperlink" Target="https://ghgprotocol.org/sites/default/files/Stationary_combustion_tool_%28Version4-1%29.xls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chart" Target="charts/chart7.xml"/><Relationship Id="rId37" Type="http://schemas.openxmlformats.org/officeDocument/2006/relationships/chart" Target="charts/chart12.xml"/><Relationship Id="rId40" Type="http://schemas.openxmlformats.org/officeDocument/2006/relationships/hyperlink" Target="https://ghgprotocol.org/sites/default/files/Aluminium%20Sector%20GHG%20Workbook%20-%20version%202_1_0.xls" TargetMode="External"/><Relationship Id="rId5" Type="http://schemas.openxmlformats.org/officeDocument/2006/relationships/numbering" Target="numbering.xml"/><Relationship Id="rId15" Type="http://schemas.openxmlformats.org/officeDocument/2006/relationships/chart" Target="charts/chart3.xml"/><Relationship Id="rId23" Type="http://schemas.openxmlformats.org/officeDocument/2006/relationships/image" Target="media/image5.png"/><Relationship Id="rId28" Type="http://schemas.openxmlformats.org/officeDocument/2006/relationships/diagramLayout" Target="diagrams/layout1.xml"/><Relationship Id="rId36" Type="http://schemas.openxmlformats.org/officeDocument/2006/relationships/chart" Target="charts/chart11.xml"/><Relationship Id="rId10" Type="http://schemas.openxmlformats.org/officeDocument/2006/relationships/endnotes" Target="endnotes.xml"/><Relationship Id="rId19" Type="http://schemas.openxmlformats.org/officeDocument/2006/relationships/header" Target="header1.xml"/><Relationship Id="rId31"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image" Target="media/image4.png"/><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chart" Target="charts/chart10.xm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international-aluminium.org/statistics/primary-aluminium-smelting-energy-intensity/" TargetMode="External"/><Relationship Id="rId1" Type="http://schemas.openxmlformats.org/officeDocument/2006/relationships/hyperlink" Target="http://international-aluminium.org/statistics/primary-aluminium-smelting-power-consump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https://intalu.sharepoint.com/sites/IAITeamSite/FoldersDocuments/Environment/Life%20Cycle%20Inventory%20&amp;%20Impact%20Assessment/2019/Report/Report%20Char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intalu.sharepoint.com/sites/IAITeamSite/FoldersDocuments/Environment/Life%20Cycle%20Inventory%20&amp;%20Impact%20Assessment/2019/Report/Report%20Charts%202019.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https://intalu.sharepoint.com/sites/IAITeamSite/FoldersDocuments/Environment/Life%20Cycle%20Inventory%20&amp;%20Impact%20Assessment/2019/Report/Report%20Charts%202019.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https://intalu.sharepoint.com/sites/IAITeamSite/FoldersDocuments/Environment/Life%20Cycle%20Inventory%20&amp;%20Impact%20Assessment/2019/Report/Report%20Charts%202019.xlsx"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https://intalu.sharepoint.com/sites/IAITeamSite/FoldersDocuments/Environment/Life%20Cycle%20Inventory%20&amp;%20Impact%20Assessment/2019/Report/Report%20Charts%202019.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intalu.sharepoint.com/sites/IAITeamSite/FoldersDocuments/Environment/Life%20Cycle%20Inventory%20&amp;%20Impact%20Assessment/2019/Report/Report%20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intalu.sharepoint.com/sites/IAITeamSite/FoldersDocuments/Environment/Life%20Cycle%20Inventory%20&amp;%20Impact%20Assessment/2019/Report/Report%20Cha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1" Type="http://schemas.openxmlformats.org/officeDocument/2006/relationships/oleObject" Target="https://intalu.sharepoint.com/sites/IAITeamSite/FoldersDocuments/Environment/Life%20Cycle%20Inventory%20&amp;%20Impact%20Assessment/2019/Report/Report%20Charts.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https://intalu.sharepoint.com/sites/IAITeamSite/FoldersDocuments/Environment/Life%20Cycle%20Inventory%20&amp;%20Impact%20Assessment/2019/Report/Report%20Charts%202019.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https://intalu.sharepoint.com/sites/IAITeamSite/FoldersDocuments/Environment/Life%20Cycle%20Inventory%20&amp;%20Impact%20Assessment/2019/Report/Report%20Charts%202019.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https://intalu.sharepoint.com/sites/IAITeamSite/FoldersDocuments/Environment/Life%20Cycle%20Inventory%20&amp;%20Impact%20Assessment/2019/Report/Report%20Charts%202019.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2"/>
          <c:order val="2"/>
          <c:tx>
            <c:strRef>
              <c:f>'Energy mixes'!$A$3</c:f>
              <c:strCache>
                <c:ptCount val="1"/>
                <c:pt idx="0">
                  <c:v>Hydro</c:v>
                </c:pt>
              </c:strCache>
            </c:strRef>
          </c:tx>
          <c:spPr>
            <a:solidFill>
              <a:schemeClr val="accent3"/>
            </a:solidFill>
            <a:ln>
              <a:noFill/>
            </a:ln>
            <a:effectLst/>
          </c:spPr>
          <c:invertIfNegative val="0"/>
          <c:cat>
            <c:numRef>
              <c:f>'Energy mixes'!$B$1:$AP$1</c:f>
              <c:numCache>
                <c:formatCode>General</c:formatCode>
                <c:ptCount val="41"/>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numCache>
            </c:numRef>
          </c:cat>
          <c:val>
            <c:numRef>
              <c:f>'Energy mixes'!$B$3:$AP$3</c:f>
              <c:numCache>
                <c:formatCode>#,##0</c:formatCode>
                <c:ptCount val="41"/>
                <c:pt idx="0">
                  <c:v>108374</c:v>
                </c:pt>
                <c:pt idx="1">
                  <c:v>108159</c:v>
                </c:pt>
                <c:pt idx="2">
                  <c:v>95743</c:v>
                </c:pt>
                <c:pt idx="3">
                  <c:v>100451</c:v>
                </c:pt>
                <c:pt idx="4">
                  <c:v>113099</c:v>
                </c:pt>
                <c:pt idx="5">
                  <c:v>109031</c:v>
                </c:pt>
                <c:pt idx="6">
                  <c:v>109808</c:v>
                </c:pt>
                <c:pt idx="7">
                  <c:v>116137</c:v>
                </c:pt>
                <c:pt idx="8">
                  <c:v>122925</c:v>
                </c:pt>
                <c:pt idx="9">
                  <c:v>125895</c:v>
                </c:pt>
                <c:pt idx="10">
                  <c:v>126762</c:v>
                </c:pt>
                <c:pt idx="11">
                  <c:v>134118</c:v>
                </c:pt>
                <c:pt idx="12">
                  <c:v>132589</c:v>
                </c:pt>
                <c:pt idx="13">
                  <c:v>134064</c:v>
                </c:pt>
                <c:pt idx="14">
                  <c:v>131672</c:v>
                </c:pt>
                <c:pt idx="15">
                  <c:v>135046</c:v>
                </c:pt>
                <c:pt idx="16">
                  <c:v>139938</c:v>
                </c:pt>
                <c:pt idx="17">
                  <c:v>144848</c:v>
                </c:pt>
                <c:pt idx="18">
                  <c:v>143097</c:v>
                </c:pt>
                <c:pt idx="19">
                  <c:v>140511</c:v>
                </c:pt>
                <c:pt idx="20">
                  <c:v>140231</c:v>
                </c:pt>
                <c:pt idx="21">
                  <c:v>131060</c:v>
                </c:pt>
                <c:pt idx="22">
                  <c:v>135980</c:v>
                </c:pt>
                <c:pt idx="23">
                  <c:v>139357</c:v>
                </c:pt>
                <c:pt idx="24">
                  <c:v>159521</c:v>
                </c:pt>
                <c:pt idx="25">
                  <c:v>205563</c:v>
                </c:pt>
                <c:pt idx="26">
                  <c:v>208520</c:v>
                </c:pt>
                <c:pt idx="27">
                  <c:v>230225</c:v>
                </c:pt>
                <c:pt idx="28">
                  <c:v>229612</c:v>
                </c:pt>
                <c:pt idx="29">
                  <c:v>195468</c:v>
                </c:pt>
                <c:pt idx="30">
                  <c:v>218618</c:v>
                </c:pt>
                <c:pt idx="31">
                  <c:v>221546</c:v>
                </c:pt>
                <c:pt idx="32">
                  <c:v>225624</c:v>
                </c:pt>
                <c:pt idx="33">
                  <c:v>220932</c:v>
                </c:pt>
                <c:pt idx="34">
                  <c:v>213884</c:v>
                </c:pt>
                <c:pt idx="35">
                  <c:v>231825</c:v>
                </c:pt>
                <c:pt idx="36">
                  <c:v>220495</c:v>
                </c:pt>
                <c:pt idx="37">
                  <c:v>215888</c:v>
                </c:pt>
                <c:pt idx="38">
                  <c:v>212748</c:v>
                </c:pt>
                <c:pt idx="39">
                  <c:v>210154</c:v>
                </c:pt>
              </c:numCache>
            </c:numRef>
          </c:val>
          <c:extLst>
            <c:ext xmlns:c16="http://schemas.microsoft.com/office/drawing/2014/chart" uri="{C3380CC4-5D6E-409C-BE32-E72D297353CC}">
              <c16:uniqueId val="{00000000-3056-470E-914E-E426B81FF681}"/>
            </c:ext>
          </c:extLst>
        </c:ser>
        <c:ser>
          <c:idx val="3"/>
          <c:order val="3"/>
          <c:tx>
            <c:strRef>
              <c:f>'Energy mixes'!$A$4</c:f>
              <c:strCache>
                <c:ptCount val="1"/>
                <c:pt idx="0">
                  <c:v>Coal</c:v>
                </c:pt>
              </c:strCache>
            </c:strRef>
          </c:tx>
          <c:spPr>
            <a:solidFill>
              <a:schemeClr val="accent4"/>
            </a:solidFill>
            <a:ln>
              <a:noFill/>
            </a:ln>
            <a:effectLst/>
          </c:spPr>
          <c:invertIfNegative val="0"/>
          <c:cat>
            <c:numRef>
              <c:f>'Energy mixes'!$B$1:$AP$1</c:f>
              <c:numCache>
                <c:formatCode>General</c:formatCode>
                <c:ptCount val="41"/>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numCache>
            </c:numRef>
          </c:cat>
          <c:val>
            <c:numRef>
              <c:f>'Energy mixes'!$B$4:$AP$4</c:f>
              <c:numCache>
                <c:formatCode>#,##0</c:formatCode>
                <c:ptCount val="41"/>
                <c:pt idx="0">
                  <c:v>54492</c:v>
                </c:pt>
                <c:pt idx="1">
                  <c:v>56588</c:v>
                </c:pt>
                <c:pt idx="2">
                  <c:v>49144</c:v>
                </c:pt>
                <c:pt idx="3">
                  <c:v>54705</c:v>
                </c:pt>
                <c:pt idx="4">
                  <c:v>68371</c:v>
                </c:pt>
                <c:pt idx="5">
                  <c:v>62860</c:v>
                </c:pt>
                <c:pt idx="6">
                  <c:v>60192</c:v>
                </c:pt>
                <c:pt idx="7">
                  <c:v>65215</c:v>
                </c:pt>
                <c:pt idx="8">
                  <c:v>73082</c:v>
                </c:pt>
                <c:pt idx="9">
                  <c:v>79803</c:v>
                </c:pt>
                <c:pt idx="10">
                  <c:v>77923</c:v>
                </c:pt>
                <c:pt idx="11">
                  <c:v>76773</c:v>
                </c:pt>
                <c:pt idx="12">
                  <c:v>74196</c:v>
                </c:pt>
                <c:pt idx="13">
                  <c:v>71094</c:v>
                </c:pt>
                <c:pt idx="14">
                  <c:v>63602</c:v>
                </c:pt>
                <c:pt idx="15">
                  <c:v>89844</c:v>
                </c:pt>
                <c:pt idx="16">
                  <c:v>100553</c:v>
                </c:pt>
                <c:pt idx="17">
                  <c:v>107098</c:v>
                </c:pt>
                <c:pt idx="18">
                  <c:v>115312</c:v>
                </c:pt>
                <c:pt idx="19">
                  <c:v>113313</c:v>
                </c:pt>
                <c:pt idx="20">
                  <c:v>120479</c:v>
                </c:pt>
                <c:pt idx="21">
                  <c:v>134465</c:v>
                </c:pt>
                <c:pt idx="22">
                  <c:v>150405</c:v>
                </c:pt>
                <c:pt idx="23">
                  <c:v>171304</c:v>
                </c:pt>
                <c:pt idx="24">
                  <c:v>187279</c:v>
                </c:pt>
                <c:pt idx="25">
                  <c:v>197722</c:v>
                </c:pt>
                <c:pt idx="26">
                  <c:v>233793</c:v>
                </c:pt>
                <c:pt idx="27">
                  <c:v>270138</c:v>
                </c:pt>
                <c:pt idx="28">
                  <c:v>288870</c:v>
                </c:pt>
                <c:pt idx="29">
                  <c:v>258141</c:v>
                </c:pt>
                <c:pt idx="30">
                  <c:v>271643</c:v>
                </c:pt>
                <c:pt idx="31">
                  <c:v>304075</c:v>
                </c:pt>
                <c:pt idx="32">
                  <c:v>318988</c:v>
                </c:pt>
                <c:pt idx="33">
                  <c:v>331211</c:v>
                </c:pt>
                <c:pt idx="34">
                  <c:v>400572</c:v>
                </c:pt>
                <c:pt idx="35">
                  <c:v>446812</c:v>
                </c:pt>
                <c:pt idx="36">
                  <c:v>497133</c:v>
                </c:pt>
                <c:pt idx="37">
                  <c:v>528188</c:v>
                </c:pt>
                <c:pt idx="38">
                  <c:v>525574</c:v>
                </c:pt>
                <c:pt idx="39">
                  <c:v>509393</c:v>
                </c:pt>
              </c:numCache>
            </c:numRef>
          </c:val>
          <c:extLst>
            <c:ext xmlns:c16="http://schemas.microsoft.com/office/drawing/2014/chart" uri="{C3380CC4-5D6E-409C-BE32-E72D297353CC}">
              <c16:uniqueId val="{00000001-3056-470E-914E-E426B81FF681}"/>
            </c:ext>
          </c:extLst>
        </c:ser>
        <c:ser>
          <c:idx val="4"/>
          <c:order val="4"/>
          <c:tx>
            <c:strRef>
              <c:f>'Energy mixes'!$A$5</c:f>
              <c:strCache>
                <c:ptCount val="1"/>
                <c:pt idx="0">
                  <c:v>Oil</c:v>
                </c:pt>
              </c:strCache>
            </c:strRef>
          </c:tx>
          <c:spPr>
            <a:solidFill>
              <a:schemeClr val="accent5"/>
            </a:solidFill>
            <a:ln>
              <a:noFill/>
            </a:ln>
            <a:effectLst/>
          </c:spPr>
          <c:invertIfNegative val="0"/>
          <c:cat>
            <c:numRef>
              <c:f>'Energy mixes'!$B$1:$AP$1</c:f>
              <c:numCache>
                <c:formatCode>General</c:formatCode>
                <c:ptCount val="41"/>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numCache>
            </c:numRef>
          </c:cat>
          <c:val>
            <c:numRef>
              <c:f>'Energy mixes'!$B$5:$AP$5</c:f>
              <c:numCache>
                <c:formatCode>#,##0</c:formatCode>
                <c:ptCount val="41"/>
                <c:pt idx="0">
                  <c:v>21222</c:v>
                </c:pt>
                <c:pt idx="1">
                  <c:v>14026</c:v>
                </c:pt>
                <c:pt idx="2">
                  <c:v>7707</c:v>
                </c:pt>
                <c:pt idx="3">
                  <c:v>5191</c:v>
                </c:pt>
                <c:pt idx="4">
                  <c:v>4507</c:v>
                </c:pt>
                <c:pt idx="5">
                  <c:v>5100</c:v>
                </c:pt>
                <c:pt idx="6">
                  <c:v>3749</c:v>
                </c:pt>
                <c:pt idx="7">
                  <c:v>4087</c:v>
                </c:pt>
                <c:pt idx="8">
                  <c:v>3937</c:v>
                </c:pt>
                <c:pt idx="9">
                  <c:v>2690</c:v>
                </c:pt>
                <c:pt idx="10">
                  <c:v>2497</c:v>
                </c:pt>
                <c:pt idx="11">
                  <c:v>3053</c:v>
                </c:pt>
                <c:pt idx="12">
                  <c:v>2815</c:v>
                </c:pt>
                <c:pt idx="13">
                  <c:v>3114</c:v>
                </c:pt>
                <c:pt idx="14">
                  <c:v>3320</c:v>
                </c:pt>
                <c:pt idx="15">
                  <c:v>3882</c:v>
                </c:pt>
                <c:pt idx="16">
                  <c:v>1801</c:v>
                </c:pt>
                <c:pt idx="17">
                  <c:v>1345</c:v>
                </c:pt>
                <c:pt idx="18">
                  <c:v>1417</c:v>
                </c:pt>
                <c:pt idx="19">
                  <c:v>2150</c:v>
                </c:pt>
                <c:pt idx="20">
                  <c:v>2098</c:v>
                </c:pt>
                <c:pt idx="21">
                  <c:v>1674</c:v>
                </c:pt>
                <c:pt idx="22">
                  <c:v>1481</c:v>
                </c:pt>
                <c:pt idx="23">
                  <c:v>1236</c:v>
                </c:pt>
                <c:pt idx="24">
                  <c:v>1961</c:v>
                </c:pt>
                <c:pt idx="25">
                  <c:v>2327</c:v>
                </c:pt>
                <c:pt idx="26">
                  <c:v>3139</c:v>
                </c:pt>
                <c:pt idx="27">
                  <c:v>2145</c:v>
                </c:pt>
                <c:pt idx="28" formatCode="General">
                  <c:v>819</c:v>
                </c:pt>
                <c:pt idx="29" formatCode="General">
                  <c:v>399</c:v>
                </c:pt>
                <c:pt idx="30" formatCode="General">
                  <c:v>389</c:v>
                </c:pt>
                <c:pt idx="31" formatCode="General">
                  <c:v>446</c:v>
                </c:pt>
                <c:pt idx="32" formatCode="General">
                  <c:v>341</c:v>
                </c:pt>
                <c:pt idx="33" formatCode="General">
                  <c:v>488</c:v>
                </c:pt>
                <c:pt idx="34" formatCode="General">
                  <c:v>956</c:v>
                </c:pt>
                <c:pt idx="35" formatCode="General">
                  <c:v>260</c:v>
                </c:pt>
                <c:pt idx="36" formatCode="General">
                  <c:v>509</c:v>
                </c:pt>
                <c:pt idx="37" formatCode="General">
                  <c:v>213</c:v>
                </c:pt>
                <c:pt idx="38" formatCode="General">
                  <c:v>192</c:v>
                </c:pt>
                <c:pt idx="39" formatCode="General">
                  <c:v>309</c:v>
                </c:pt>
              </c:numCache>
            </c:numRef>
          </c:val>
          <c:extLst>
            <c:ext xmlns:c16="http://schemas.microsoft.com/office/drawing/2014/chart" uri="{C3380CC4-5D6E-409C-BE32-E72D297353CC}">
              <c16:uniqueId val="{00000002-3056-470E-914E-E426B81FF681}"/>
            </c:ext>
          </c:extLst>
        </c:ser>
        <c:ser>
          <c:idx val="5"/>
          <c:order val="5"/>
          <c:tx>
            <c:strRef>
              <c:f>'Energy mixes'!$A$6</c:f>
              <c:strCache>
                <c:ptCount val="1"/>
                <c:pt idx="0">
                  <c:v>Natural Gas</c:v>
                </c:pt>
              </c:strCache>
            </c:strRef>
          </c:tx>
          <c:spPr>
            <a:solidFill>
              <a:schemeClr val="accent6"/>
            </a:solidFill>
            <a:ln>
              <a:noFill/>
            </a:ln>
            <a:effectLst/>
          </c:spPr>
          <c:invertIfNegative val="0"/>
          <c:cat>
            <c:numRef>
              <c:f>'Energy mixes'!$B$1:$AP$1</c:f>
              <c:numCache>
                <c:formatCode>General</c:formatCode>
                <c:ptCount val="41"/>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numCache>
            </c:numRef>
          </c:cat>
          <c:val>
            <c:numRef>
              <c:f>'Energy mixes'!$B$6:$AP$6</c:f>
              <c:numCache>
                <c:formatCode>#,##0</c:formatCode>
                <c:ptCount val="41"/>
                <c:pt idx="0">
                  <c:v>16576</c:v>
                </c:pt>
                <c:pt idx="1">
                  <c:v>14688</c:v>
                </c:pt>
                <c:pt idx="2">
                  <c:v>12375</c:v>
                </c:pt>
                <c:pt idx="3">
                  <c:v>10212</c:v>
                </c:pt>
                <c:pt idx="4">
                  <c:v>9858</c:v>
                </c:pt>
                <c:pt idx="5">
                  <c:v>8893</c:v>
                </c:pt>
                <c:pt idx="6">
                  <c:v>9351</c:v>
                </c:pt>
                <c:pt idx="7">
                  <c:v>7722</c:v>
                </c:pt>
                <c:pt idx="8">
                  <c:v>8286</c:v>
                </c:pt>
                <c:pt idx="9">
                  <c:v>8449</c:v>
                </c:pt>
                <c:pt idx="10">
                  <c:v>9479</c:v>
                </c:pt>
                <c:pt idx="11">
                  <c:v>10084</c:v>
                </c:pt>
                <c:pt idx="12">
                  <c:v>11352</c:v>
                </c:pt>
                <c:pt idx="13">
                  <c:v>14191</c:v>
                </c:pt>
                <c:pt idx="14">
                  <c:v>14615</c:v>
                </c:pt>
                <c:pt idx="15">
                  <c:v>15211</c:v>
                </c:pt>
                <c:pt idx="16">
                  <c:v>16287</c:v>
                </c:pt>
                <c:pt idx="17">
                  <c:v>19147</c:v>
                </c:pt>
                <c:pt idx="18">
                  <c:v>22668</c:v>
                </c:pt>
                <c:pt idx="19">
                  <c:v>20490</c:v>
                </c:pt>
                <c:pt idx="20">
                  <c:v>22981</c:v>
                </c:pt>
                <c:pt idx="21">
                  <c:v>23472</c:v>
                </c:pt>
                <c:pt idx="22">
                  <c:v>24267</c:v>
                </c:pt>
                <c:pt idx="23">
                  <c:v>24947</c:v>
                </c:pt>
                <c:pt idx="24">
                  <c:v>27346</c:v>
                </c:pt>
                <c:pt idx="25">
                  <c:v>29997</c:v>
                </c:pt>
                <c:pt idx="26">
                  <c:v>31127</c:v>
                </c:pt>
                <c:pt idx="27">
                  <c:v>33953</c:v>
                </c:pt>
                <c:pt idx="28">
                  <c:v>40378</c:v>
                </c:pt>
                <c:pt idx="29">
                  <c:v>42884</c:v>
                </c:pt>
                <c:pt idx="30">
                  <c:v>26432</c:v>
                </c:pt>
                <c:pt idx="31">
                  <c:v>42185</c:v>
                </c:pt>
                <c:pt idx="32">
                  <c:v>46276</c:v>
                </c:pt>
                <c:pt idx="33">
                  <c:v>50843</c:v>
                </c:pt>
                <c:pt idx="34">
                  <c:v>66748</c:v>
                </c:pt>
                <c:pt idx="35">
                  <c:v>72458</c:v>
                </c:pt>
                <c:pt idx="36">
                  <c:v>76751</c:v>
                </c:pt>
                <c:pt idx="37">
                  <c:v>81306</c:v>
                </c:pt>
                <c:pt idx="38">
                  <c:v>88424</c:v>
                </c:pt>
                <c:pt idx="39">
                  <c:v>90733</c:v>
                </c:pt>
              </c:numCache>
            </c:numRef>
          </c:val>
          <c:extLst>
            <c:ext xmlns:c16="http://schemas.microsoft.com/office/drawing/2014/chart" uri="{C3380CC4-5D6E-409C-BE32-E72D297353CC}">
              <c16:uniqueId val="{00000003-3056-470E-914E-E426B81FF681}"/>
            </c:ext>
          </c:extLst>
        </c:ser>
        <c:ser>
          <c:idx val="6"/>
          <c:order val="6"/>
          <c:tx>
            <c:strRef>
              <c:f>'Energy mixes'!$A$7</c:f>
              <c:strCache>
                <c:ptCount val="1"/>
                <c:pt idx="0">
                  <c:v>Nuclear</c:v>
                </c:pt>
              </c:strCache>
            </c:strRef>
          </c:tx>
          <c:spPr>
            <a:solidFill>
              <a:schemeClr val="accent1">
                <a:lumMod val="60000"/>
              </a:schemeClr>
            </a:solidFill>
            <a:ln>
              <a:noFill/>
            </a:ln>
            <a:effectLst/>
          </c:spPr>
          <c:invertIfNegative val="0"/>
          <c:cat>
            <c:numRef>
              <c:f>'Energy mixes'!$B$1:$AP$1</c:f>
              <c:numCache>
                <c:formatCode>General</c:formatCode>
                <c:ptCount val="41"/>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numCache>
            </c:numRef>
          </c:cat>
          <c:val>
            <c:numRef>
              <c:f>'Energy mixes'!$B$7:$AP$7</c:f>
              <c:numCache>
                <c:formatCode>#,##0</c:formatCode>
                <c:ptCount val="41"/>
                <c:pt idx="0">
                  <c:v>13031</c:v>
                </c:pt>
                <c:pt idx="1">
                  <c:v>12019</c:v>
                </c:pt>
                <c:pt idx="2">
                  <c:v>10250</c:v>
                </c:pt>
                <c:pt idx="3">
                  <c:v>11460</c:v>
                </c:pt>
                <c:pt idx="4">
                  <c:v>12119</c:v>
                </c:pt>
                <c:pt idx="5">
                  <c:v>12505</c:v>
                </c:pt>
                <c:pt idx="6">
                  <c:v>12051</c:v>
                </c:pt>
                <c:pt idx="7">
                  <c:v>11513</c:v>
                </c:pt>
                <c:pt idx="8">
                  <c:v>11899</c:v>
                </c:pt>
                <c:pt idx="9">
                  <c:v>11996</c:v>
                </c:pt>
                <c:pt idx="10">
                  <c:v>11519</c:v>
                </c:pt>
                <c:pt idx="11">
                  <c:v>12154</c:v>
                </c:pt>
                <c:pt idx="12">
                  <c:v>12684</c:v>
                </c:pt>
                <c:pt idx="13">
                  <c:v>12605</c:v>
                </c:pt>
                <c:pt idx="14">
                  <c:v>12805</c:v>
                </c:pt>
                <c:pt idx="15">
                  <c:v>12874</c:v>
                </c:pt>
                <c:pt idx="16">
                  <c:v>14453</c:v>
                </c:pt>
                <c:pt idx="17">
                  <c:v>13200</c:v>
                </c:pt>
                <c:pt idx="18">
                  <c:v>15763</c:v>
                </c:pt>
                <c:pt idx="19">
                  <c:v>16113</c:v>
                </c:pt>
                <c:pt idx="20">
                  <c:v>15929</c:v>
                </c:pt>
                <c:pt idx="21">
                  <c:v>12621</c:v>
                </c:pt>
                <c:pt idx="22">
                  <c:v>13539</c:v>
                </c:pt>
                <c:pt idx="23">
                  <c:v>12827</c:v>
                </c:pt>
                <c:pt idx="24">
                  <c:v>13956</c:v>
                </c:pt>
                <c:pt idx="25">
                  <c:v>17121</c:v>
                </c:pt>
                <c:pt idx="26">
                  <c:v>14595</c:v>
                </c:pt>
                <c:pt idx="27">
                  <c:v>14098</c:v>
                </c:pt>
                <c:pt idx="28">
                  <c:v>15190</c:v>
                </c:pt>
                <c:pt idx="29">
                  <c:v>11218</c:v>
                </c:pt>
                <c:pt idx="30">
                  <c:v>10997</c:v>
                </c:pt>
                <c:pt idx="31">
                  <c:v>6211</c:v>
                </c:pt>
                <c:pt idx="32">
                  <c:v>9970</c:v>
                </c:pt>
                <c:pt idx="33">
                  <c:v>8377</c:v>
                </c:pt>
                <c:pt idx="34">
                  <c:v>8010</c:v>
                </c:pt>
                <c:pt idx="35">
                  <c:v>12071</c:v>
                </c:pt>
                <c:pt idx="36">
                  <c:v>11785</c:v>
                </c:pt>
                <c:pt idx="37">
                  <c:v>11477</c:v>
                </c:pt>
                <c:pt idx="38">
                  <c:v>16844</c:v>
                </c:pt>
                <c:pt idx="39">
                  <c:v>13828</c:v>
                </c:pt>
              </c:numCache>
            </c:numRef>
          </c:val>
          <c:extLst>
            <c:ext xmlns:c16="http://schemas.microsoft.com/office/drawing/2014/chart" uri="{C3380CC4-5D6E-409C-BE32-E72D297353CC}">
              <c16:uniqueId val="{00000004-3056-470E-914E-E426B81FF681}"/>
            </c:ext>
          </c:extLst>
        </c:ser>
        <c:ser>
          <c:idx val="7"/>
          <c:order val="7"/>
          <c:tx>
            <c:strRef>
              <c:f>'Energy mixes'!$A$8</c:f>
              <c:strCache>
                <c:ptCount val="1"/>
                <c:pt idx="0">
                  <c:v>Other Renewable</c:v>
                </c:pt>
              </c:strCache>
            </c:strRef>
          </c:tx>
          <c:spPr>
            <a:solidFill>
              <a:schemeClr val="accent2">
                <a:lumMod val="60000"/>
              </a:schemeClr>
            </a:solidFill>
            <a:ln>
              <a:noFill/>
            </a:ln>
            <a:effectLst/>
          </c:spPr>
          <c:invertIfNegative val="0"/>
          <c:cat>
            <c:numRef>
              <c:f>'Energy mixes'!$B$1:$AP$1</c:f>
              <c:numCache>
                <c:formatCode>General</c:formatCode>
                <c:ptCount val="41"/>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numCache>
            </c:numRef>
          </c:cat>
          <c:val>
            <c:numRef>
              <c:f>'Energy mixes'!$B$8:$AP$8</c:f>
              <c:numCache>
                <c:formatCode>General</c:formatCode>
                <c:ptCount val="41"/>
                <c:pt idx="36" formatCode="#,##0">
                  <c:v>7960</c:v>
                </c:pt>
                <c:pt idx="37" formatCode="#,##0">
                  <c:v>24422</c:v>
                </c:pt>
                <c:pt idx="38" formatCode="#,##0">
                  <c:v>22300</c:v>
                </c:pt>
                <c:pt idx="39" formatCode="#,##0">
                  <c:v>23099</c:v>
                </c:pt>
              </c:numCache>
            </c:numRef>
          </c:val>
          <c:extLst>
            <c:ext xmlns:c16="http://schemas.microsoft.com/office/drawing/2014/chart" uri="{C3380CC4-5D6E-409C-BE32-E72D297353CC}">
              <c16:uniqueId val="{00000005-3056-470E-914E-E426B81FF681}"/>
            </c:ext>
          </c:extLst>
        </c:ser>
        <c:ser>
          <c:idx val="8"/>
          <c:order val="8"/>
          <c:tx>
            <c:strRef>
              <c:f>'Energy mixes'!$A$9</c:f>
              <c:strCache>
                <c:ptCount val="1"/>
                <c:pt idx="0">
                  <c:v>Other non-renewable</c:v>
                </c:pt>
              </c:strCache>
            </c:strRef>
          </c:tx>
          <c:spPr>
            <a:solidFill>
              <a:schemeClr val="accent3">
                <a:lumMod val="60000"/>
              </a:schemeClr>
            </a:solidFill>
            <a:ln>
              <a:noFill/>
            </a:ln>
            <a:effectLst/>
          </c:spPr>
          <c:invertIfNegative val="0"/>
          <c:cat>
            <c:numRef>
              <c:f>'Energy mixes'!$B$1:$AP$1</c:f>
              <c:numCache>
                <c:formatCode>General</c:formatCode>
                <c:ptCount val="41"/>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numCache>
            </c:numRef>
          </c:cat>
          <c:val>
            <c:numRef>
              <c:f>'Energy mixes'!$B$9:$AP$9</c:f>
              <c:numCache>
                <c:formatCode>General</c:formatCode>
                <c:ptCount val="41"/>
                <c:pt idx="36" formatCode="#,##0">
                  <c:v>184</c:v>
                </c:pt>
                <c:pt idx="37" formatCode="#,##0">
                  <c:v>1840</c:v>
                </c:pt>
                <c:pt idx="38" formatCode="#,##0">
                  <c:v>1675</c:v>
                </c:pt>
                <c:pt idx="39" formatCode="#,##0">
                  <c:v>968</c:v>
                </c:pt>
              </c:numCache>
            </c:numRef>
          </c:val>
          <c:extLst>
            <c:ext xmlns:c16="http://schemas.microsoft.com/office/drawing/2014/chart" uri="{C3380CC4-5D6E-409C-BE32-E72D297353CC}">
              <c16:uniqueId val="{00000006-3056-470E-914E-E426B81FF681}"/>
            </c:ext>
          </c:extLst>
        </c:ser>
        <c:dLbls>
          <c:showLegendKey val="0"/>
          <c:showVal val="0"/>
          <c:showCatName val="0"/>
          <c:showSerName val="0"/>
          <c:showPercent val="0"/>
          <c:showBubbleSize val="0"/>
        </c:dLbls>
        <c:gapWidth val="150"/>
        <c:overlap val="100"/>
        <c:axId val="145897488"/>
        <c:axId val="145898272"/>
        <c:extLst>
          <c:ext xmlns:c15="http://schemas.microsoft.com/office/drawing/2012/chart" uri="{02D57815-91ED-43cb-92C2-25804820EDAC}">
            <c15:filteredBarSeries>
              <c15:ser>
                <c:idx val="0"/>
                <c:order val="0"/>
                <c:tx>
                  <c:strRef>
                    <c:extLst>
                      <c:ext uri="{02D57815-91ED-43cb-92C2-25804820EDAC}">
                        <c15:formulaRef>
                          <c15:sqref>'Energy mixes'!$A$1</c15:sqref>
                        </c15:formulaRef>
                      </c:ext>
                    </c:extLst>
                    <c:strCache>
                      <c:ptCount val="1"/>
                      <c:pt idx="0">
                        <c:v>Smelting Mix</c:v>
                      </c:pt>
                    </c:strCache>
                  </c:strRef>
                </c:tx>
                <c:spPr>
                  <a:solidFill>
                    <a:schemeClr val="accent1"/>
                  </a:solidFill>
                  <a:ln>
                    <a:noFill/>
                  </a:ln>
                  <a:effectLst/>
                </c:spPr>
                <c:invertIfNegative val="0"/>
                <c:cat>
                  <c:numRef>
                    <c:extLst>
                      <c:ext uri="{02D57815-91ED-43cb-92C2-25804820EDAC}">
                        <c15:formulaRef>
                          <c15:sqref>'Energy mixes'!$B$1:$AP$1</c15:sqref>
                        </c15:formulaRef>
                      </c:ext>
                    </c:extLst>
                    <c:numCache>
                      <c:formatCode>General</c:formatCode>
                      <c:ptCount val="41"/>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numCache>
                  </c:numRef>
                </c:cat>
                <c:val>
                  <c:numRef>
                    <c:extLst>
                      <c:ext uri="{02D57815-91ED-43cb-92C2-25804820EDAC}">
                        <c15:formulaRef>
                          <c15:sqref>'Energy mixes'!$B$1:$AP$1</c15:sqref>
                        </c15:formulaRef>
                      </c:ext>
                    </c:extLst>
                    <c:numCache>
                      <c:formatCode>General</c:formatCode>
                      <c:ptCount val="41"/>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numCache>
                  </c:numRef>
                </c:val>
                <c:extLst>
                  <c:ext xmlns:c16="http://schemas.microsoft.com/office/drawing/2014/chart" uri="{C3380CC4-5D6E-409C-BE32-E72D297353CC}">
                    <c16:uniqueId val="{00000007-3056-470E-914E-E426B81FF681}"/>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'Energy mixes'!$A$2</c15:sqref>
                        </c15:formulaRef>
                      </c:ext>
                    </c:extLst>
                    <c:strCache>
                      <c:ptCount val="1"/>
                      <c:pt idx="0">
                        <c:v>GWh</c:v>
                      </c:pt>
                    </c:strCache>
                  </c:strRef>
                </c:tx>
                <c:spPr>
                  <a:solidFill>
                    <a:schemeClr val="accent2"/>
                  </a:solidFill>
                  <a:ln>
                    <a:noFill/>
                  </a:ln>
                  <a:effectLst/>
                </c:spPr>
                <c:invertIfNegative val="0"/>
                <c:cat>
                  <c:numRef>
                    <c:extLst xmlns:c15="http://schemas.microsoft.com/office/drawing/2012/chart">
                      <c:ext xmlns:c15="http://schemas.microsoft.com/office/drawing/2012/chart" uri="{02D57815-91ED-43cb-92C2-25804820EDAC}">
                        <c15:formulaRef>
                          <c15:sqref>'Energy mixes'!$B$1:$AP$1</c15:sqref>
                        </c15:formulaRef>
                      </c:ext>
                    </c:extLst>
                    <c:numCache>
                      <c:formatCode>General</c:formatCode>
                      <c:ptCount val="41"/>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numCache>
                  </c:numRef>
                </c:cat>
                <c:val>
                  <c:numRef>
                    <c:extLst xmlns:c15="http://schemas.microsoft.com/office/drawing/2012/chart">
                      <c:ext xmlns:c15="http://schemas.microsoft.com/office/drawing/2012/chart" uri="{02D57815-91ED-43cb-92C2-25804820EDAC}">
                        <c15:formulaRef>
                          <c15:sqref>'Energy mixes'!$B$2:$AP$2</c15:sqref>
                        </c15:formulaRef>
                      </c:ext>
                    </c:extLst>
                    <c:numCache>
                      <c:formatCode>General</c:formatCode>
                      <c:ptCount val="41"/>
                    </c:numCache>
                  </c:numRef>
                </c:val>
                <c:extLst xmlns:c15="http://schemas.microsoft.com/office/drawing/2012/chart">
                  <c:ext xmlns:c16="http://schemas.microsoft.com/office/drawing/2014/chart" uri="{C3380CC4-5D6E-409C-BE32-E72D297353CC}">
                    <c16:uniqueId val="{00000008-3056-470E-914E-E426B81FF681}"/>
                  </c:ext>
                </c:extLst>
              </c15:ser>
            </c15:filteredBarSeries>
          </c:ext>
        </c:extLst>
      </c:barChart>
      <c:catAx>
        <c:axId val="1458974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98272"/>
        <c:crosses val="autoZero"/>
        <c:auto val="1"/>
        <c:lblAlgn val="ctr"/>
        <c:lblOffset val="100"/>
        <c:noMultiLvlLbl val="0"/>
      </c:catAx>
      <c:valAx>
        <c:axId val="1458982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97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GB" sz="1200"/>
              <a:t>Scenario</a:t>
            </a:r>
            <a:r>
              <a:rPr lang="en-GB" sz="1200" baseline="0"/>
              <a:t> 3: AFR-EUR-EUR</a:t>
            </a:r>
            <a:endParaRPr lang="en-GB"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1"/>
          <c:order val="0"/>
          <c:tx>
            <c:strRef>
              <c:f>'Contribution Analysis 3'!$C$34</c:f>
              <c:strCache>
                <c:ptCount val="1"/>
                <c:pt idx="0">
                  <c:v>Direct Process</c:v>
                </c:pt>
              </c:strCache>
            </c:strRef>
          </c:tx>
          <c:spPr>
            <a:solidFill>
              <a:schemeClr val="accent2"/>
            </a:solidFill>
            <a:ln>
              <a:noFill/>
            </a:ln>
            <a:effectLst/>
          </c:spPr>
          <c:invertIfNegative val="0"/>
          <c:cat>
            <c:strRef>
              <c:f>'Contribution Analysis 3'!$A$35:$A$41</c:f>
              <c:strCache>
                <c:ptCount val="7"/>
                <c:pt idx="0">
                  <c:v>AP</c:v>
                </c:pt>
                <c:pt idx="1">
                  <c:v>DFE</c:v>
                </c:pt>
                <c:pt idx="2">
                  <c:v>EP </c:v>
                </c:pt>
                <c:pt idx="3">
                  <c:v>GWP</c:v>
                </c:pt>
                <c:pt idx="4">
                  <c:v>ODP </c:v>
                </c:pt>
                <c:pt idx="5">
                  <c:v>POCP</c:v>
                </c:pt>
                <c:pt idx="6">
                  <c:v>WSFP</c:v>
                </c:pt>
              </c:strCache>
            </c:strRef>
          </c:cat>
          <c:val>
            <c:numRef>
              <c:f>'Contribution Analysis 3'!$C$35:$C$41</c:f>
              <c:numCache>
                <c:formatCode>0.0</c:formatCode>
                <c:ptCount val="7"/>
                <c:pt idx="0" formatCode="0.000">
                  <c:v>1.1900000000000001E-2</c:v>
                </c:pt>
                <c:pt idx="1">
                  <c:v>0</c:v>
                </c:pt>
                <c:pt idx="2" formatCode="0.000">
                  <c:v>1.8E-5</c:v>
                </c:pt>
                <c:pt idx="3">
                  <c:v>2.14</c:v>
                </c:pt>
                <c:pt idx="4" formatCode="0.0E+00">
                  <c:v>0</c:v>
                </c:pt>
                <c:pt idx="5" formatCode="0.000">
                  <c:v>4.64E-4</c:v>
                </c:pt>
                <c:pt idx="6" formatCode="0.000">
                  <c:v>0.23699999999999999</c:v>
                </c:pt>
              </c:numCache>
            </c:numRef>
          </c:val>
          <c:extLst>
            <c:ext xmlns:c16="http://schemas.microsoft.com/office/drawing/2014/chart" uri="{C3380CC4-5D6E-409C-BE32-E72D297353CC}">
              <c16:uniqueId val="{00000000-612B-45A2-87B7-58E2306CE535}"/>
            </c:ext>
          </c:extLst>
        </c:ser>
        <c:ser>
          <c:idx val="3"/>
          <c:order val="1"/>
          <c:tx>
            <c:strRef>
              <c:f>'Contribution Analysis 3'!$E$34</c:f>
              <c:strCache>
                <c:ptCount val="1"/>
                <c:pt idx="0">
                  <c:v>Thermal Energy</c:v>
                </c:pt>
              </c:strCache>
            </c:strRef>
          </c:tx>
          <c:spPr>
            <a:solidFill>
              <a:schemeClr val="accent4"/>
            </a:solidFill>
            <a:ln>
              <a:noFill/>
            </a:ln>
            <a:effectLst/>
          </c:spPr>
          <c:invertIfNegative val="0"/>
          <c:cat>
            <c:strRef>
              <c:f>'Contribution Analysis 3'!$A$35:$A$41</c:f>
              <c:strCache>
                <c:ptCount val="7"/>
                <c:pt idx="0">
                  <c:v>AP</c:v>
                </c:pt>
                <c:pt idx="1">
                  <c:v>DFE</c:v>
                </c:pt>
                <c:pt idx="2">
                  <c:v>EP </c:v>
                </c:pt>
                <c:pt idx="3">
                  <c:v>GWP</c:v>
                </c:pt>
                <c:pt idx="4">
                  <c:v>ODP </c:v>
                </c:pt>
                <c:pt idx="5">
                  <c:v>POCP</c:v>
                </c:pt>
                <c:pt idx="6">
                  <c:v>WSFP</c:v>
                </c:pt>
              </c:strCache>
            </c:strRef>
          </c:cat>
          <c:val>
            <c:numRef>
              <c:f>'Contribution Analysis 3'!$E$35:$E$41</c:f>
              <c:numCache>
                <c:formatCode>0.0</c:formatCode>
                <c:ptCount val="7"/>
                <c:pt idx="0" formatCode="0.000">
                  <c:v>8.8400000000000002E-4</c:v>
                </c:pt>
                <c:pt idx="1">
                  <c:v>22.8</c:v>
                </c:pt>
                <c:pt idx="2" formatCode="0.000">
                  <c:v>1.3799999999999999E-4</c:v>
                </c:pt>
                <c:pt idx="3">
                  <c:v>1.42</c:v>
                </c:pt>
                <c:pt idx="4" formatCode="0.0E+00">
                  <c:v>5.7100000000000004E-14</c:v>
                </c:pt>
                <c:pt idx="5" formatCode="0.000">
                  <c:v>1.11E-4</c:v>
                </c:pt>
                <c:pt idx="6" formatCode="0.000">
                  <c:v>3.9300000000000003E-3</c:v>
                </c:pt>
              </c:numCache>
            </c:numRef>
          </c:val>
          <c:extLst>
            <c:ext xmlns:c16="http://schemas.microsoft.com/office/drawing/2014/chart" uri="{C3380CC4-5D6E-409C-BE32-E72D297353CC}">
              <c16:uniqueId val="{00000001-612B-45A2-87B7-58E2306CE535}"/>
            </c:ext>
          </c:extLst>
        </c:ser>
        <c:ser>
          <c:idx val="2"/>
          <c:order val="2"/>
          <c:tx>
            <c:strRef>
              <c:f>'Contribution Analysis 3'!$D$34</c:f>
              <c:strCache>
                <c:ptCount val="1"/>
                <c:pt idx="0">
                  <c:v>Ancillary</c:v>
                </c:pt>
              </c:strCache>
            </c:strRef>
          </c:tx>
          <c:spPr>
            <a:solidFill>
              <a:schemeClr val="accent3"/>
            </a:solidFill>
            <a:ln>
              <a:noFill/>
            </a:ln>
            <a:effectLst/>
          </c:spPr>
          <c:invertIfNegative val="0"/>
          <c:cat>
            <c:strRef>
              <c:f>'Contribution Analysis 3'!$A$35:$A$41</c:f>
              <c:strCache>
                <c:ptCount val="7"/>
                <c:pt idx="0">
                  <c:v>AP</c:v>
                </c:pt>
                <c:pt idx="1">
                  <c:v>DFE</c:v>
                </c:pt>
                <c:pt idx="2">
                  <c:v>EP </c:v>
                </c:pt>
                <c:pt idx="3">
                  <c:v>GWP</c:v>
                </c:pt>
                <c:pt idx="4">
                  <c:v>ODP </c:v>
                </c:pt>
                <c:pt idx="5">
                  <c:v>POCP</c:v>
                </c:pt>
                <c:pt idx="6">
                  <c:v>WSFP</c:v>
                </c:pt>
              </c:strCache>
            </c:strRef>
          </c:cat>
          <c:val>
            <c:numRef>
              <c:f>'Contribution Analysis 3'!$D$35:$D$41</c:f>
              <c:numCache>
                <c:formatCode>0.0</c:formatCode>
                <c:ptCount val="7"/>
                <c:pt idx="0" formatCode="0.000">
                  <c:v>1.7700000000000001E-3</c:v>
                </c:pt>
                <c:pt idx="1">
                  <c:v>21.9</c:v>
                </c:pt>
                <c:pt idx="2" formatCode="0.000">
                  <c:v>1.9000000000000001E-4</c:v>
                </c:pt>
                <c:pt idx="3">
                  <c:v>1.01</c:v>
                </c:pt>
                <c:pt idx="4" formatCode="0.0E+00">
                  <c:v>2.3900000000000001E-12</c:v>
                </c:pt>
                <c:pt idx="5" formatCode="0.000">
                  <c:v>2.04E-4</c:v>
                </c:pt>
                <c:pt idx="6" formatCode="0.000">
                  <c:v>5.2699999999999997E-2</c:v>
                </c:pt>
              </c:numCache>
            </c:numRef>
          </c:val>
          <c:extLst>
            <c:ext xmlns:c16="http://schemas.microsoft.com/office/drawing/2014/chart" uri="{C3380CC4-5D6E-409C-BE32-E72D297353CC}">
              <c16:uniqueId val="{00000002-612B-45A2-87B7-58E2306CE535}"/>
            </c:ext>
          </c:extLst>
        </c:ser>
        <c:ser>
          <c:idx val="0"/>
          <c:order val="3"/>
          <c:tx>
            <c:strRef>
              <c:f>'Contribution Analysis 3'!$B$34</c:f>
              <c:strCache>
                <c:ptCount val="1"/>
                <c:pt idx="0">
                  <c:v>Electricity</c:v>
                </c:pt>
              </c:strCache>
            </c:strRef>
          </c:tx>
          <c:spPr>
            <a:solidFill>
              <a:schemeClr val="accent1"/>
            </a:solidFill>
            <a:ln>
              <a:noFill/>
            </a:ln>
            <a:effectLst/>
          </c:spPr>
          <c:invertIfNegative val="0"/>
          <c:cat>
            <c:strRef>
              <c:f>'Contribution Analysis 3'!$A$35:$A$41</c:f>
              <c:strCache>
                <c:ptCount val="7"/>
                <c:pt idx="0">
                  <c:v>AP</c:v>
                </c:pt>
                <c:pt idx="1">
                  <c:v>DFE</c:v>
                </c:pt>
                <c:pt idx="2">
                  <c:v>EP </c:v>
                </c:pt>
                <c:pt idx="3">
                  <c:v>GWP</c:v>
                </c:pt>
                <c:pt idx="4">
                  <c:v>ODP </c:v>
                </c:pt>
                <c:pt idx="5">
                  <c:v>POCP</c:v>
                </c:pt>
                <c:pt idx="6">
                  <c:v>WSFP</c:v>
                </c:pt>
              </c:strCache>
            </c:strRef>
          </c:cat>
          <c:val>
            <c:numRef>
              <c:f>'Contribution Analysis 3'!$B$35:$B$41</c:f>
              <c:numCache>
                <c:formatCode>0.0</c:formatCode>
                <c:ptCount val="7"/>
                <c:pt idx="0" formatCode="0.000">
                  <c:v>3.6800000000000001E-3</c:v>
                </c:pt>
                <c:pt idx="1">
                  <c:v>25.6</c:v>
                </c:pt>
                <c:pt idx="2" formatCode="0.000">
                  <c:v>4.8099999999999998E-4</c:v>
                </c:pt>
                <c:pt idx="3">
                  <c:v>2.42</c:v>
                </c:pt>
                <c:pt idx="4" formatCode="0.0E+00">
                  <c:v>1.1700000000000001E-13</c:v>
                </c:pt>
                <c:pt idx="5" formatCode="0.000">
                  <c:v>2.7700000000000001E-4</c:v>
                </c:pt>
                <c:pt idx="6" formatCode="0.000">
                  <c:v>0.68600000000000005</c:v>
                </c:pt>
              </c:numCache>
            </c:numRef>
          </c:val>
          <c:extLst>
            <c:ext xmlns:c16="http://schemas.microsoft.com/office/drawing/2014/chart" uri="{C3380CC4-5D6E-409C-BE32-E72D297353CC}">
              <c16:uniqueId val="{00000003-612B-45A2-87B7-58E2306CE535}"/>
            </c:ext>
          </c:extLst>
        </c:ser>
        <c:ser>
          <c:idx val="4"/>
          <c:order val="4"/>
          <c:tx>
            <c:strRef>
              <c:f>'Contribution Analysis 3'!$F$34</c:f>
              <c:strCache>
                <c:ptCount val="1"/>
                <c:pt idx="0">
                  <c:v>Transport</c:v>
                </c:pt>
              </c:strCache>
            </c:strRef>
          </c:tx>
          <c:spPr>
            <a:solidFill>
              <a:schemeClr val="accent5"/>
            </a:solidFill>
            <a:ln>
              <a:noFill/>
            </a:ln>
            <a:effectLst/>
          </c:spPr>
          <c:invertIfNegative val="0"/>
          <c:cat>
            <c:strRef>
              <c:f>'Contribution Analysis 3'!$A$35:$A$41</c:f>
              <c:strCache>
                <c:ptCount val="7"/>
                <c:pt idx="0">
                  <c:v>AP</c:v>
                </c:pt>
                <c:pt idx="1">
                  <c:v>DFE</c:v>
                </c:pt>
                <c:pt idx="2">
                  <c:v>EP </c:v>
                </c:pt>
                <c:pt idx="3">
                  <c:v>GWP</c:v>
                </c:pt>
                <c:pt idx="4">
                  <c:v>ODP </c:v>
                </c:pt>
                <c:pt idx="5">
                  <c:v>POCP</c:v>
                </c:pt>
                <c:pt idx="6">
                  <c:v>WSFP</c:v>
                </c:pt>
              </c:strCache>
            </c:strRef>
          </c:cat>
          <c:val>
            <c:numRef>
              <c:f>'Contribution Analysis 3'!$F$35:$F$41</c:f>
              <c:numCache>
                <c:formatCode>0.0</c:formatCode>
                <c:ptCount val="7"/>
                <c:pt idx="0" formatCode="0.000">
                  <c:v>1.06E-2</c:v>
                </c:pt>
                <c:pt idx="1">
                  <c:v>4.41</c:v>
                </c:pt>
                <c:pt idx="2" formatCode="0.000">
                  <c:v>1.1900000000000001E-3</c:v>
                </c:pt>
                <c:pt idx="3">
                  <c:v>0.36099999999999999</c:v>
                </c:pt>
                <c:pt idx="4" formatCode="0.000">
                  <c:v>5.3200000000000003E-14</c:v>
                </c:pt>
                <c:pt idx="5" formatCode="0.000">
                  <c:v>5.7399999999999997E-4</c:v>
                </c:pt>
                <c:pt idx="6" formatCode="0.000">
                  <c:v>1.0300000000000001E-3</c:v>
                </c:pt>
              </c:numCache>
            </c:numRef>
          </c:val>
          <c:extLst>
            <c:ext xmlns:c16="http://schemas.microsoft.com/office/drawing/2014/chart" uri="{C3380CC4-5D6E-409C-BE32-E72D297353CC}">
              <c16:uniqueId val="{00000004-612B-45A2-87B7-58E2306CE535}"/>
            </c:ext>
          </c:extLst>
        </c:ser>
        <c:dLbls>
          <c:showLegendKey val="0"/>
          <c:showVal val="0"/>
          <c:showCatName val="0"/>
          <c:showSerName val="0"/>
          <c:showPercent val="0"/>
          <c:showBubbleSize val="0"/>
        </c:dLbls>
        <c:gapWidth val="150"/>
        <c:overlap val="100"/>
        <c:axId val="145900624"/>
        <c:axId val="145901016"/>
      </c:barChart>
      <c:catAx>
        <c:axId val="14590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01016"/>
        <c:crosses val="autoZero"/>
        <c:auto val="1"/>
        <c:lblAlgn val="ctr"/>
        <c:lblOffset val="100"/>
        <c:noMultiLvlLbl val="0"/>
      </c:catAx>
      <c:valAx>
        <c:axId val="1459010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00624"/>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GB" sz="1200"/>
              <a:t>Scenario 4: SAM-SAM-CAN</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1"/>
          <c:order val="0"/>
          <c:tx>
            <c:strRef>
              <c:f>'Contribution Analysis 3'!$C$44</c:f>
              <c:strCache>
                <c:ptCount val="1"/>
                <c:pt idx="0">
                  <c:v>Direct Process</c:v>
                </c:pt>
              </c:strCache>
            </c:strRef>
          </c:tx>
          <c:spPr>
            <a:solidFill>
              <a:schemeClr val="accent2"/>
            </a:solidFill>
            <a:ln>
              <a:noFill/>
            </a:ln>
            <a:effectLst/>
          </c:spPr>
          <c:invertIfNegative val="0"/>
          <c:cat>
            <c:strRef>
              <c:f>'Contribution Analysis 3'!$A$45:$A$51</c:f>
              <c:strCache>
                <c:ptCount val="7"/>
                <c:pt idx="0">
                  <c:v>AP</c:v>
                </c:pt>
                <c:pt idx="1">
                  <c:v>DFE</c:v>
                </c:pt>
                <c:pt idx="2">
                  <c:v>EP </c:v>
                </c:pt>
                <c:pt idx="3">
                  <c:v>GWP</c:v>
                </c:pt>
                <c:pt idx="4">
                  <c:v>ODP </c:v>
                </c:pt>
                <c:pt idx="5">
                  <c:v>POCP</c:v>
                </c:pt>
                <c:pt idx="6">
                  <c:v>WSFP</c:v>
                </c:pt>
              </c:strCache>
            </c:strRef>
          </c:cat>
          <c:val>
            <c:numRef>
              <c:f>'Contribution Analysis 3'!$C$45:$C$51</c:f>
              <c:numCache>
                <c:formatCode>0.0</c:formatCode>
                <c:ptCount val="7"/>
                <c:pt idx="0" formatCode="0.000">
                  <c:v>2.1600000000000001E-2</c:v>
                </c:pt>
                <c:pt idx="1">
                  <c:v>0</c:v>
                </c:pt>
                <c:pt idx="2" formatCode="0.000">
                  <c:v>1.9000000000000001E-4</c:v>
                </c:pt>
                <c:pt idx="3">
                  <c:v>2.39</c:v>
                </c:pt>
                <c:pt idx="4" formatCode="0.0E+00">
                  <c:v>0</c:v>
                </c:pt>
                <c:pt idx="5" formatCode="0.000">
                  <c:v>8.4500000000000005E-4</c:v>
                </c:pt>
                <c:pt idx="6" formatCode="0.000">
                  <c:v>0.14399999999999999</c:v>
                </c:pt>
              </c:numCache>
            </c:numRef>
          </c:val>
          <c:extLst>
            <c:ext xmlns:c16="http://schemas.microsoft.com/office/drawing/2014/chart" uri="{C3380CC4-5D6E-409C-BE32-E72D297353CC}">
              <c16:uniqueId val="{00000000-5C96-42AD-B3B2-CA0E1391FE38}"/>
            </c:ext>
          </c:extLst>
        </c:ser>
        <c:ser>
          <c:idx val="3"/>
          <c:order val="1"/>
          <c:tx>
            <c:strRef>
              <c:f>'Contribution Analysis 3'!$E$44</c:f>
              <c:strCache>
                <c:ptCount val="1"/>
                <c:pt idx="0">
                  <c:v>Thermal Energy</c:v>
                </c:pt>
              </c:strCache>
            </c:strRef>
          </c:tx>
          <c:spPr>
            <a:solidFill>
              <a:schemeClr val="accent4"/>
            </a:solidFill>
            <a:ln>
              <a:noFill/>
            </a:ln>
            <a:effectLst/>
          </c:spPr>
          <c:invertIfNegative val="0"/>
          <c:cat>
            <c:strRef>
              <c:f>'Contribution Analysis 3'!$A$45:$A$51</c:f>
              <c:strCache>
                <c:ptCount val="7"/>
                <c:pt idx="0">
                  <c:v>AP</c:v>
                </c:pt>
                <c:pt idx="1">
                  <c:v>DFE</c:v>
                </c:pt>
                <c:pt idx="2">
                  <c:v>EP </c:v>
                </c:pt>
                <c:pt idx="3">
                  <c:v>GWP</c:v>
                </c:pt>
                <c:pt idx="4">
                  <c:v>ODP </c:v>
                </c:pt>
                <c:pt idx="5">
                  <c:v>POCP</c:v>
                </c:pt>
                <c:pt idx="6">
                  <c:v>WSFP</c:v>
                </c:pt>
              </c:strCache>
            </c:strRef>
          </c:cat>
          <c:val>
            <c:numRef>
              <c:f>'Contribution Analysis 3'!$E$45:$E$51</c:f>
              <c:numCache>
                <c:formatCode>0.0</c:formatCode>
                <c:ptCount val="7"/>
                <c:pt idx="0" formatCode="0.000">
                  <c:v>2.3300000000000001E-2</c:v>
                </c:pt>
                <c:pt idx="1">
                  <c:v>16</c:v>
                </c:pt>
                <c:pt idx="2" formatCode="0.000">
                  <c:v>5.1199999999999998E-4</c:v>
                </c:pt>
                <c:pt idx="3">
                  <c:v>1.31</c:v>
                </c:pt>
                <c:pt idx="4" formatCode="0.0E+00">
                  <c:v>2.3999999999999999E-14</c:v>
                </c:pt>
                <c:pt idx="5" formatCode="0.000">
                  <c:v>1.0300000000000001E-3</c:v>
                </c:pt>
                <c:pt idx="6" formatCode="0.000">
                  <c:v>7.6699999999999997E-3</c:v>
                </c:pt>
              </c:numCache>
            </c:numRef>
          </c:val>
          <c:extLst>
            <c:ext xmlns:c16="http://schemas.microsoft.com/office/drawing/2014/chart" uri="{C3380CC4-5D6E-409C-BE32-E72D297353CC}">
              <c16:uniqueId val="{00000001-5C96-42AD-B3B2-CA0E1391FE38}"/>
            </c:ext>
          </c:extLst>
        </c:ser>
        <c:ser>
          <c:idx val="2"/>
          <c:order val="2"/>
          <c:tx>
            <c:strRef>
              <c:f>'Contribution Analysis 3'!$D$44</c:f>
              <c:strCache>
                <c:ptCount val="1"/>
                <c:pt idx="0">
                  <c:v>Ancillary</c:v>
                </c:pt>
              </c:strCache>
            </c:strRef>
          </c:tx>
          <c:spPr>
            <a:solidFill>
              <a:schemeClr val="accent3"/>
            </a:solidFill>
            <a:ln>
              <a:noFill/>
            </a:ln>
            <a:effectLst/>
          </c:spPr>
          <c:invertIfNegative val="0"/>
          <c:cat>
            <c:strRef>
              <c:f>'Contribution Analysis 3'!$A$45:$A$51</c:f>
              <c:strCache>
                <c:ptCount val="7"/>
                <c:pt idx="0">
                  <c:v>AP</c:v>
                </c:pt>
                <c:pt idx="1">
                  <c:v>DFE</c:v>
                </c:pt>
                <c:pt idx="2">
                  <c:v>EP </c:v>
                </c:pt>
                <c:pt idx="3">
                  <c:v>GWP</c:v>
                </c:pt>
                <c:pt idx="4">
                  <c:v>ODP </c:v>
                </c:pt>
                <c:pt idx="5">
                  <c:v>POCP</c:v>
                </c:pt>
                <c:pt idx="6">
                  <c:v>WSFP</c:v>
                </c:pt>
              </c:strCache>
            </c:strRef>
          </c:cat>
          <c:val>
            <c:numRef>
              <c:f>'Contribution Analysis 3'!$D$45:$D$51</c:f>
              <c:numCache>
                <c:formatCode>0.0</c:formatCode>
                <c:ptCount val="7"/>
                <c:pt idx="0" formatCode="0.000">
                  <c:v>2.0699999999999998E-3</c:v>
                </c:pt>
                <c:pt idx="1">
                  <c:v>24.5</c:v>
                </c:pt>
                <c:pt idx="2" formatCode="0.000">
                  <c:v>2.2800000000000001E-4</c:v>
                </c:pt>
                <c:pt idx="3">
                  <c:v>1.37</c:v>
                </c:pt>
                <c:pt idx="4" formatCode="0.0E+00">
                  <c:v>3.0500000000000001E-12</c:v>
                </c:pt>
                <c:pt idx="5" formatCode="0.000">
                  <c:v>2.2900000000000001E-4</c:v>
                </c:pt>
                <c:pt idx="6" formatCode="0.000">
                  <c:v>1.42</c:v>
                </c:pt>
              </c:numCache>
            </c:numRef>
          </c:val>
          <c:extLst>
            <c:ext xmlns:c16="http://schemas.microsoft.com/office/drawing/2014/chart" uri="{C3380CC4-5D6E-409C-BE32-E72D297353CC}">
              <c16:uniqueId val="{00000002-5C96-42AD-B3B2-CA0E1391FE38}"/>
            </c:ext>
          </c:extLst>
        </c:ser>
        <c:ser>
          <c:idx val="0"/>
          <c:order val="3"/>
          <c:tx>
            <c:strRef>
              <c:f>'Contribution Analysis 3'!$B$44</c:f>
              <c:strCache>
                <c:ptCount val="1"/>
                <c:pt idx="0">
                  <c:v>Electricity</c:v>
                </c:pt>
              </c:strCache>
            </c:strRef>
          </c:tx>
          <c:spPr>
            <a:solidFill>
              <a:schemeClr val="accent1"/>
            </a:solidFill>
            <a:ln>
              <a:noFill/>
            </a:ln>
            <a:effectLst/>
          </c:spPr>
          <c:invertIfNegative val="0"/>
          <c:cat>
            <c:strRef>
              <c:f>'Contribution Analysis 3'!$A$45:$A$51</c:f>
              <c:strCache>
                <c:ptCount val="7"/>
                <c:pt idx="0">
                  <c:v>AP</c:v>
                </c:pt>
                <c:pt idx="1">
                  <c:v>DFE</c:v>
                </c:pt>
                <c:pt idx="2">
                  <c:v>EP </c:v>
                </c:pt>
                <c:pt idx="3">
                  <c:v>GWP</c:v>
                </c:pt>
                <c:pt idx="4">
                  <c:v>ODP </c:v>
                </c:pt>
                <c:pt idx="5">
                  <c:v>POCP</c:v>
                </c:pt>
                <c:pt idx="6">
                  <c:v>WSFP</c:v>
                </c:pt>
              </c:strCache>
            </c:strRef>
          </c:cat>
          <c:val>
            <c:numRef>
              <c:f>'Contribution Analysis 3'!$B$45:$B$51</c:f>
              <c:numCache>
                <c:formatCode>0.0</c:formatCode>
                <c:ptCount val="7"/>
                <c:pt idx="0" formatCode="0.000">
                  <c:v>7.7299999999999995E-5</c:v>
                </c:pt>
                <c:pt idx="1">
                  <c:v>0.752</c:v>
                </c:pt>
                <c:pt idx="2" formatCode="0.000">
                  <c:v>1.56E-5</c:v>
                </c:pt>
                <c:pt idx="3">
                  <c:v>7.6999999999999999E-2</c:v>
                </c:pt>
                <c:pt idx="4" formatCode="0.0E+00">
                  <c:v>3.52E-16</c:v>
                </c:pt>
                <c:pt idx="5" formatCode="0.000">
                  <c:v>7.9899999999999997E-6</c:v>
                </c:pt>
                <c:pt idx="6" formatCode="0.000">
                  <c:v>1.47E-2</c:v>
                </c:pt>
              </c:numCache>
            </c:numRef>
          </c:val>
          <c:extLst>
            <c:ext xmlns:c16="http://schemas.microsoft.com/office/drawing/2014/chart" uri="{C3380CC4-5D6E-409C-BE32-E72D297353CC}">
              <c16:uniqueId val="{00000003-5C96-42AD-B3B2-CA0E1391FE38}"/>
            </c:ext>
          </c:extLst>
        </c:ser>
        <c:ser>
          <c:idx val="4"/>
          <c:order val="4"/>
          <c:tx>
            <c:strRef>
              <c:f>'Contribution Analysis 3'!$F$44</c:f>
              <c:strCache>
                <c:ptCount val="1"/>
                <c:pt idx="0">
                  <c:v>Transport</c:v>
                </c:pt>
              </c:strCache>
            </c:strRef>
          </c:tx>
          <c:spPr>
            <a:solidFill>
              <a:schemeClr val="accent5"/>
            </a:solidFill>
            <a:ln>
              <a:noFill/>
            </a:ln>
            <a:effectLst/>
          </c:spPr>
          <c:invertIfNegative val="0"/>
          <c:cat>
            <c:strRef>
              <c:f>'Contribution Analysis 3'!$A$45:$A$51</c:f>
              <c:strCache>
                <c:ptCount val="7"/>
                <c:pt idx="0">
                  <c:v>AP</c:v>
                </c:pt>
                <c:pt idx="1">
                  <c:v>DFE</c:v>
                </c:pt>
                <c:pt idx="2">
                  <c:v>EP </c:v>
                </c:pt>
                <c:pt idx="3">
                  <c:v>GWP</c:v>
                </c:pt>
                <c:pt idx="4">
                  <c:v>ODP </c:v>
                </c:pt>
                <c:pt idx="5">
                  <c:v>POCP</c:v>
                </c:pt>
                <c:pt idx="6">
                  <c:v>WSFP</c:v>
                </c:pt>
              </c:strCache>
            </c:strRef>
          </c:cat>
          <c:val>
            <c:numRef>
              <c:f>'Contribution Analysis 3'!$F$45:$F$51</c:f>
              <c:numCache>
                <c:formatCode>0.0</c:formatCode>
                <c:ptCount val="7"/>
                <c:pt idx="0" formatCode="0.000">
                  <c:v>7.43E-3</c:v>
                </c:pt>
                <c:pt idx="1">
                  <c:v>3.53</c:v>
                </c:pt>
                <c:pt idx="2" formatCode="0.000">
                  <c:v>8.4199999999999998E-4</c:v>
                </c:pt>
                <c:pt idx="3">
                  <c:v>0.29099999999999998</c:v>
                </c:pt>
                <c:pt idx="4" formatCode="0.000">
                  <c:v>5.4899999999999998E-13</c:v>
                </c:pt>
                <c:pt idx="5" formatCode="0.000">
                  <c:v>4.0400000000000001E-4</c:v>
                </c:pt>
                <c:pt idx="6" formatCode="0.000">
                  <c:v>7.7299999999999999E-3</c:v>
                </c:pt>
              </c:numCache>
            </c:numRef>
          </c:val>
          <c:extLst>
            <c:ext xmlns:c16="http://schemas.microsoft.com/office/drawing/2014/chart" uri="{C3380CC4-5D6E-409C-BE32-E72D297353CC}">
              <c16:uniqueId val="{00000004-5C96-42AD-B3B2-CA0E1391FE38}"/>
            </c:ext>
          </c:extLst>
        </c:ser>
        <c:dLbls>
          <c:showLegendKey val="0"/>
          <c:showVal val="0"/>
          <c:showCatName val="0"/>
          <c:showSerName val="0"/>
          <c:showPercent val="0"/>
          <c:showBubbleSize val="0"/>
        </c:dLbls>
        <c:gapWidth val="150"/>
        <c:overlap val="100"/>
        <c:axId val="145904152"/>
        <c:axId val="306917568"/>
      </c:barChart>
      <c:catAx>
        <c:axId val="145904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917568"/>
        <c:crosses val="autoZero"/>
        <c:auto val="1"/>
        <c:lblAlgn val="ctr"/>
        <c:lblOffset val="100"/>
        <c:noMultiLvlLbl val="0"/>
      </c:catAx>
      <c:valAx>
        <c:axId val="3069175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04152"/>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Global GWP breakdown</a:t>
            </a:r>
          </a:p>
        </c:rich>
      </c:tx>
      <c:overlay val="0"/>
      <c:spPr>
        <a:noFill/>
        <a:ln>
          <a:noFill/>
        </a:ln>
        <a:effectLst/>
      </c:spPr>
    </c:title>
    <c:autoTitleDeleted val="0"/>
    <c:plotArea>
      <c:layout/>
      <c:barChart>
        <c:barDir val="col"/>
        <c:grouping val="stacked"/>
        <c:varyColors val="0"/>
        <c:ser>
          <c:idx val="1"/>
          <c:order val="0"/>
          <c:tx>
            <c:strRef>
              <c:f>'Carbon GLO Update'!$A$3</c:f>
              <c:strCache>
                <c:ptCount val="1"/>
                <c:pt idx="0">
                  <c:v>Direct Process</c:v>
                </c:pt>
              </c:strCache>
            </c:strRef>
          </c:tx>
          <c:invertIfNegative val="0"/>
          <c:cat>
            <c:strRef>
              <c:f>'Carbon GLO Update'!$B$1:$F$1</c:f>
              <c:strCache>
                <c:ptCount val="5"/>
                <c:pt idx="0">
                  <c:v>Bauxite Mining</c:v>
                </c:pt>
                <c:pt idx="1">
                  <c:v>Alumina Production</c:v>
                </c:pt>
                <c:pt idx="2">
                  <c:v>Anode/Paste Production</c:v>
                </c:pt>
                <c:pt idx="3">
                  <c:v>Electrolysis</c:v>
                </c:pt>
                <c:pt idx="4">
                  <c:v>Ingot Casting</c:v>
                </c:pt>
              </c:strCache>
            </c:strRef>
          </c:cat>
          <c:val>
            <c:numRef>
              <c:f>'Carbon GLO Update'!$B$3:$F$3</c:f>
              <c:numCache>
                <c:formatCode>General</c:formatCode>
                <c:ptCount val="5"/>
                <c:pt idx="2" formatCode="0.00">
                  <c:v>0.11204728183339552</c:v>
                </c:pt>
                <c:pt idx="3" formatCode="0.00">
                  <c:v>2.297651939264977</c:v>
                </c:pt>
              </c:numCache>
            </c:numRef>
          </c:val>
          <c:extLst>
            <c:ext xmlns:c16="http://schemas.microsoft.com/office/drawing/2014/chart" uri="{C3380CC4-5D6E-409C-BE32-E72D297353CC}">
              <c16:uniqueId val="{00000000-A0CF-40F1-B311-6C61556112B1}"/>
            </c:ext>
          </c:extLst>
        </c:ser>
        <c:ser>
          <c:idx val="3"/>
          <c:order val="1"/>
          <c:tx>
            <c:strRef>
              <c:f>'Carbon GLO Update'!$A$5</c:f>
              <c:strCache>
                <c:ptCount val="1"/>
                <c:pt idx="0">
                  <c:v>Thermal Energy</c:v>
                </c:pt>
              </c:strCache>
            </c:strRef>
          </c:tx>
          <c:spPr>
            <a:solidFill>
              <a:schemeClr val="accent3"/>
            </a:solidFill>
            <a:ln>
              <a:noFill/>
            </a:ln>
            <a:effectLst/>
          </c:spPr>
          <c:invertIfNegative val="0"/>
          <c:cat>
            <c:strRef>
              <c:f>'Carbon GLO Update'!$B$1:$F$1</c:f>
              <c:strCache>
                <c:ptCount val="5"/>
                <c:pt idx="0">
                  <c:v>Bauxite Mining</c:v>
                </c:pt>
                <c:pt idx="1">
                  <c:v>Alumina Production</c:v>
                </c:pt>
                <c:pt idx="2">
                  <c:v>Anode/Paste Production</c:v>
                </c:pt>
                <c:pt idx="3">
                  <c:v>Electrolysis</c:v>
                </c:pt>
                <c:pt idx="4">
                  <c:v>Ingot Casting</c:v>
                </c:pt>
              </c:strCache>
            </c:strRef>
          </c:cat>
          <c:val>
            <c:numRef>
              <c:f>'Carbon GLO Update'!$B$5:$F$5</c:f>
              <c:numCache>
                <c:formatCode>0.00</c:formatCode>
                <c:ptCount val="5"/>
                <c:pt idx="0">
                  <c:v>3.7678284609265485E-2</c:v>
                </c:pt>
                <c:pt idx="1">
                  <c:v>1.7847682191457919</c:v>
                </c:pt>
                <c:pt idx="2">
                  <c:v>9.1080744675337652E-2</c:v>
                </c:pt>
                <c:pt idx="4">
                  <c:v>6.2417729401796219E-2</c:v>
                </c:pt>
              </c:numCache>
            </c:numRef>
          </c:val>
          <c:extLst>
            <c:ext xmlns:c16="http://schemas.microsoft.com/office/drawing/2014/chart" uri="{C3380CC4-5D6E-409C-BE32-E72D297353CC}">
              <c16:uniqueId val="{00000001-A0CF-40F1-B311-6C61556112B1}"/>
            </c:ext>
          </c:extLst>
        </c:ser>
        <c:ser>
          <c:idx val="2"/>
          <c:order val="2"/>
          <c:tx>
            <c:strRef>
              <c:f>'Carbon GLO Update'!$A$4</c:f>
              <c:strCache>
                <c:ptCount val="1"/>
                <c:pt idx="0">
                  <c:v>Ancillary</c:v>
                </c:pt>
              </c:strCache>
            </c:strRef>
          </c:tx>
          <c:spPr>
            <a:solidFill>
              <a:srgbClr val="00B050"/>
            </a:solidFill>
            <a:ln>
              <a:noFill/>
            </a:ln>
            <a:effectLst/>
          </c:spPr>
          <c:invertIfNegative val="0"/>
          <c:cat>
            <c:strRef>
              <c:f>'Carbon GLO Update'!$B$1:$F$1</c:f>
              <c:strCache>
                <c:ptCount val="5"/>
                <c:pt idx="0">
                  <c:v>Bauxite Mining</c:v>
                </c:pt>
                <c:pt idx="1">
                  <c:v>Alumina Production</c:v>
                </c:pt>
                <c:pt idx="2">
                  <c:v>Anode/Paste Production</c:v>
                </c:pt>
                <c:pt idx="3">
                  <c:v>Electrolysis</c:v>
                </c:pt>
                <c:pt idx="4">
                  <c:v>Ingot Casting</c:v>
                </c:pt>
              </c:strCache>
            </c:strRef>
          </c:cat>
          <c:val>
            <c:numRef>
              <c:f>'Carbon GLO Update'!$B$4:$F$4</c:f>
              <c:numCache>
                <c:formatCode>0.00</c:formatCode>
                <c:ptCount val="5"/>
                <c:pt idx="0">
                  <c:v>6.0019140744810005E-6</c:v>
                </c:pt>
                <c:pt idx="1">
                  <c:v>0.44002177238667051</c:v>
                </c:pt>
                <c:pt idx="2">
                  <c:v>0.66452913103707667</c:v>
                </c:pt>
                <c:pt idx="3">
                  <c:v>7.2400093365765569E-2</c:v>
                </c:pt>
                <c:pt idx="4">
                  <c:v>3.7420223780046353E-4</c:v>
                </c:pt>
              </c:numCache>
            </c:numRef>
          </c:val>
          <c:extLst>
            <c:ext xmlns:c16="http://schemas.microsoft.com/office/drawing/2014/chart" uri="{C3380CC4-5D6E-409C-BE32-E72D297353CC}">
              <c16:uniqueId val="{00000002-A0CF-40F1-B311-6C61556112B1}"/>
            </c:ext>
          </c:extLst>
        </c:ser>
        <c:ser>
          <c:idx val="0"/>
          <c:order val="3"/>
          <c:tx>
            <c:strRef>
              <c:f>'Carbon GLO Update'!$A$2</c:f>
              <c:strCache>
                <c:ptCount val="1"/>
                <c:pt idx="0">
                  <c:v>Electricity</c:v>
                </c:pt>
              </c:strCache>
            </c:strRef>
          </c:tx>
          <c:spPr>
            <a:solidFill>
              <a:schemeClr val="accent1"/>
            </a:solidFill>
            <a:ln>
              <a:noFill/>
            </a:ln>
            <a:effectLst/>
          </c:spPr>
          <c:invertIfNegative val="0"/>
          <c:cat>
            <c:strRef>
              <c:f>'Carbon GLO Update'!$B$1:$F$1</c:f>
              <c:strCache>
                <c:ptCount val="5"/>
                <c:pt idx="0">
                  <c:v>Bauxite Mining</c:v>
                </c:pt>
                <c:pt idx="1">
                  <c:v>Alumina Production</c:v>
                </c:pt>
                <c:pt idx="2">
                  <c:v>Anode/Paste Production</c:v>
                </c:pt>
                <c:pt idx="3">
                  <c:v>Electrolysis</c:v>
                </c:pt>
                <c:pt idx="4">
                  <c:v>Ingot Casting</c:v>
                </c:pt>
              </c:strCache>
            </c:strRef>
          </c:cat>
          <c:val>
            <c:numRef>
              <c:f>'Carbon GLO Update'!$B$2:$F$2</c:f>
              <c:numCache>
                <c:formatCode>0.00</c:formatCode>
                <c:ptCount val="5"/>
                <c:pt idx="0">
                  <c:v>5.65917277741366E-3</c:v>
                </c:pt>
                <c:pt idx="1">
                  <c:v>0.23166032562607367</c:v>
                </c:pt>
                <c:pt idx="2">
                  <c:v>3.8785034421946495E-2</c:v>
                </c:pt>
                <c:pt idx="3">
                  <c:v>10.551876328693698</c:v>
                </c:pt>
                <c:pt idx="4">
                  <c:v>3.8998467789993198E-2</c:v>
                </c:pt>
              </c:numCache>
            </c:numRef>
          </c:val>
          <c:extLst>
            <c:ext xmlns:c16="http://schemas.microsoft.com/office/drawing/2014/chart" uri="{C3380CC4-5D6E-409C-BE32-E72D297353CC}">
              <c16:uniqueId val="{00000003-A0CF-40F1-B311-6C61556112B1}"/>
            </c:ext>
          </c:extLst>
        </c:ser>
        <c:ser>
          <c:idx val="4"/>
          <c:order val="4"/>
          <c:tx>
            <c:strRef>
              <c:f>'Carbon GLO Update'!$A$6</c:f>
              <c:strCache>
                <c:ptCount val="1"/>
                <c:pt idx="0">
                  <c:v>Transport</c:v>
                </c:pt>
              </c:strCache>
            </c:strRef>
          </c:tx>
          <c:spPr>
            <a:solidFill>
              <a:schemeClr val="accent4"/>
            </a:solidFill>
            <a:ln>
              <a:noFill/>
            </a:ln>
            <a:effectLst/>
          </c:spPr>
          <c:invertIfNegative val="0"/>
          <c:cat>
            <c:strRef>
              <c:f>'Carbon GLO Update'!$B$1:$F$1</c:f>
              <c:strCache>
                <c:ptCount val="5"/>
                <c:pt idx="0">
                  <c:v>Bauxite Mining</c:v>
                </c:pt>
                <c:pt idx="1">
                  <c:v>Alumina Production</c:v>
                </c:pt>
                <c:pt idx="2">
                  <c:v>Anode/Paste Production</c:v>
                </c:pt>
                <c:pt idx="3">
                  <c:v>Electrolysis</c:v>
                </c:pt>
                <c:pt idx="4">
                  <c:v>Ingot Casting</c:v>
                </c:pt>
              </c:strCache>
            </c:strRef>
          </c:cat>
          <c:val>
            <c:numRef>
              <c:f>'Carbon GLO Update'!$B$6:$F$6</c:f>
              <c:numCache>
                <c:formatCode>0.00</c:formatCode>
                <c:ptCount val="5"/>
                <c:pt idx="1">
                  <c:v>0.23074287053175499</c:v>
                </c:pt>
                <c:pt idx="3">
                  <c:v>0.18444179865032378</c:v>
                </c:pt>
              </c:numCache>
            </c:numRef>
          </c:val>
          <c:extLst>
            <c:ext xmlns:c16="http://schemas.microsoft.com/office/drawing/2014/chart" uri="{C3380CC4-5D6E-409C-BE32-E72D297353CC}">
              <c16:uniqueId val="{00000004-A0CF-40F1-B311-6C61556112B1}"/>
            </c:ext>
          </c:extLst>
        </c:ser>
        <c:dLbls>
          <c:showLegendKey val="0"/>
          <c:showVal val="0"/>
          <c:showCatName val="0"/>
          <c:showSerName val="0"/>
          <c:showPercent val="0"/>
          <c:showBubbleSize val="0"/>
        </c:dLbls>
        <c:gapWidth val="150"/>
        <c:overlap val="100"/>
        <c:axId val="306919528"/>
        <c:axId val="306922664"/>
      </c:barChart>
      <c:catAx>
        <c:axId val="306919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922664"/>
        <c:crosses val="autoZero"/>
        <c:auto val="1"/>
        <c:lblAlgn val="ctr"/>
        <c:lblOffset val="100"/>
        <c:noMultiLvlLbl val="0"/>
      </c:catAx>
      <c:valAx>
        <c:axId val="306922664"/>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GB" sz="1000" b="0" i="0" baseline="0">
                    <a:solidFill>
                      <a:schemeClr val="bg1">
                        <a:lumMod val="50000"/>
                      </a:schemeClr>
                    </a:solidFill>
                    <a:effectLst/>
                    <a:latin typeface="Helvetica" panose="020B0604020202020204" pitchFamily="34" charset="0"/>
                    <a:cs typeface="Helvetica" panose="020B0604020202020204" pitchFamily="34" charset="0"/>
                  </a:rPr>
                  <a:t>t CO2e/t Al</a:t>
                </a:r>
              </a:p>
            </c:rich>
          </c:tx>
          <c:overlay val="0"/>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919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008259682505595"/>
          <c:y val="5.8234077648493775E-2"/>
          <c:w val="0.85948860271973471"/>
          <c:h val="0.75376401490676892"/>
        </c:manualLayout>
      </c:layout>
      <c:barChart>
        <c:barDir val="col"/>
        <c:grouping val="stacked"/>
        <c:varyColors val="0"/>
        <c:ser>
          <c:idx val="1"/>
          <c:order val="0"/>
          <c:tx>
            <c:strRef>
              <c:f>'Contribution Analysis by scen'!$C$18</c:f>
              <c:strCache>
                <c:ptCount val="1"/>
                <c:pt idx="0">
                  <c:v>Direct Process</c:v>
                </c:pt>
              </c:strCache>
            </c:strRef>
          </c:tx>
          <c:spPr>
            <a:solidFill>
              <a:schemeClr val="accent2"/>
            </a:solidFill>
            <a:ln>
              <a:noFill/>
            </a:ln>
            <a:effectLst/>
          </c:spPr>
          <c:invertIfNegative val="0"/>
          <c:cat>
            <c:strRef>
              <c:f>'Contribution Analysis by scen'!$A$19:$A$23</c:f>
              <c:strCache>
                <c:ptCount val="5"/>
                <c:pt idx="0">
                  <c:v>Global</c:v>
                </c:pt>
                <c:pt idx="1">
                  <c:v>Scenario 1</c:v>
                </c:pt>
                <c:pt idx="2">
                  <c:v>Scenario 2</c:v>
                </c:pt>
                <c:pt idx="3">
                  <c:v>Scenario 3</c:v>
                </c:pt>
                <c:pt idx="4">
                  <c:v>Scenario 4</c:v>
                </c:pt>
              </c:strCache>
            </c:strRef>
          </c:cat>
          <c:val>
            <c:numRef>
              <c:f>'Contribution Analysis by scen'!$C$19:$C$23</c:f>
              <c:numCache>
                <c:formatCode>0.0</c:formatCode>
                <c:ptCount val="5"/>
                <c:pt idx="0">
                  <c:v>2.4096992210983723</c:v>
                </c:pt>
                <c:pt idx="1">
                  <c:v>2.71</c:v>
                </c:pt>
                <c:pt idx="2">
                  <c:v>1.87</c:v>
                </c:pt>
                <c:pt idx="3">
                  <c:v>2.14</c:v>
                </c:pt>
                <c:pt idx="4">
                  <c:v>2.39</c:v>
                </c:pt>
              </c:numCache>
            </c:numRef>
          </c:val>
          <c:extLst>
            <c:ext xmlns:c16="http://schemas.microsoft.com/office/drawing/2014/chart" uri="{C3380CC4-5D6E-409C-BE32-E72D297353CC}">
              <c16:uniqueId val="{00000000-A584-467C-94EE-46B27102871E}"/>
            </c:ext>
          </c:extLst>
        </c:ser>
        <c:ser>
          <c:idx val="3"/>
          <c:order val="1"/>
          <c:tx>
            <c:strRef>
              <c:f>'Contribution Analysis by scen'!$E$18</c:f>
              <c:strCache>
                <c:ptCount val="1"/>
                <c:pt idx="0">
                  <c:v>Thermal Energy</c:v>
                </c:pt>
              </c:strCache>
            </c:strRef>
          </c:tx>
          <c:spPr>
            <a:solidFill>
              <a:schemeClr val="accent4"/>
            </a:solidFill>
            <a:ln>
              <a:noFill/>
            </a:ln>
            <a:effectLst/>
          </c:spPr>
          <c:invertIfNegative val="0"/>
          <c:cat>
            <c:strRef>
              <c:f>'Contribution Analysis by scen'!$A$19:$A$23</c:f>
              <c:strCache>
                <c:ptCount val="5"/>
                <c:pt idx="0">
                  <c:v>Global</c:v>
                </c:pt>
                <c:pt idx="1">
                  <c:v>Scenario 1</c:v>
                </c:pt>
                <c:pt idx="2">
                  <c:v>Scenario 2</c:v>
                </c:pt>
                <c:pt idx="3">
                  <c:v>Scenario 3</c:v>
                </c:pt>
                <c:pt idx="4">
                  <c:v>Scenario 4</c:v>
                </c:pt>
              </c:strCache>
            </c:strRef>
          </c:cat>
          <c:val>
            <c:numRef>
              <c:f>'Contribution Analysis by scen'!$E$19:$E$23</c:f>
              <c:numCache>
                <c:formatCode>0.0</c:formatCode>
                <c:ptCount val="5"/>
                <c:pt idx="0">
                  <c:v>1.9759449778321914</c:v>
                </c:pt>
                <c:pt idx="1">
                  <c:v>2.5499999999999998</c:v>
                </c:pt>
                <c:pt idx="2">
                  <c:v>1.51</c:v>
                </c:pt>
                <c:pt idx="3">
                  <c:v>1.42</c:v>
                </c:pt>
                <c:pt idx="4">
                  <c:v>1.31</c:v>
                </c:pt>
              </c:numCache>
            </c:numRef>
          </c:val>
          <c:extLst>
            <c:ext xmlns:c16="http://schemas.microsoft.com/office/drawing/2014/chart" uri="{C3380CC4-5D6E-409C-BE32-E72D297353CC}">
              <c16:uniqueId val="{00000001-A584-467C-94EE-46B27102871E}"/>
            </c:ext>
          </c:extLst>
        </c:ser>
        <c:ser>
          <c:idx val="2"/>
          <c:order val="2"/>
          <c:tx>
            <c:strRef>
              <c:f>'Contribution Analysis by scen'!$D$18</c:f>
              <c:strCache>
                <c:ptCount val="1"/>
                <c:pt idx="0">
                  <c:v>Ancillary Materials</c:v>
                </c:pt>
              </c:strCache>
            </c:strRef>
          </c:tx>
          <c:spPr>
            <a:solidFill>
              <a:schemeClr val="accent3"/>
            </a:solidFill>
            <a:ln>
              <a:noFill/>
            </a:ln>
            <a:effectLst/>
          </c:spPr>
          <c:invertIfNegative val="0"/>
          <c:cat>
            <c:strRef>
              <c:f>'Contribution Analysis by scen'!$A$19:$A$23</c:f>
              <c:strCache>
                <c:ptCount val="5"/>
                <c:pt idx="0">
                  <c:v>Global</c:v>
                </c:pt>
                <c:pt idx="1">
                  <c:v>Scenario 1</c:v>
                </c:pt>
                <c:pt idx="2">
                  <c:v>Scenario 2</c:v>
                </c:pt>
                <c:pt idx="3">
                  <c:v>Scenario 3</c:v>
                </c:pt>
                <c:pt idx="4">
                  <c:v>Scenario 4</c:v>
                </c:pt>
              </c:strCache>
            </c:strRef>
          </c:cat>
          <c:val>
            <c:numRef>
              <c:f>'Contribution Analysis by scen'!$D$19:$D$23</c:f>
              <c:numCache>
                <c:formatCode>0.0</c:formatCode>
                <c:ptCount val="5"/>
                <c:pt idx="0">
                  <c:v>1.1773312009413877</c:v>
                </c:pt>
                <c:pt idx="1">
                  <c:v>1.1499999999999999</c:v>
                </c:pt>
                <c:pt idx="2">
                  <c:v>1.24</c:v>
                </c:pt>
                <c:pt idx="3">
                  <c:v>1.01</c:v>
                </c:pt>
                <c:pt idx="4">
                  <c:v>1.38</c:v>
                </c:pt>
              </c:numCache>
            </c:numRef>
          </c:val>
          <c:extLst>
            <c:ext xmlns:c16="http://schemas.microsoft.com/office/drawing/2014/chart" uri="{C3380CC4-5D6E-409C-BE32-E72D297353CC}">
              <c16:uniqueId val="{00000002-A584-467C-94EE-46B27102871E}"/>
            </c:ext>
          </c:extLst>
        </c:ser>
        <c:ser>
          <c:idx val="0"/>
          <c:order val="3"/>
          <c:tx>
            <c:strRef>
              <c:f>'Contribution Analysis by scen'!$B$18</c:f>
              <c:strCache>
                <c:ptCount val="1"/>
                <c:pt idx="0">
                  <c:v>Electricity</c:v>
                </c:pt>
              </c:strCache>
            </c:strRef>
          </c:tx>
          <c:spPr>
            <a:solidFill>
              <a:schemeClr val="accent1"/>
            </a:solidFill>
            <a:ln>
              <a:noFill/>
            </a:ln>
            <a:effectLst/>
          </c:spPr>
          <c:invertIfNegative val="0"/>
          <c:cat>
            <c:strRef>
              <c:f>'Contribution Analysis by scen'!$A$19:$A$23</c:f>
              <c:strCache>
                <c:ptCount val="5"/>
                <c:pt idx="0">
                  <c:v>Global</c:v>
                </c:pt>
                <c:pt idx="1">
                  <c:v>Scenario 1</c:v>
                </c:pt>
                <c:pt idx="2">
                  <c:v>Scenario 2</c:v>
                </c:pt>
                <c:pt idx="3">
                  <c:v>Scenario 3</c:v>
                </c:pt>
                <c:pt idx="4">
                  <c:v>Scenario 4</c:v>
                </c:pt>
              </c:strCache>
            </c:strRef>
          </c:cat>
          <c:val>
            <c:numRef>
              <c:f>'Contribution Analysis by scen'!$B$19:$B$23</c:f>
              <c:numCache>
                <c:formatCode>0.0</c:formatCode>
                <c:ptCount val="5"/>
                <c:pt idx="0">
                  <c:v>10.866979329309125</c:v>
                </c:pt>
                <c:pt idx="1">
                  <c:v>13.5</c:v>
                </c:pt>
                <c:pt idx="2">
                  <c:v>6.35</c:v>
                </c:pt>
                <c:pt idx="3">
                  <c:v>2.4500000000000002</c:v>
                </c:pt>
                <c:pt idx="4">
                  <c:v>7.7100000000000002E-2</c:v>
                </c:pt>
              </c:numCache>
            </c:numRef>
          </c:val>
          <c:extLst>
            <c:ext xmlns:c16="http://schemas.microsoft.com/office/drawing/2014/chart" uri="{C3380CC4-5D6E-409C-BE32-E72D297353CC}">
              <c16:uniqueId val="{00000003-A584-467C-94EE-46B27102871E}"/>
            </c:ext>
          </c:extLst>
        </c:ser>
        <c:ser>
          <c:idx val="4"/>
          <c:order val="4"/>
          <c:tx>
            <c:strRef>
              <c:f>'Contribution Analysis by scen'!$F$18</c:f>
              <c:strCache>
                <c:ptCount val="1"/>
                <c:pt idx="0">
                  <c:v>Transport</c:v>
                </c:pt>
              </c:strCache>
            </c:strRef>
          </c:tx>
          <c:spPr>
            <a:solidFill>
              <a:schemeClr val="accent5"/>
            </a:solidFill>
            <a:ln>
              <a:noFill/>
            </a:ln>
            <a:effectLst/>
          </c:spPr>
          <c:invertIfNegative val="0"/>
          <c:cat>
            <c:strRef>
              <c:f>'Contribution Analysis by scen'!$A$19:$A$23</c:f>
              <c:strCache>
                <c:ptCount val="5"/>
                <c:pt idx="0">
                  <c:v>Global</c:v>
                </c:pt>
                <c:pt idx="1">
                  <c:v>Scenario 1</c:v>
                </c:pt>
                <c:pt idx="2">
                  <c:v>Scenario 2</c:v>
                </c:pt>
                <c:pt idx="3">
                  <c:v>Scenario 3</c:v>
                </c:pt>
                <c:pt idx="4">
                  <c:v>Scenario 4</c:v>
                </c:pt>
              </c:strCache>
            </c:strRef>
          </c:cat>
          <c:val>
            <c:numRef>
              <c:f>'Contribution Analysis by scen'!$F$19:$F$23</c:f>
              <c:numCache>
                <c:formatCode>0.0</c:formatCode>
                <c:ptCount val="5"/>
                <c:pt idx="0">
                  <c:v>0.41518466918207875</c:v>
                </c:pt>
                <c:pt idx="1">
                  <c:v>0.41199999999999998</c:v>
                </c:pt>
                <c:pt idx="2">
                  <c:v>0.38400000000000001</c:v>
                </c:pt>
                <c:pt idx="3">
                  <c:v>0.36099999999999999</c:v>
                </c:pt>
                <c:pt idx="4">
                  <c:v>0.29099999999999998</c:v>
                </c:pt>
              </c:numCache>
            </c:numRef>
          </c:val>
          <c:extLst>
            <c:ext xmlns:c16="http://schemas.microsoft.com/office/drawing/2014/chart" uri="{C3380CC4-5D6E-409C-BE32-E72D297353CC}">
              <c16:uniqueId val="{00000004-A584-467C-94EE-46B27102871E}"/>
            </c:ext>
          </c:extLst>
        </c:ser>
        <c:dLbls>
          <c:showLegendKey val="0"/>
          <c:showVal val="0"/>
          <c:showCatName val="0"/>
          <c:showSerName val="0"/>
          <c:showPercent val="0"/>
          <c:showBubbleSize val="0"/>
        </c:dLbls>
        <c:gapWidth val="150"/>
        <c:overlap val="100"/>
        <c:axId val="306919136"/>
        <c:axId val="306923840"/>
      </c:barChart>
      <c:catAx>
        <c:axId val="306919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923840"/>
        <c:crosses val="autoZero"/>
        <c:auto val="1"/>
        <c:lblAlgn val="ctr"/>
        <c:lblOffset val="100"/>
        <c:noMultiLvlLbl val="0"/>
      </c:catAx>
      <c:valAx>
        <c:axId val="30692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a:t>
                </a:r>
                <a:r>
                  <a:rPr lang="en-GB" baseline="0"/>
                  <a:t> CO2e/t Al</a:t>
                </a:r>
                <a:endParaRPr lang="en-GB"/>
              </a:p>
            </c:rich>
          </c:tx>
          <c:layout>
            <c:manualLayout>
              <c:xMode val="edge"/>
              <c:yMode val="edge"/>
              <c:x val="1.5753628918960215E-4"/>
              <c:y val="0.3057969750931474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919136"/>
        <c:crosses val="autoZero"/>
        <c:crossBetween val="between"/>
      </c:valAx>
      <c:spPr>
        <a:noFill/>
        <a:ln>
          <a:noFill/>
        </a:ln>
        <a:effectLst/>
      </c:spPr>
    </c:plotArea>
    <c:legend>
      <c:legendPos val="b"/>
      <c:layout>
        <c:manualLayout>
          <c:xMode val="edge"/>
          <c:yMode val="edge"/>
          <c:x val="6.1064906126790067E-2"/>
          <c:y val="0.89918025509986743"/>
          <c:w val="0.87052286513978261"/>
          <c:h val="9.915366146219620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8136425757237855E-2"/>
          <c:y val="0.10302057189049993"/>
          <c:w val="0.89820912908762218"/>
          <c:h val="0.83096520237845561"/>
        </c:manualLayout>
      </c:layout>
      <c:barChart>
        <c:barDir val="col"/>
        <c:grouping val="clustered"/>
        <c:varyColors val="0"/>
        <c:ser>
          <c:idx val="0"/>
          <c:order val="0"/>
          <c:tx>
            <c:strRef>
              <c:f>Sheet1!$B$1</c:f>
              <c:strCache>
                <c:ptCount val="1"/>
                <c:pt idx="0">
                  <c:v>LCI Survey</c:v>
                </c:pt>
              </c:strCache>
            </c:strRef>
          </c:tx>
          <c:spPr>
            <a:solidFill>
              <a:schemeClr val="accent1"/>
            </a:solidFill>
            <a:ln>
              <a:noFill/>
            </a:ln>
            <a:effectLst/>
          </c:spPr>
          <c:invertIfNegative val="0"/>
          <c:dPt>
            <c:idx val="5"/>
            <c:invertIfNegative val="0"/>
            <c:bubble3D val="0"/>
            <c:spPr>
              <a:solidFill>
                <a:schemeClr val="accent1"/>
              </a:solidFill>
              <a:ln w="3175">
                <a:solidFill>
                  <a:schemeClr val="bg1">
                    <a:lumMod val="65000"/>
                  </a:schemeClr>
                </a:solidFill>
              </a:ln>
              <a:effectLst/>
            </c:spPr>
            <c:extLst>
              <c:ext xmlns:c16="http://schemas.microsoft.com/office/drawing/2014/chart" uri="{C3380CC4-5D6E-409C-BE32-E72D297353CC}">
                <c16:uniqueId val="{00000001-CF55-4564-9AEA-F9D2FA2B039C}"/>
              </c:ext>
            </c:extLst>
          </c:dPt>
          <c:dPt>
            <c:idx val="8"/>
            <c:invertIfNegative val="0"/>
            <c:bubble3D val="0"/>
            <c:extLst>
              <c:ext xmlns:c16="http://schemas.microsoft.com/office/drawing/2014/chart" uri="{C3380CC4-5D6E-409C-BE32-E72D297353CC}">
                <c16:uniqueId val="{00000002-CF55-4564-9AEA-F9D2FA2B039C}"/>
              </c:ext>
            </c:extLst>
          </c:dPt>
          <c:cat>
            <c:strRef>
              <c:f>Sheet1!$A$2:$A$11</c:f>
              <c:strCache>
                <c:ptCount val="10"/>
                <c:pt idx="0">
                  <c:v>GLO</c:v>
                </c:pt>
                <c:pt idx="1">
                  <c:v>AFR</c:v>
                </c:pt>
                <c:pt idx="2">
                  <c:v>OAS</c:v>
                </c:pt>
                <c:pt idx="3">
                  <c:v>CNA</c:v>
                </c:pt>
                <c:pt idx="4">
                  <c:v>EUR</c:v>
                </c:pt>
                <c:pt idx="5">
                  <c:v>GCC</c:v>
                </c:pt>
                <c:pt idx="6">
                  <c:v>NAM</c:v>
                </c:pt>
                <c:pt idx="7">
                  <c:v>OCA</c:v>
                </c:pt>
                <c:pt idx="8">
                  <c:v>ROE</c:v>
                </c:pt>
                <c:pt idx="9">
                  <c:v>SAM</c:v>
                </c:pt>
              </c:strCache>
            </c:strRef>
          </c:cat>
          <c:val>
            <c:numRef>
              <c:f>Sheet1!$B$2:$B$11</c:f>
              <c:numCache>
                <c:formatCode>0%</c:formatCode>
                <c:ptCount val="10"/>
                <c:pt idx="0">
                  <c:v>0.35</c:v>
                </c:pt>
                <c:pt idx="1">
                  <c:v>0</c:v>
                </c:pt>
                <c:pt idx="2">
                  <c:v>0.26</c:v>
                </c:pt>
                <c:pt idx="3">
                  <c:v>0</c:v>
                </c:pt>
                <c:pt idx="4">
                  <c:v>0.79</c:v>
                </c:pt>
                <c:pt idx="5">
                  <c:v>0</c:v>
                </c:pt>
                <c:pt idx="6">
                  <c:v>0.62</c:v>
                </c:pt>
                <c:pt idx="7">
                  <c:v>1</c:v>
                </c:pt>
                <c:pt idx="8">
                  <c:v>0.81</c:v>
                </c:pt>
                <c:pt idx="9">
                  <c:v>0.47</c:v>
                </c:pt>
              </c:numCache>
            </c:numRef>
          </c:val>
          <c:extLst>
            <c:ext xmlns:c16="http://schemas.microsoft.com/office/drawing/2014/chart" uri="{C3380CC4-5D6E-409C-BE32-E72D297353CC}">
              <c16:uniqueId val="{00000003-CF55-4564-9AEA-F9D2FA2B039C}"/>
            </c:ext>
          </c:extLst>
        </c:ser>
        <c:ser>
          <c:idx val="1"/>
          <c:order val="1"/>
          <c:tx>
            <c:strRef>
              <c:f>Sheet1!$C$1</c:f>
              <c:strCache>
                <c:ptCount val="1"/>
                <c:pt idx="0">
                  <c:v>Energy Survey</c:v>
                </c:pt>
              </c:strCache>
            </c:strRef>
          </c:tx>
          <c:spPr>
            <a:solidFill>
              <a:srgbClr val="B1B0A7"/>
            </a:solidFill>
            <a:ln>
              <a:noFill/>
            </a:ln>
            <a:effectLst/>
          </c:spPr>
          <c:invertIfNegative val="0"/>
          <c:cat>
            <c:strRef>
              <c:f>Sheet1!$A$2:$A$11</c:f>
              <c:strCache>
                <c:ptCount val="10"/>
                <c:pt idx="0">
                  <c:v>GLO</c:v>
                </c:pt>
                <c:pt idx="1">
                  <c:v>AFR</c:v>
                </c:pt>
                <c:pt idx="2">
                  <c:v>OAS</c:v>
                </c:pt>
                <c:pt idx="3">
                  <c:v>CNA</c:v>
                </c:pt>
                <c:pt idx="4">
                  <c:v>EUR</c:v>
                </c:pt>
                <c:pt idx="5">
                  <c:v>GCC</c:v>
                </c:pt>
                <c:pt idx="6">
                  <c:v>NAM</c:v>
                </c:pt>
                <c:pt idx="7">
                  <c:v>OCA</c:v>
                </c:pt>
                <c:pt idx="8">
                  <c:v>ROE</c:v>
                </c:pt>
                <c:pt idx="9">
                  <c:v>SAM</c:v>
                </c:pt>
              </c:strCache>
            </c:strRef>
          </c:cat>
          <c:val>
            <c:numRef>
              <c:f>Sheet1!$C$2:$C$11</c:f>
              <c:numCache>
                <c:formatCode>0%</c:formatCode>
                <c:ptCount val="10"/>
                <c:pt idx="0">
                  <c:v>0.89</c:v>
                </c:pt>
                <c:pt idx="1">
                  <c:v>0</c:v>
                </c:pt>
                <c:pt idx="2">
                  <c:v>0.25</c:v>
                </c:pt>
                <c:pt idx="3">
                  <c:v>1</c:v>
                </c:pt>
                <c:pt idx="4">
                  <c:v>1</c:v>
                </c:pt>
                <c:pt idx="5">
                  <c:v>0.61</c:v>
                </c:pt>
                <c:pt idx="6">
                  <c:v>0.61</c:v>
                </c:pt>
                <c:pt idx="7">
                  <c:v>1</c:v>
                </c:pt>
                <c:pt idx="8">
                  <c:v>0.81</c:v>
                </c:pt>
                <c:pt idx="9">
                  <c:v>0.89</c:v>
                </c:pt>
              </c:numCache>
            </c:numRef>
          </c:val>
          <c:extLst>
            <c:ext xmlns:c16="http://schemas.microsoft.com/office/drawing/2014/chart" uri="{C3380CC4-5D6E-409C-BE32-E72D297353CC}">
              <c16:uniqueId val="{00000004-CF55-4564-9AEA-F9D2FA2B039C}"/>
            </c:ext>
          </c:extLst>
        </c:ser>
        <c:ser>
          <c:idx val="2"/>
          <c:order val="2"/>
          <c:tx>
            <c:strRef>
              <c:f>Sheet1!$E$1</c:f>
              <c:strCache>
                <c:ptCount val="1"/>
                <c:pt idx="0">
                  <c:v>Column14</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Helvetica" panose="020B0604020202020204" pitchFamily="34" charset="0"/>
                    <a:ea typeface="+mn-ea"/>
                    <a:cs typeface="Helvetica"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GLO</c:v>
                </c:pt>
                <c:pt idx="1">
                  <c:v>AFR</c:v>
                </c:pt>
                <c:pt idx="2">
                  <c:v>OAS</c:v>
                </c:pt>
                <c:pt idx="3">
                  <c:v>CNA</c:v>
                </c:pt>
                <c:pt idx="4">
                  <c:v>EUR</c:v>
                </c:pt>
                <c:pt idx="5">
                  <c:v>GCC</c:v>
                </c:pt>
                <c:pt idx="6">
                  <c:v>NAM</c:v>
                </c:pt>
                <c:pt idx="7">
                  <c:v>OCA</c:v>
                </c:pt>
                <c:pt idx="8">
                  <c:v>ROE</c:v>
                </c:pt>
                <c:pt idx="9">
                  <c:v>SAM</c:v>
                </c:pt>
              </c:strCache>
            </c:strRef>
          </c:cat>
          <c:val>
            <c:numRef>
              <c:f>Sheet1!$E$2:$E$11</c:f>
              <c:numCache>
                <c:formatCode>General</c:formatCode>
                <c:ptCount val="10"/>
              </c:numCache>
            </c:numRef>
          </c:val>
          <c:extLst>
            <c:ext xmlns:c16="http://schemas.microsoft.com/office/drawing/2014/chart" uri="{C3380CC4-5D6E-409C-BE32-E72D297353CC}">
              <c16:uniqueId val="{00000005-CF55-4564-9AEA-F9D2FA2B039C}"/>
            </c:ext>
          </c:extLst>
        </c:ser>
        <c:dLbls>
          <c:showLegendKey val="0"/>
          <c:showVal val="0"/>
          <c:showCatName val="0"/>
          <c:showSerName val="0"/>
          <c:showPercent val="0"/>
          <c:showBubbleSize val="0"/>
        </c:dLbls>
        <c:gapWidth val="219"/>
        <c:axId val="521025184"/>
        <c:axId val="521024792"/>
      </c:barChart>
      <c:catAx>
        <c:axId val="521025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Helvetica" panose="020B0604020202020204" pitchFamily="34" charset="0"/>
                <a:ea typeface="+mn-ea"/>
                <a:cs typeface="Helvetica" panose="020B0604020202020204" pitchFamily="34" charset="0"/>
              </a:defRPr>
            </a:pPr>
            <a:endParaRPr lang="en-US"/>
          </a:p>
        </c:txPr>
        <c:crossAx val="521024792"/>
        <c:crosses val="autoZero"/>
        <c:auto val="1"/>
        <c:lblAlgn val="ctr"/>
        <c:lblOffset val="100"/>
        <c:noMultiLvlLbl val="0"/>
      </c:catAx>
      <c:valAx>
        <c:axId val="52102479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Helvetica" panose="020B0604020202020204" pitchFamily="34" charset="0"/>
                    <a:ea typeface="+mn-ea"/>
                    <a:cs typeface="Helvetica" panose="020B0604020202020204" pitchFamily="34" charset="0"/>
                  </a:defRPr>
                </a:pPr>
                <a:r>
                  <a:rPr lang="en-GB"/>
                  <a:t>Reporting</a:t>
                </a:r>
                <a:r>
                  <a:rPr lang="en-GB" baseline="0"/>
                  <a:t> rate per total production</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Helvetica" panose="020B0604020202020204" pitchFamily="34" charset="0"/>
                  <a:ea typeface="+mn-ea"/>
                  <a:cs typeface="Helvetica"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Helvetica" panose="020B0604020202020204" pitchFamily="34" charset="0"/>
                <a:ea typeface="+mn-ea"/>
                <a:cs typeface="Helvetica" panose="020B0604020202020204" pitchFamily="34" charset="0"/>
              </a:defRPr>
            </a:pPr>
            <a:endParaRPr lang="en-US"/>
          </a:p>
        </c:txPr>
        <c:crossAx val="521025184"/>
        <c:crosses val="autoZero"/>
        <c:crossBetween val="between"/>
      </c:valAx>
      <c:spPr>
        <a:noFill/>
        <a:ln>
          <a:noFill/>
        </a:ln>
        <a:effectLst/>
      </c:spPr>
    </c:plotArea>
    <c:legend>
      <c:legendPos val="b"/>
      <c:legendEntry>
        <c:idx val="2"/>
        <c:delete val="1"/>
      </c:legendEntry>
      <c:layout>
        <c:manualLayout>
          <c:xMode val="edge"/>
          <c:yMode val="edge"/>
          <c:x val="0.6563942579073041"/>
          <c:y val="1.5863315198142127E-2"/>
          <c:w val="0.33169040144491746"/>
          <c:h val="8.3082435284968337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Helvetica" panose="020B0604020202020204" pitchFamily="34" charset="0"/>
              <a:ea typeface="+mn-ea"/>
              <a:cs typeface="Helvetica"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Helvetica" panose="020B0604020202020204" pitchFamily="34" charset="0"/>
          <a:cs typeface="Helvetica"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8136425757237855E-2"/>
          <c:y val="0.10302057189049993"/>
          <c:w val="0.89820912908762218"/>
          <c:h val="0.83096520237845561"/>
        </c:manualLayout>
      </c:layout>
      <c:barChart>
        <c:barDir val="col"/>
        <c:grouping val="clustered"/>
        <c:varyColors val="0"/>
        <c:ser>
          <c:idx val="0"/>
          <c:order val="0"/>
          <c:tx>
            <c:strRef>
              <c:f>Sheet1!$B$1</c:f>
              <c:strCache>
                <c:ptCount val="1"/>
                <c:pt idx="0">
                  <c:v>LCI Survey</c:v>
                </c:pt>
              </c:strCache>
            </c:strRef>
          </c:tx>
          <c:spPr>
            <a:solidFill>
              <a:schemeClr val="accent1"/>
            </a:solidFill>
            <a:ln>
              <a:noFill/>
            </a:ln>
            <a:effectLst/>
          </c:spPr>
          <c:invertIfNegative val="0"/>
          <c:dPt>
            <c:idx val="5"/>
            <c:invertIfNegative val="0"/>
            <c:bubble3D val="0"/>
            <c:spPr>
              <a:solidFill>
                <a:schemeClr val="accent1"/>
              </a:solidFill>
              <a:ln w="3175">
                <a:solidFill>
                  <a:schemeClr val="bg1">
                    <a:lumMod val="65000"/>
                  </a:schemeClr>
                </a:solidFill>
              </a:ln>
              <a:effectLst/>
            </c:spPr>
            <c:extLst>
              <c:ext xmlns:c16="http://schemas.microsoft.com/office/drawing/2014/chart" uri="{C3380CC4-5D6E-409C-BE32-E72D297353CC}">
                <c16:uniqueId val="{00000001-9809-46F9-B63E-5618750FAD08}"/>
              </c:ext>
            </c:extLst>
          </c:dPt>
          <c:dPt>
            <c:idx val="9"/>
            <c:invertIfNegative val="0"/>
            <c:bubble3D val="0"/>
            <c:extLst>
              <c:ext xmlns:c16="http://schemas.microsoft.com/office/drawing/2014/chart" uri="{C3380CC4-5D6E-409C-BE32-E72D297353CC}">
                <c16:uniqueId val="{00000002-9809-46F9-B63E-5618750FAD08}"/>
              </c:ext>
            </c:extLst>
          </c:dPt>
          <c:cat>
            <c:strRef>
              <c:f>Sheet1!$A$2:$A$12</c:f>
              <c:strCache>
                <c:ptCount val="11"/>
                <c:pt idx="0">
                  <c:v>GLO</c:v>
                </c:pt>
                <c:pt idx="1">
                  <c:v>AFR</c:v>
                </c:pt>
                <c:pt idx="2">
                  <c:v>OAS</c:v>
                </c:pt>
                <c:pt idx="3">
                  <c:v>CAN</c:v>
                </c:pt>
                <c:pt idx="4">
                  <c:v>CNA</c:v>
                </c:pt>
                <c:pt idx="5">
                  <c:v>EUR</c:v>
                </c:pt>
                <c:pt idx="6">
                  <c:v>GCC</c:v>
                </c:pt>
                <c:pt idx="7">
                  <c:v>NAM</c:v>
                </c:pt>
                <c:pt idx="8">
                  <c:v>OCA</c:v>
                </c:pt>
                <c:pt idx="9">
                  <c:v>ROE</c:v>
                </c:pt>
                <c:pt idx="10">
                  <c:v>SAM</c:v>
                </c:pt>
              </c:strCache>
            </c:strRef>
          </c:cat>
          <c:val>
            <c:numRef>
              <c:f>Sheet1!$B$2:$B$12</c:f>
              <c:numCache>
                <c:formatCode>0%</c:formatCode>
                <c:ptCount val="11"/>
                <c:pt idx="0">
                  <c:v>0.26</c:v>
                </c:pt>
                <c:pt idx="1">
                  <c:v>0.76</c:v>
                </c:pt>
                <c:pt idx="2">
                  <c:v>0.71</c:v>
                </c:pt>
                <c:pt idx="3">
                  <c:v>0.87</c:v>
                </c:pt>
                <c:pt idx="4">
                  <c:v>0</c:v>
                </c:pt>
                <c:pt idx="5">
                  <c:v>0.88</c:v>
                </c:pt>
                <c:pt idx="6">
                  <c:v>0.62</c:v>
                </c:pt>
                <c:pt idx="7">
                  <c:v>0.74</c:v>
                </c:pt>
                <c:pt idx="8">
                  <c:v>1</c:v>
                </c:pt>
                <c:pt idx="9">
                  <c:v>0.88</c:v>
                </c:pt>
                <c:pt idx="10">
                  <c:v>1</c:v>
                </c:pt>
              </c:numCache>
            </c:numRef>
          </c:val>
          <c:extLst>
            <c:ext xmlns:c16="http://schemas.microsoft.com/office/drawing/2014/chart" uri="{C3380CC4-5D6E-409C-BE32-E72D297353CC}">
              <c16:uniqueId val="{00000003-9809-46F9-B63E-5618750FAD08}"/>
            </c:ext>
          </c:extLst>
        </c:ser>
        <c:ser>
          <c:idx val="1"/>
          <c:order val="1"/>
          <c:tx>
            <c:strRef>
              <c:f>Sheet1!$C$1</c:f>
              <c:strCache>
                <c:ptCount val="1"/>
                <c:pt idx="0">
                  <c:v>Energy Survey</c:v>
                </c:pt>
              </c:strCache>
            </c:strRef>
          </c:tx>
          <c:spPr>
            <a:solidFill>
              <a:srgbClr val="B1B0A7"/>
            </a:solidFill>
            <a:ln>
              <a:noFill/>
            </a:ln>
            <a:effectLst/>
          </c:spPr>
          <c:invertIfNegative val="0"/>
          <c:cat>
            <c:strRef>
              <c:f>Sheet1!$A$2:$A$12</c:f>
              <c:strCache>
                <c:ptCount val="11"/>
                <c:pt idx="0">
                  <c:v>GLO</c:v>
                </c:pt>
                <c:pt idx="1">
                  <c:v>AFR</c:v>
                </c:pt>
                <c:pt idx="2">
                  <c:v>OAS</c:v>
                </c:pt>
                <c:pt idx="3">
                  <c:v>CAN</c:v>
                </c:pt>
                <c:pt idx="4">
                  <c:v>CNA</c:v>
                </c:pt>
                <c:pt idx="5">
                  <c:v>EUR</c:v>
                </c:pt>
                <c:pt idx="6">
                  <c:v>GCC</c:v>
                </c:pt>
                <c:pt idx="7">
                  <c:v>NAM</c:v>
                </c:pt>
                <c:pt idx="8">
                  <c:v>OCA</c:v>
                </c:pt>
                <c:pt idx="9">
                  <c:v>ROE</c:v>
                </c:pt>
                <c:pt idx="10">
                  <c:v>SAM</c:v>
                </c:pt>
              </c:strCache>
            </c:strRef>
          </c:cat>
          <c:val>
            <c:numRef>
              <c:f>Sheet1!$C$2:$C$12</c:f>
              <c:numCache>
                <c:formatCode>0%</c:formatCode>
                <c:ptCount val="11"/>
                <c:pt idx="0">
                  <c:v>0.98</c:v>
                </c:pt>
                <c:pt idx="1">
                  <c:v>0.93</c:v>
                </c:pt>
                <c:pt idx="2">
                  <c:v>0.48</c:v>
                </c:pt>
                <c:pt idx="3">
                  <c:v>1</c:v>
                </c:pt>
                <c:pt idx="4">
                  <c:v>1</c:v>
                </c:pt>
                <c:pt idx="5">
                  <c:v>0.9</c:v>
                </c:pt>
                <c:pt idx="6">
                  <c:v>1</c:v>
                </c:pt>
                <c:pt idx="7">
                  <c:v>0.9</c:v>
                </c:pt>
                <c:pt idx="8">
                  <c:v>1</c:v>
                </c:pt>
                <c:pt idx="9">
                  <c:v>0.94</c:v>
                </c:pt>
                <c:pt idx="10">
                  <c:v>1</c:v>
                </c:pt>
              </c:numCache>
            </c:numRef>
          </c:val>
          <c:extLst>
            <c:ext xmlns:c16="http://schemas.microsoft.com/office/drawing/2014/chart" uri="{C3380CC4-5D6E-409C-BE32-E72D297353CC}">
              <c16:uniqueId val="{00000004-9809-46F9-B63E-5618750FAD08}"/>
            </c:ext>
          </c:extLst>
        </c:ser>
        <c:ser>
          <c:idx val="2"/>
          <c:order val="2"/>
          <c:tx>
            <c:strRef>
              <c:f>Sheet1!$E$1</c:f>
              <c:strCache>
                <c:ptCount val="1"/>
                <c:pt idx="0">
                  <c:v>Column14</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Helvetica" panose="020B0604020202020204" pitchFamily="34" charset="0"/>
                    <a:ea typeface="+mn-ea"/>
                    <a:cs typeface="Helvetica"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Sheet1!$A$2:$A$12</c:f>
              <c:strCache>
                <c:ptCount val="11"/>
                <c:pt idx="0">
                  <c:v>GLO</c:v>
                </c:pt>
                <c:pt idx="1">
                  <c:v>AFR</c:v>
                </c:pt>
                <c:pt idx="2">
                  <c:v>OAS</c:v>
                </c:pt>
                <c:pt idx="3">
                  <c:v>CAN</c:v>
                </c:pt>
                <c:pt idx="4">
                  <c:v>CNA</c:v>
                </c:pt>
                <c:pt idx="5">
                  <c:v>EUR</c:v>
                </c:pt>
                <c:pt idx="6">
                  <c:v>GCC</c:v>
                </c:pt>
                <c:pt idx="7">
                  <c:v>NAM</c:v>
                </c:pt>
                <c:pt idx="8">
                  <c:v>OCA</c:v>
                </c:pt>
                <c:pt idx="9">
                  <c:v>ROE</c:v>
                </c:pt>
                <c:pt idx="10">
                  <c:v>SAM</c:v>
                </c:pt>
              </c:strCache>
            </c:strRef>
          </c:cat>
          <c:val>
            <c:numRef>
              <c:f>Sheet1!$E$2:$E$12</c:f>
              <c:numCache>
                <c:formatCode>General</c:formatCode>
                <c:ptCount val="11"/>
              </c:numCache>
            </c:numRef>
          </c:val>
          <c:extLst>
            <c:ext xmlns:c16="http://schemas.microsoft.com/office/drawing/2014/chart" uri="{C3380CC4-5D6E-409C-BE32-E72D297353CC}">
              <c16:uniqueId val="{00000005-9809-46F9-B63E-5618750FAD08}"/>
            </c:ext>
          </c:extLst>
        </c:ser>
        <c:dLbls>
          <c:showLegendKey val="0"/>
          <c:showVal val="0"/>
          <c:showCatName val="0"/>
          <c:showSerName val="0"/>
          <c:showPercent val="0"/>
          <c:showBubbleSize val="0"/>
        </c:dLbls>
        <c:gapWidth val="219"/>
        <c:axId val="521024400"/>
        <c:axId val="451164008"/>
      </c:barChart>
      <c:catAx>
        <c:axId val="52102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Helvetica" panose="020B0604020202020204" pitchFamily="34" charset="0"/>
                <a:ea typeface="+mn-ea"/>
                <a:cs typeface="Helvetica" panose="020B0604020202020204" pitchFamily="34" charset="0"/>
              </a:defRPr>
            </a:pPr>
            <a:endParaRPr lang="en-US"/>
          </a:p>
        </c:txPr>
        <c:crossAx val="451164008"/>
        <c:crosses val="autoZero"/>
        <c:auto val="1"/>
        <c:lblAlgn val="ctr"/>
        <c:lblOffset val="100"/>
        <c:noMultiLvlLbl val="0"/>
      </c:catAx>
      <c:valAx>
        <c:axId val="4511640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Helvetica" panose="020B0604020202020204" pitchFamily="34" charset="0"/>
                    <a:ea typeface="+mn-ea"/>
                    <a:cs typeface="Helvetica" panose="020B0604020202020204" pitchFamily="34" charset="0"/>
                  </a:defRPr>
                </a:pPr>
                <a:r>
                  <a:rPr lang="en-GB"/>
                  <a:t>Reporting</a:t>
                </a:r>
                <a:r>
                  <a:rPr lang="en-GB" baseline="0"/>
                  <a:t> rate per total production</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Helvetica" panose="020B0604020202020204" pitchFamily="34" charset="0"/>
                  <a:ea typeface="+mn-ea"/>
                  <a:cs typeface="Helvetica"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Helvetica" panose="020B0604020202020204" pitchFamily="34" charset="0"/>
                <a:ea typeface="+mn-ea"/>
                <a:cs typeface="Helvetica" panose="020B0604020202020204" pitchFamily="34" charset="0"/>
              </a:defRPr>
            </a:pPr>
            <a:endParaRPr lang="en-US"/>
          </a:p>
        </c:txPr>
        <c:crossAx val="521024400"/>
        <c:crosses val="autoZero"/>
        <c:crossBetween val="between"/>
      </c:valAx>
      <c:spPr>
        <a:noFill/>
        <a:ln>
          <a:noFill/>
        </a:ln>
        <a:effectLst/>
      </c:spPr>
    </c:plotArea>
    <c:legend>
      <c:legendPos val="b"/>
      <c:legendEntry>
        <c:idx val="2"/>
        <c:delete val="1"/>
      </c:legendEntry>
      <c:layout>
        <c:manualLayout>
          <c:xMode val="edge"/>
          <c:yMode val="edge"/>
          <c:x val="0.6563942579073041"/>
          <c:y val="1.5863315198142127E-2"/>
          <c:w val="0.33169040144491746"/>
          <c:h val="8.3082435284968337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Helvetica" panose="020B0604020202020204" pitchFamily="34" charset="0"/>
              <a:ea typeface="+mn-ea"/>
              <a:cs typeface="Helvetica"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Helvetica" panose="020B0604020202020204" pitchFamily="34" charset="0"/>
          <a:cs typeface="Helvetica"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1"/>
          <c:order val="0"/>
          <c:tx>
            <c:strRef>
              <c:f>'Energy mixes'!$A$29</c:f>
              <c:strCache>
                <c:ptCount val="1"/>
                <c:pt idx="0">
                  <c:v>Coal</c:v>
                </c:pt>
              </c:strCache>
            </c:strRef>
          </c:tx>
          <c:spPr>
            <a:solidFill>
              <a:schemeClr val="accent2"/>
            </a:solidFill>
            <a:ln>
              <a:noFill/>
            </a:ln>
            <a:effectLst/>
          </c:spPr>
          <c:invertIfNegative val="0"/>
          <c:cat>
            <c:numRef>
              <c:f>'Energy mixes'!$B$28:$K$28</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'Energy mixes'!$B$29:$K$29</c:f>
              <c:numCache>
                <c:formatCode>#,##0</c:formatCode>
                <c:ptCount val="10"/>
                <c:pt idx="0">
                  <c:v>477553</c:v>
                </c:pt>
                <c:pt idx="1">
                  <c:v>563543</c:v>
                </c:pt>
                <c:pt idx="2">
                  <c:v>613871</c:v>
                </c:pt>
                <c:pt idx="3">
                  <c:v>625405</c:v>
                </c:pt>
                <c:pt idx="4">
                  <c:v>657219</c:v>
                </c:pt>
                <c:pt idx="5">
                  <c:v>689810</c:v>
                </c:pt>
                <c:pt idx="6" formatCode="General">
                  <c:v>657159</c:v>
                </c:pt>
                <c:pt idx="7" formatCode="General">
                  <c:v>730878</c:v>
                </c:pt>
                <c:pt idx="8" formatCode="General">
                  <c:v>747820</c:v>
                </c:pt>
                <c:pt idx="9" formatCode="General">
                  <c:v>607872</c:v>
                </c:pt>
              </c:numCache>
            </c:numRef>
          </c:val>
          <c:extLst>
            <c:ext xmlns:c16="http://schemas.microsoft.com/office/drawing/2014/chart" uri="{C3380CC4-5D6E-409C-BE32-E72D297353CC}">
              <c16:uniqueId val="{00000000-2F3C-4688-AC3D-297B061976D4}"/>
            </c:ext>
          </c:extLst>
        </c:ser>
        <c:ser>
          <c:idx val="2"/>
          <c:order val="1"/>
          <c:tx>
            <c:strRef>
              <c:f>'Energy mixes'!$A$30</c:f>
              <c:strCache>
                <c:ptCount val="1"/>
                <c:pt idx="0">
                  <c:v>Oil</c:v>
                </c:pt>
              </c:strCache>
            </c:strRef>
          </c:tx>
          <c:spPr>
            <a:solidFill>
              <a:schemeClr val="accent3"/>
            </a:solidFill>
            <a:ln>
              <a:noFill/>
            </a:ln>
            <a:effectLst/>
          </c:spPr>
          <c:invertIfNegative val="0"/>
          <c:cat>
            <c:numRef>
              <c:f>'Energy mixes'!$B$28:$K$28</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'Energy mixes'!$B$30:$K$30</c:f>
              <c:numCache>
                <c:formatCode>#,##0</c:formatCode>
                <c:ptCount val="10"/>
                <c:pt idx="0">
                  <c:v>157882</c:v>
                </c:pt>
                <c:pt idx="1">
                  <c:v>177205</c:v>
                </c:pt>
                <c:pt idx="2">
                  <c:v>147308</c:v>
                </c:pt>
                <c:pt idx="3">
                  <c:v>149000</c:v>
                </c:pt>
                <c:pt idx="4">
                  <c:v>138802</c:v>
                </c:pt>
                <c:pt idx="5">
                  <c:v>122048</c:v>
                </c:pt>
                <c:pt idx="6" formatCode="General">
                  <c:v>116376</c:v>
                </c:pt>
                <c:pt idx="7" formatCode="General">
                  <c:v>120078</c:v>
                </c:pt>
                <c:pt idx="8" formatCode="General">
                  <c:v>100034</c:v>
                </c:pt>
                <c:pt idx="9" formatCode="General">
                  <c:v>84631</c:v>
                </c:pt>
              </c:numCache>
            </c:numRef>
          </c:val>
          <c:extLst>
            <c:ext xmlns:c16="http://schemas.microsoft.com/office/drawing/2014/chart" uri="{C3380CC4-5D6E-409C-BE32-E72D297353CC}">
              <c16:uniqueId val="{00000001-2F3C-4688-AC3D-297B061976D4}"/>
            </c:ext>
          </c:extLst>
        </c:ser>
        <c:ser>
          <c:idx val="3"/>
          <c:order val="2"/>
          <c:tx>
            <c:strRef>
              <c:f>'Energy mixes'!$A$31</c:f>
              <c:strCache>
                <c:ptCount val="1"/>
                <c:pt idx="0">
                  <c:v>Gas</c:v>
                </c:pt>
              </c:strCache>
            </c:strRef>
          </c:tx>
          <c:spPr>
            <a:solidFill>
              <a:schemeClr val="accent4"/>
            </a:solidFill>
            <a:ln>
              <a:noFill/>
            </a:ln>
            <a:effectLst/>
          </c:spPr>
          <c:invertIfNegative val="0"/>
          <c:cat>
            <c:numRef>
              <c:f>'Energy mixes'!$B$28:$K$28</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'Energy mixes'!$B$31:$K$31</c:f>
              <c:numCache>
                <c:formatCode>#,##0</c:formatCode>
                <c:ptCount val="10"/>
                <c:pt idx="0">
                  <c:v>276111</c:v>
                </c:pt>
                <c:pt idx="1">
                  <c:v>302825</c:v>
                </c:pt>
                <c:pt idx="2">
                  <c:v>322323</c:v>
                </c:pt>
                <c:pt idx="3">
                  <c:v>326472</c:v>
                </c:pt>
                <c:pt idx="4">
                  <c:v>336936</c:v>
                </c:pt>
                <c:pt idx="5">
                  <c:v>332129</c:v>
                </c:pt>
                <c:pt idx="6" formatCode="General">
                  <c:v>341887</c:v>
                </c:pt>
                <c:pt idx="7" formatCode="General">
                  <c:v>364695</c:v>
                </c:pt>
                <c:pt idx="8" formatCode="General">
                  <c:v>355510</c:v>
                </c:pt>
                <c:pt idx="9" formatCode="General">
                  <c:v>331366</c:v>
                </c:pt>
              </c:numCache>
            </c:numRef>
          </c:val>
          <c:extLst>
            <c:ext xmlns:c16="http://schemas.microsoft.com/office/drawing/2014/chart" uri="{C3380CC4-5D6E-409C-BE32-E72D297353CC}">
              <c16:uniqueId val="{00000002-2F3C-4688-AC3D-297B061976D4}"/>
            </c:ext>
          </c:extLst>
        </c:ser>
        <c:ser>
          <c:idx val="4"/>
          <c:order val="3"/>
          <c:tx>
            <c:strRef>
              <c:f>'Energy mixes'!$A$32</c:f>
              <c:strCache>
                <c:ptCount val="1"/>
                <c:pt idx="0">
                  <c:v>Electricity</c:v>
                </c:pt>
              </c:strCache>
            </c:strRef>
          </c:tx>
          <c:spPr>
            <a:solidFill>
              <a:schemeClr val="accent5"/>
            </a:solidFill>
            <a:ln>
              <a:noFill/>
            </a:ln>
            <a:effectLst/>
          </c:spPr>
          <c:invertIfNegative val="0"/>
          <c:cat>
            <c:numRef>
              <c:f>'Energy mixes'!$B$28:$K$28</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'Energy mixes'!$B$32:$K$32</c:f>
              <c:numCache>
                <c:formatCode>#,##0</c:formatCode>
                <c:ptCount val="10"/>
                <c:pt idx="0">
                  <c:v>73764</c:v>
                </c:pt>
                <c:pt idx="1">
                  <c:v>84455</c:v>
                </c:pt>
                <c:pt idx="2">
                  <c:v>88542</c:v>
                </c:pt>
                <c:pt idx="3">
                  <c:v>93602</c:v>
                </c:pt>
                <c:pt idx="4">
                  <c:v>98686</c:v>
                </c:pt>
                <c:pt idx="5">
                  <c:v>94629</c:v>
                </c:pt>
                <c:pt idx="6" formatCode="General">
                  <c:v>91407</c:v>
                </c:pt>
                <c:pt idx="7" formatCode="General">
                  <c:v>93268</c:v>
                </c:pt>
                <c:pt idx="8" formatCode="General">
                  <c:v>95725</c:v>
                </c:pt>
                <c:pt idx="9" formatCode="General">
                  <c:v>85515</c:v>
                </c:pt>
              </c:numCache>
            </c:numRef>
          </c:val>
          <c:extLst>
            <c:ext xmlns:c16="http://schemas.microsoft.com/office/drawing/2014/chart" uri="{C3380CC4-5D6E-409C-BE32-E72D297353CC}">
              <c16:uniqueId val="{00000003-2F3C-4688-AC3D-297B061976D4}"/>
            </c:ext>
          </c:extLst>
        </c:ser>
        <c:ser>
          <c:idx val="5"/>
          <c:order val="4"/>
          <c:tx>
            <c:strRef>
              <c:f>'Energy mixes'!$A$33</c:f>
              <c:strCache>
                <c:ptCount val="1"/>
                <c:pt idx="0">
                  <c:v>Other</c:v>
                </c:pt>
              </c:strCache>
            </c:strRef>
          </c:tx>
          <c:spPr>
            <a:solidFill>
              <a:schemeClr val="accent6"/>
            </a:solidFill>
            <a:ln>
              <a:noFill/>
            </a:ln>
            <a:effectLst/>
          </c:spPr>
          <c:invertIfNegative val="0"/>
          <c:cat>
            <c:numRef>
              <c:f>'Energy mixes'!$B$28:$K$28</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'Energy mixes'!$B$33:$K$33</c:f>
              <c:numCache>
                <c:formatCode>#,##0</c:formatCode>
                <c:ptCount val="10"/>
                <c:pt idx="0">
                  <c:v>67111</c:v>
                </c:pt>
                <c:pt idx="1">
                  <c:v>65543</c:v>
                </c:pt>
                <c:pt idx="2">
                  <c:v>46178</c:v>
                </c:pt>
                <c:pt idx="3">
                  <c:v>63491</c:v>
                </c:pt>
                <c:pt idx="4">
                  <c:v>52832</c:v>
                </c:pt>
                <c:pt idx="5">
                  <c:v>37541</c:v>
                </c:pt>
                <c:pt idx="6" formatCode="General">
                  <c:v>24393</c:v>
                </c:pt>
                <c:pt idx="7" formatCode="General">
                  <c:v>24928</c:v>
                </c:pt>
                <c:pt idx="8" formatCode="General">
                  <c:v>27384</c:v>
                </c:pt>
                <c:pt idx="9" formatCode="General">
                  <c:v>25361</c:v>
                </c:pt>
              </c:numCache>
            </c:numRef>
          </c:val>
          <c:extLst>
            <c:ext xmlns:c16="http://schemas.microsoft.com/office/drawing/2014/chart" uri="{C3380CC4-5D6E-409C-BE32-E72D297353CC}">
              <c16:uniqueId val="{00000004-2F3C-4688-AC3D-297B061976D4}"/>
            </c:ext>
          </c:extLst>
        </c:ser>
        <c:dLbls>
          <c:showLegendKey val="0"/>
          <c:showVal val="0"/>
          <c:showCatName val="0"/>
          <c:showSerName val="0"/>
          <c:showPercent val="0"/>
          <c:showBubbleSize val="0"/>
        </c:dLbls>
        <c:gapWidth val="150"/>
        <c:overlap val="100"/>
        <c:axId val="145901800"/>
        <c:axId val="145897880"/>
      </c:barChart>
      <c:catAx>
        <c:axId val="1459018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97880"/>
        <c:crosses val="autoZero"/>
        <c:auto val="1"/>
        <c:lblAlgn val="ctr"/>
        <c:lblOffset val="100"/>
        <c:noMultiLvlLbl val="0"/>
      </c:catAx>
      <c:valAx>
        <c:axId val="1458978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01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Metallurgical</a:t>
            </a:r>
            <a:r>
              <a:rPr lang="en-GB" baseline="0"/>
              <a:t> Alumina Energy Intensity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587695768798131"/>
          <c:y val="0.17746411483253591"/>
          <c:w val="0.80192524011421651"/>
          <c:h val="0.71153938891609836"/>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'Alumina energy'!$A$1:$A$10</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'Alumina energy'!$B$1:$B$10</c:f>
              <c:numCache>
                <c:formatCode>#,##0</c:formatCode>
                <c:ptCount val="10"/>
                <c:pt idx="0">
                  <c:v>14346</c:v>
                </c:pt>
                <c:pt idx="1">
                  <c:v>13759</c:v>
                </c:pt>
                <c:pt idx="2">
                  <c:v>13675</c:v>
                </c:pt>
                <c:pt idx="3">
                  <c:v>13260</c:v>
                </c:pt>
                <c:pt idx="4">
                  <c:v>12579</c:v>
                </c:pt>
                <c:pt idx="5">
                  <c:v>11933</c:v>
                </c:pt>
                <c:pt idx="6">
                  <c:v>11388</c:v>
                </c:pt>
                <c:pt idx="7">
                  <c:v>11564</c:v>
                </c:pt>
                <c:pt idx="8">
                  <c:v>11359</c:v>
                </c:pt>
                <c:pt idx="9">
                  <c:v>10736</c:v>
                </c:pt>
              </c:numCache>
            </c:numRef>
          </c:val>
          <c:smooth val="0"/>
          <c:extLst>
            <c:ext xmlns:c16="http://schemas.microsoft.com/office/drawing/2014/chart" uri="{C3380CC4-5D6E-409C-BE32-E72D297353CC}">
              <c16:uniqueId val="{00000000-FEA1-424D-BBCF-8FAE11599875}"/>
            </c:ext>
          </c:extLst>
        </c:ser>
        <c:dLbls>
          <c:showLegendKey val="0"/>
          <c:showVal val="0"/>
          <c:showCatName val="0"/>
          <c:showSerName val="0"/>
          <c:showPercent val="0"/>
          <c:showBubbleSize val="0"/>
        </c:dLbls>
        <c:marker val="1"/>
        <c:smooth val="0"/>
        <c:axId val="145902976"/>
        <c:axId val="145898664"/>
      </c:lineChart>
      <c:catAx>
        <c:axId val="14590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98664"/>
        <c:crosses val="autoZero"/>
        <c:auto val="1"/>
        <c:lblAlgn val="ctr"/>
        <c:lblOffset val="100"/>
        <c:noMultiLvlLbl val="0"/>
      </c:catAx>
      <c:valAx>
        <c:axId val="145898664"/>
        <c:scaling>
          <c:orientation val="minMax"/>
          <c:min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Unit: MJ/t</a:t>
                </a:r>
              </a:p>
            </c:rich>
          </c:tx>
          <c:layout>
            <c:manualLayout>
              <c:xMode val="edge"/>
              <c:yMode val="edge"/>
              <c:x val="1.098901098901099E-2"/>
              <c:y val="0.415530271634705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02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53929635200095"/>
          <c:y val="3.5512510088781278E-2"/>
          <c:w val="0.67743077059187817"/>
          <c:h val="0.8935270379338176"/>
        </c:manualLayout>
      </c:layout>
      <c:barChart>
        <c:barDir val="col"/>
        <c:grouping val="clustered"/>
        <c:varyColors val="0"/>
        <c:ser>
          <c:idx val="1"/>
          <c:order val="0"/>
          <c:invertIfNegative val="0"/>
          <c:cat>
            <c:numRef>
              <c:f>PFC!$A$7:$A$31</c:f>
              <c:numCache>
                <c:formatCode>General</c:formatCode>
                <c:ptCount val="13"/>
                <c:pt idx="0">
                  <c:v>1995</c:v>
                </c:pt>
                <c:pt idx="1">
                  <c:v>2000</c:v>
                </c:pt>
                <c:pt idx="2">
                  <c:v>2005</c:v>
                </c:pt>
                <c:pt idx="3">
                  <c:v>2010</c:v>
                </c:pt>
                <c:pt idx="4">
                  <c:v>2011</c:v>
                </c:pt>
                <c:pt idx="5">
                  <c:v>2012</c:v>
                </c:pt>
                <c:pt idx="6">
                  <c:v>2013</c:v>
                </c:pt>
                <c:pt idx="7">
                  <c:v>2014</c:v>
                </c:pt>
                <c:pt idx="8">
                  <c:v>2015</c:v>
                </c:pt>
                <c:pt idx="9">
                  <c:v>2016</c:v>
                </c:pt>
                <c:pt idx="10">
                  <c:v>2017</c:v>
                </c:pt>
                <c:pt idx="11">
                  <c:v>2018</c:v>
                </c:pt>
                <c:pt idx="12">
                  <c:v>2019</c:v>
                </c:pt>
              </c:numCache>
            </c:numRef>
          </c:cat>
          <c:val>
            <c:numRef>
              <c:f>PFC!$G$7:$G$31</c:f>
              <c:numCache>
                <c:formatCode>General</c:formatCode>
                <c:ptCount val="13"/>
                <c:pt idx="0">
                  <c:v>19610</c:v>
                </c:pt>
                <c:pt idx="1">
                  <c:v>24657</c:v>
                </c:pt>
                <c:pt idx="2">
                  <c:v>31905</c:v>
                </c:pt>
                <c:pt idx="3">
                  <c:v>42354</c:v>
                </c:pt>
                <c:pt idx="4">
                  <c:v>45789</c:v>
                </c:pt>
                <c:pt idx="5">
                  <c:v>47788</c:v>
                </c:pt>
                <c:pt idx="6">
                  <c:v>50602</c:v>
                </c:pt>
                <c:pt idx="7">
                  <c:v>53127</c:v>
                </c:pt>
                <c:pt idx="8">
                  <c:v>57890</c:v>
                </c:pt>
                <c:pt idx="9">
                  <c:v>58890</c:v>
                </c:pt>
                <c:pt idx="10">
                  <c:v>63404</c:v>
                </c:pt>
                <c:pt idx="11">
                  <c:v>64336</c:v>
                </c:pt>
                <c:pt idx="12">
                  <c:v>63697</c:v>
                </c:pt>
              </c:numCache>
            </c:numRef>
          </c:val>
          <c:extLst>
            <c:ext xmlns:c16="http://schemas.microsoft.com/office/drawing/2014/chart" uri="{C3380CC4-5D6E-409C-BE32-E72D297353CC}">
              <c16:uniqueId val="{00000000-187D-4D0B-A50F-06DBC89A36EA}"/>
            </c:ext>
          </c:extLst>
        </c:ser>
        <c:dLbls>
          <c:showLegendKey val="0"/>
          <c:showVal val="0"/>
          <c:showCatName val="0"/>
          <c:showSerName val="0"/>
          <c:showPercent val="0"/>
          <c:showBubbleSize val="0"/>
        </c:dLbls>
        <c:gapWidth val="219"/>
        <c:axId val="145902584"/>
        <c:axId val="145904936"/>
      </c:barChart>
      <c:lineChart>
        <c:grouping val="standard"/>
        <c:varyColors val="0"/>
        <c:ser>
          <c:idx val="0"/>
          <c:order val="1"/>
          <c:spPr>
            <a:effectLst/>
          </c:spPr>
          <c:cat>
            <c:numRef>
              <c:f>PFC!$A$7:$A$31</c:f>
              <c:numCache>
                <c:formatCode>General</c:formatCode>
                <c:ptCount val="13"/>
                <c:pt idx="0">
                  <c:v>1995</c:v>
                </c:pt>
                <c:pt idx="1">
                  <c:v>2000</c:v>
                </c:pt>
                <c:pt idx="2">
                  <c:v>2005</c:v>
                </c:pt>
                <c:pt idx="3">
                  <c:v>2010</c:v>
                </c:pt>
                <c:pt idx="4">
                  <c:v>2011</c:v>
                </c:pt>
                <c:pt idx="5">
                  <c:v>2012</c:v>
                </c:pt>
                <c:pt idx="6">
                  <c:v>2013</c:v>
                </c:pt>
                <c:pt idx="7">
                  <c:v>2014</c:v>
                </c:pt>
                <c:pt idx="8">
                  <c:v>2015</c:v>
                </c:pt>
                <c:pt idx="9">
                  <c:v>2016</c:v>
                </c:pt>
                <c:pt idx="10">
                  <c:v>2017</c:v>
                </c:pt>
                <c:pt idx="11">
                  <c:v>2018</c:v>
                </c:pt>
                <c:pt idx="12">
                  <c:v>2019</c:v>
                </c:pt>
              </c:numCache>
            </c:numRef>
          </c:cat>
          <c:val>
            <c:numRef>
              <c:f>PFC!$H$7:$H$31</c:f>
              <c:numCache>
                <c:formatCode>#,##0</c:formatCode>
                <c:ptCount val="13"/>
                <c:pt idx="0">
                  <c:v>71492</c:v>
                </c:pt>
                <c:pt idx="1">
                  <c:v>57031</c:v>
                </c:pt>
                <c:pt idx="2">
                  <c:v>35610</c:v>
                </c:pt>
                <c:pt idx="3">
                  <c:v>29205</c:v>
                </c:pt>
                <c:pt idx="4">
                  <c:v>31919</c:v>
                </c:pt>
                <c:pt idx="5">
                  <c:v>31368</c:v>
                </c:pt>
                <c:pt idx="6">
                  <c:v>31840</c:v>
                </c:pt>
                <c:pt idx="7">
                  <c:v>34181</c:v>
                </c:pt>
                <c:pt idx="8">
                  <c:v>35208</c:v>
                </c:pt>
                <c:pt idx="9">
                  <c:v>37100.699999999997</c:v>
                </c:pt>
                <c:pt idx="10">
                  <c:v>36140.28</c:v>
                </c:pt>
                <c:pt idx="11">
                  <c:v>35384.800000000003</c:v>
                </c:pt>
                <c:pt idx="12">
                  <c:v>35033.350000000006</c:v>
                </c:pt>
              </c:numCache>
            </c:numRef>
          </c:val>
          <c:smooth val="0"/>
          <c:extLst>
            <c:ext xmlns:c16="http://schemas.microsoft.com/office/drawing/2014/chart" uri="{C3380CC4-5D6E-409C-BE32-E72D297353CC}">
              <c16:uniqueId val="{00000001-187D-4D0B-A50F-06DBC89A36EA}"/>
            </c:ext>
          </c:extLst>
        </c:ser>
        <c:dLbls>
          <c:showLegendKey val="0"/>
          <c:showVal val="0"/>
          <c:showCatName val="0"/>
          <c:showSerName val="0"/>
          <c:showPercent val="0"/>
          <c:showBubbleSize val="0"/>
        </c:dLbls>
        <c:marker val="1"/>
        <c:smooth val="0"/>
        <c:axId val="306221400"/>
        <c:axId val="306222576"/>
      </c:lineChart>
      <c:catAx>
        <c:axId val="145902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45904936"/>
        <c:crosses val="autoZero"/>
        <c:auto val="1"/>
        <c:lblAlgn val="ctr"/>
        <c:lblOffset val="100"/>
        <c:noMultiLvlLbl val="0"/>
      </c:catAx>
      <c:valAx>
        <c:axId val="145904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GB"/>
                  <a:t>Aluminium Production (kt)</a:t>
                </a:r>
              </a:p>
            </c:rich>
          </c:tx>
          <c:layout>
            <c:manualLayout>
              <c:xMode val="edge"/>
              <c:yMode val="edge"/>
              <c:x val="1.4981273408239701E-2"/>
              <c:y val="0.27405159100875104"/>
            </c:manualLayout>
          </c:layout>
          <c:overlay val="0"/>
        </c:title>
        <c:numFmt formatCode="General" sourceLinked="1"/>
        <c:majorTickMark val="none"/>
        <c:minorTickMark val="none"/>
        <c:tickLblPos val="nextTo"/>
        <c:spPr>
          <a:noFill/>
          <a:ln>
            <a:noFill/>
          </a:ln>
          <a:effectLst/>
        </c:spPr>
        <c:txPr>
          <a:bodyPr rot="-60000000" vert="horz"/>
          <a:lstStyle/>
          <a:p>
            <a:pPr>
              <a:defRPr/>
            </a:pPr>
            <a:endParaRPr lang="en-US"/>
          </a:p>
        </c:txPr>
        <c:crossAx val="145902584"/>
        <c:crosses val="autoZero"/>
        <c:crossBetween val="between"/>
      </c:valAx>
      <c:valAx>
        <c:axId val="306222576"/>
        <c:scaling>
          <c:orientation val="minMax"/>
        </c:scaling>
        <c:delete val="0"/>
        <c:axPos val="r"/>
        <c:title>
          <c:tx>
            <c:rich>
              <a:bodyPr/>
              <a:lstStyle/>
              <a:p>
                <a:pPr>
                  <a:defRPr/>
                </a:pPr>
                <a:r>
                  <a:rPr lang="en-GB"/>
                  <a:t>PFC emissions (kt CO2 eq.)</a:t>
                </a:r>
              </a:p>
            </c:rich>
          </c:tx>
          <c:layout>
            <c:manualLayout>
              <c:xMode val="edge"/>
              <c:yMode val="edge"/>
              <c:x val="0.94575700509346439"/>
              <c:y val="0.27642459946743947"/>
            </c:manualLayout>
          </c:layout>
          <c:overlay val="0"/>
        </c:title>
        <c:numFmt formatCode="#,##0" sourceLinked="1"/>
        <c:majorTickMark val="out"/>
        <c:minorTickMark val="none"/>
        <c:tickLblPos val="nextTo"/>
        <c:crossAx val="306221400"/>
        <c:crosses val="max"/>
        <c:crossBetween val="between"/>
      </c:valAx>
      <c:catAx>
        <c:axId val="306221400"/>
        <c:scaling>
          <c:orientation val="minMax"/>
        </c:scaling>
        <c:delete val="1"/>
        <c:axPos val="b"/>
        <c:numFmt formatCode="General" sourceLinked="1"/>
        <c:majorTickMark val="out"/>
        <c:minorTickMark val="none"/>
        <c:tickLblPos val="nextTo"/>
        <c:crossAx val="306222576"/>
        <c:crosses val="autoZero"/>
        <c:auto val="1"/>
        <c:lblAlgn val="ctr"/>
        <c:lblOffset val="100"/>
        <c:noMultiLvlLbl val="0"/>
      </c:catAx>
    </c:plotArea>
    <c:plotVisOnly val="1"/>
    <c:dispBlanksAs val="gap"/>
    <c:showDLblsOverMax val="0"/>
  </c:chart>
  <c:txPr>
    <a:bodyPr/>
    <a:lstStyle/>
    <a:p>
      <a:pPr>
        <a:defRPr sz="900">
          <a:latin typeface="Helvetica" panose="020B0604020202020204" pitchFamily="34" charset="0"/>
          <a:cs typeface="Helvetica" panose="020B06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1"/>
          <c:order val="0"/>
          <c:tx>
            <c:strRef>
              <c:f>'Contribution Analysis 3'!$C$2</c:f>
              <c:strCache>
                <c:ptCount val="1"/>
                <c:pt idx="0">
                  <c:v>Direct Process</c:v>
                </c:pt>
              </c:strCache>
            </c:strRef>
          </c:tx>
          <c:spPr>
            <a:solidFill>
              <a:schemeClr val="accent2"/>
            </a:solidFill>
            <a:ln>
              <a:noFill/>
            </a:ln>
            <a:effectLst/>
          </c:spPr>
          <c:invertIfNegative val="0"/>
          <c:cat>
            <c:strRef>
              <c:f>'Contribution Analysis 3'!$A$14:$A$20</c:f>
              <c:strCache>
                <c:ptCount val="7"/>
                <c:pt idx="0">
                  <c:v>AP</c:v>
                </c:pt>
                <c:pt idx="1">
                  <c:v>DFE</c:v>
                </c:pt>
                <c:pt idx="2">
                  <c:v>EP </c:v>
                </c:pt>
                <c:pt idx="3">
                  <c:v>GWP</c:v>
                </c:pt>
                <c:pt idx="4">
                  <c:v>ODP </c:v>
                </c:pt>
                <c:pt idx="5">
                  <c:v>POCP</c:v>
                </c:pt>
                <c:pt idx="6">
                  <c:v>WSFP</c:v>
                </c:pt>
              </c:strCache>
            </c:strRef>
          </c:cat>
          <c:val>
            <c:numRef>
              <c:f>'Contribution Analysis 3'!$C$3:$C$9</c:f>
              <c:numCache>
                <c:formatCode>0.0</c:formatCode>
                <c:ptCount val="7"/>
                <c:pt idx="0" formatCode="0.000">
                  <c:v>1.7600000000000001E-2</c:v>
                </c:pt>
                <c:pt idx="1">
                  <c:v>0</c:v>
                </c:pt>
                <c:pt idx="2" formatCode="0.000">
                  <c:v>2.6400000000000002E-4</c:v>
                </c:pt>
                <c:pt idx="3">
                  <c:v>2.4096992210983723</c:v>
                </c:pt>
                <c:pt idx="4" formatCode="0.0E+00">
                  <c:v>0</c:v>
                </c:pt>
                <c:pt idx="5" formatCode="0.000">
                  <c:v>6.8900000000000005E-4</c:v>
                </c:pt>
                <c:pt idx="6" formatCode="0.000">
                  <c:v>0</c:v>
                </c:pt>
              </c:numCache>
            </c:numRef>
          </c:val>
          <c:extLst>
            <c:ext xmlns:c16="http://schemas.microsoft.com/office/drawing/2014/chart" uri="{C3380CC4-5D6E-409C-BE32-E72D297353CC}">
              <c16:uniqueId val="{00000000-E494-4BA7-8F33-9F3EE4E73438}"/>
            </c:ext>
          </c:extLst>
        </c:ser>
        <c:ser>
          <c:idx val="3"/>
          <c:order val="1"/>
          <c:tx>
            <c:strRef>
              <c:f>'Contribution Analysis 3'!$E$2</c:f>
              <c:strCache>
                <c:ptCount val="1"/>
                <c:pt idx="0">
                  <c:v>Thermal Energy</c:v>
                </c:pt>
              </c:strCache>
            </c:strRef>
          </c:tx>
          <c:spPr>
            <a:solidFill>
              <a:schemeClr val="accent4"/>
            </a:solidFill>
            <a:ln>
              <a:noFill/>
            </a:ln>
            <a:effectLst/>
          </c:spPr>
          <c:invertIfNegative val="0"/>
          <c:cat>
            <c:strRef>
              <c:f>'Contribution Analysis 3'!$A$14:$A$20</c:f>
              <c:strCache>
                <c:ptCount val="7"/>
                <c:pt idx="0">
                  <c:v>AP</c:v>
                </c:pt>
                <c:pt idx="1">
                  <c:v>DFE</c:v>
                </c:pt>
                <c:pt idx="2">
                  <c:v>EP </c:v>
                </c:pt>
                <c:pt idx="3">
                  <c:v>GWP</c:v>
                </c:pt>
                <c:pt idx="4">
                  <c:v>ODP </c:v>
                </c:pt>
                <c:pt idx="5">
                  <c:v>POCP</c:v>
                </c:pt>
                <c:pt idx="6">
                  <c:v>WSFP</c:v>
                </c:pt>
              </c:strCache>
            </c:strRef>
          </c:cat>
          <c:val>
            <c:numRef>
              <c:f>'Contribution Analysis 3'!$E$3:$E$9</c:f>
              <c:numCache>
                <c:formatCode>0.0</c:formatCode>
                <c:ptCount val="7"/>
                <c:pt idx="0" formatCode="0.000">
                  <c:v>1.06E-2</c:v>
                </c:pt>
                <c:pt idx="1">
                  <c:v>18.100000000000001</c:v>
                </c:pt>
                <c:pt idx="2" formatCode="0.000">
                  <c:v>5.6599999999999999E-4</c:v>
                </c:pt>
                <c:pt idx="3">
                  <c:v>1.9759449778321914</c:v>
                </c:pt>
                <c:pt idx="4" formatCode="0.0E+00">
                  <c:v>2.57E-14</c:v>
                </c:pt>
                <c:pt idx="5" formatCode="0.000">
                  <c:v>6.1499999999999999E-4</c:v>
                </c:pt>
                <c:pt idx="6" formatCode="0.000">
                  <c:v>3.1100000000000003E-2</c:v>
                </c:pt>
              </c:numCache>
            </c:numRef>
          </c:val>
          <c:extLst>
            <c:ext xmlns:c16="http://schemas.microsoft.com/office/drawing/2014/chart" uri="{C3380CC4-5D6E-409C-BE32-E72D297353CC}">
              <c16:uniqueId val="{00000001-E494-4BA7-8F33-9F3EE4E73438}"/>
            </c:ext>
          </c:extLst>
        </c:ser>
        <c:ser>
          <c:idx val="2"/>
          <c:order val="2"/>
          <c:tx>
            <c:strRef>
              <c:f>'Contribution Analysis 3'!$D$2</c:f>
              <c:strCache>
                <c:ptCount val="1"/>
                <c:pt idx="0">
                  <c:v>Ancillary</c:v>
                </c:pt>
              </c:strCache>
            </c:strRef>
          </c:tx>
          <c:spPr>
            <a:solidFill>
              <a:schemeClr val="accent3"/>
            </a:solidFill>
            <a:ln>
              <a:noFill/>
            </a:ln>
            <a:effectLst/>
          </c:spPr>
          <c:invertIfNegative val="0"/>
          <c:cat>
            <c:strRef>
              <c:f>'Contribution Analysis 3'!$A$14:$A$20</c:f>
              <c:strCache>
                <c:ptCount val="7"/>
                <c:pt idx="0">
                  <c:v>AP</c:v>
                </c:pt>
                <c:pt idx="1">
                  <c:v>DFE</c:v>
                </c:pt>
                <c:pt idx="2">
                  <c:v>EP </c:v>
                </c:pt>
                <c:pt idx="3">
                  <c:v>GWP</c:v>
                </c:pt>
                <c:pt idx="4">
                  <c:v>ODP </c:v>
                </c:pt>
                <c:pt idx="5">
                  <c:v>POCP</c:v>
                </c:pt>
                <c:pt idx="6">
                  <c:v>WSFP</c:v>
                </c:pt>
              </c:strCache>
            </c:strRef>
          </c:cat>
          <c:val>
            <c:numRef>
              <c:f>'Contribution Analysis 3'!$D$3:$D$9</c:f>
              <c:numCache>
                <c:formatCode>0.0</c:formatCode>
                <c:ptCount val="7"/>
                <c:pt idx="0" formatCode="0.000">
                  <c:v>4.6499999999999996E-3</c:v>
                </c:pt>
                <c:pt idx="1">
                  <c:v>28.5</c:v>
                </c:pt>
                <c:pt idx="2" formatCode="0.000">
                  <c:v>3.68E-4</c:v>
                </c:pt>
                <c:pt idx="3">
                  <c:v>1.1773312009413877</c:v>
                </c:pt>
                <c:pt idx="4" formatCode="0.0E+00">
                  <c:v>2.5900000000000001E-12</c:v>
                </c:pt>
                <c:pt idx="5" formatCode="0.000">
                  <c:v>3.8200000000000002E-4</c:v>
                </c:pt>
                <c:pt idx="6" formatCode="0.000">
                  <c:v>8.1799999999999998E-2</c:v>
                </c:pt>
              </c:numCache>
            </c:numRef>
          </c:val>
          <c:extLst>
            <c:ext xmlns:c16="http://schemas.microsoft.com/office/drawing/2014/chart" uri="{C3380CC4-5D6E-409C-BE32-E72D297353CC}">
              <c16:uniqueId val="{00000002-E494-4BA7-8F33-9F3EE4E73438}"/>
            </c:ext>
          </c:extLst>
        </c:ser>
        <c:ser>
          <c:idx val="0"/>
          <c:order val="3"/>
          <c:tx>
            <c:strRef>
              <c:f>'Contribution Analysis 3'!$B$2</c:f>
              <c:strCache>
                <c:ptCount val="1"/>
                <c:pt idx="0">
                  <c:v>Electricity</c:v>
                </c:pt>
              </c:strCache>
            </c:strRef>
          </c:tx>
          <c:spPr>
            <a:solidFill>
              <a:schemeClr val="accent1"/>
            </a:solidFill>
            <a:ln>
              <a:noFill/>
            </a:ln>
            <a:effectLst/>
          </c:spPr>
          <c:invertIfNegative val="0"/>
          <c:cat>
            <c:strRef>
              <c:f>'Contribution Analysis 3'!$A$14:$A$20</c:f>
              <c:strCache>
                <c:ptCount val="7"/>
                <c:pt idx="0">
                  <c:v>AP</c:v>
                </c:pt>
                <c:pt idx="1">
                  <c:v>DFE</c:v>
                </c:pt>
                <c:pt idx="2">
                  <c:v>EP </c:v>
                </c:pt>
                <c:pt idx="3">
                  <c:v>GWP</c:v>
                </c:pt>
                <c:pt idx="4">
                  <c:v>ODP </c:v>
                </c:pt>
                <c:pt idx="5">
                  <c:v>POCP</c:v>
                </c:pt>
                <c:pt idx="6">
                  <c:v>WSFP</c:v>
                </c:pt>
              </c:strCache>
            </c:strRef>
          </c:cat>
          <c:val>
            <c:numRef>
              <c:f>'Contribution Analysis 3'!$B$3:$B$9</c:f>
              <c:numCache>
                <c:formatCode>0.0</c:formatCode>
                <c:ptCount val="7"/>
                <c:pt idx="0" formatCode="0.000">
                  <c:v>4.53E-2</c:v>
                </c:pt>
                <c:pt idx="1">
                  <c:v>110</c:v>
                </c:pt>
                <c:pt idx="2" formatCode="0.000">
                  <c:v>3.7499999999999999E-3</c:v>
                </c:pt>
                <c:pt idx="3">
                  <c:v>10.866979329309125</c:v>
                </c:pt>
                <c:pt idx="4" formatCode="0.0E+00">
                  <c:v>2.7700000000000001E-14</c:v>
                </c:pt>
                <c:pt idx="5" formatCode="0.000">
                  <c:v>3.8400000000000001E-3</c:v>
                </c:pt>
                <c:pt idx="6" formatCode="0.000">
                  <c:v>2.9266000000000001</c:v>
                </c:pt>
              </c:numCache>
            </c:numRef>
          </c:val>
          <c:extLst>
            <c:ext xmlns:c16="http://schemas.microsoft.com/office/drawing/2014/chart" uri="{C3380CC4-5D6E-409C-BE32-E72D297353CC}">
              <c16:uniqueId val="{00000003-E494-4BA7-8F33-9F3EE4E73438}"/>
            </c:ext>
          </c:extLst>
        </c:ser>
        <c:ser>
          <c:idx val="4"/>
          <c:order val="4"/>
          <c:tx>
            <c:strRef>
              <c:f>'Contribution Analysis 3'!$F$2</c:f>
              <c:strCache>
                <c:ptCount val="1"/>
                <c:pt idx="0">
                  <c:v>Transport</c:v>
                </c:pt>
              </c:strCache>
            </c:strRef>
          </c:tx>
          <c:spPr>
            <a:solidFill>
              <a:schemeClr val="accent5"/>
            </a:solidFill>
            <a:ln>
              <a:noFill/>
            </a:ln>
            <a:effectLst/>
          </c:spPr>
          <c:invertIfNegative val="0"/>
          <c:cat>
            <c:strRef>
              <c:f>'Contribution Analysis 3'!$A$14:$A$20</c:f>
              <c:strCache>
                <c:ptCount val="7"/>
                <c:pt idx="0">
                  <c:v>AP</c:v>
                </c:pt>
                <c:pt idx="1">
                  <c:v>DFE</c:v>
                </c:pt>
                <c:pt idx="2">
                  <c:v>EP </c:v>
                </c:pt>
                <c:pt idx="3">
                  <c:v>GWP</c:v>
                </c:pt>
                <c:pt idx="4">
                  <c:v>ODP </c:v>
                </c:pt>
                <c:pt idx="5">
                  <c:v>POCP</c:v>
                </c:pt>
                <c:pt idx="6">
                  <c:v>WSFP</c:v>
                </c:pt>
              </c:strCache>
            </c:strRef>
          </c:cat>
          <c:val>
            <c:numRef>
              <c:f>'Contribution Analysis 3'!$F$3:$F$9</c:f>
              <c:numCache>
                <c:formatCode>0.0</c:formatCode>
                <c:ptCount val="7"/>
                <c:pt idx="0" formatCode="0.000">
                  <c:v>1.04E-2</c:v>
                </c:pt>
                <c:pt idx="1">
                  <c:v>5.04</c:v>
                </c:pt>
                <c:pt idx="2" formatCode="0.000">
                  <c:v>1.1800000000000001E-3</c:v>
                </c:pt>
                <c:pt idx="3">
                  <c:v>0.41518466918207875</c:v>
                </c:pt>
                <c:pt idx="4" formatCode="0.000">
                  <c:v>0</c:v>
                </c:pt>
                <c:pt idx="5" formatCode="0.000">
                  <c:v>5.6099999999999998E-4</c:v>
                </c:pt>
                <c:pt idx="6" formatCode="0.000">
                  <c:v>2.8400000000000002E-2</c:v>
                </c:pt>
              </c:numCache>
            </c:numRef>
          </c:val>
          <c:extLst>
            <c:ext xmlns:c16="http://schemas.microsoft.com/office/drawing/2014/chart" uri="{C3380CC4-5D6E-409C-BE32-E72D297353CC}">
              <c16:uniqueId val="{00000004-E494-4BA7-8F33-9F3EE4E73438}"/>
            </c:ext>
          </c:extLst>
        </c:ser>
        <c:dLbls>
          <c:showLegendKey val="0"/>
          <c:showVal val="0"/>
          <c:showCatName val="0"/>
          <c:showSerName val="0"/>
          <c:showPercent val="0"/>
          <c:showBubbleSize val="0"/>
        </c:dLbls>
        <c:gapWidth val="150"/>
        <c:overlap val="100"/>
        <c:axId val="306219048"/>
        <c:axId val="306223360"/>
      </c:barChart>
      <c:catAx>
        <c:axId val="306219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223360"/>
        <c:crosses val="autoZero"/>
        <c:auto val="1"/>
        <c:lblAlgn val="ctr"/>
        <c:lblOffset val="100"/>
        <c:noMultiLvlLbl val="0"/>
      </c:catAx>
      <c:valAx>
        <c:axId val="3062233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219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GB" sz="1200"/>
              <a:t>Scenario 1: CNA-CNA-CNA</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1"/>
          <c:order val="0"/>
          <c:tx>
            <c:strRef>
              <c:f>'Contribution Analysis 3'!$C$13</c:f>
              <c:strCache>
                <c:ptCount val="1"/>
                <c:pt idx="0">
                  <c:v>Direct Process</c:v>
                </c:pt>
              </c:strCache>
            </c:strRef>
          </c:tx>
          <c:spPr>
            <a:solidFill>
              <a:schemeClr val="accent2"/>
            </a:solidFill>
            <a:ln>
              <a:noFill/>
            </a:ln>
            <a:effectLst/>
          </c:spPr>
          <c:invertIfNegative val="0"/>
          <c:cat>
            <c:strRef>
              <c:f>'Contribution Analysis 3'!$A$14:$A$20</c:f>
              <c:strCache>
                <c:ptCount val="7"/>
                <c:pt idx="0">
                  <c:v>AP</c:v>
                </c:pt>
                <c:pt idx="1">
                  <c:v>DFE</c:v>
                </c:pt>
                <c:pt idx="2">
                  <c:v>EP </c:v>
                </c:pt>
                <c:pt idx="3">
                  <c:v>GWP</c:v>
                </c:pt>
                <c:pt idx="4">
                  <c:v>ODP </c:v>
                </c:pt>
                <c:pt idx="5">
                  <c:v>POCP</c:v>
                </c:pt>
                <c:pt idx="6">
                  <c:v>WSFP</c:v>
                </c:pt>
              </c:strCache>
            </c:strRef>
          </c:cat>
          <c:val>
            <c:numRef>
              <c:f>'Contribution Analysis 3'!$C$14:$C$20</c:f>
              <c:numCache>
                <c:formatCode>0.0</c:formatCode>
                <c:ptCount val="7"/>
                <c:pt idx="0" formatCode="0.000">
                  <c:v>1.6199999999999999E-2</c:v>
                </c:pt>
                <c:pt idx="1">
                  <c:v>0</c:v>
                </c:pt>
                <c:pt idx="2" formatCode="0.000">
                  <c:v>2.6499999999999999E-4</c:v>
                </c:pt>
                <c:pt idx="3">
                  <c:v>2.71</c:v>
                </c:pt>
                <c:pt idx="4" formatCode="0.0E+00">
                  <c:v>0</c:v>
                </c:pt>
                <c:pt idx="5" formatCode="0.000">
                  <c:v>6.9999999999999999E-4</c:v>
                </c:pt>
                <c:pt idx="6" formatCode="0.000">
                  <c:v>0</c:v>
                </c:pt>
              </c:numCache>
            </c:numRef>
          </c:val>
          <c:extLst>
            <c:ext xmlns:c16="http://schemas.microsoft.com/office/drawing/2014/chart" uri="{C3380CC4-5D6E-409C-BE32-E72D297353CC}">
              <c16:uniqueId val="{00000000-3CB3-4792-BFDC-0D3FAB1DFD88}"/>
            </c:ext>
          </c:extLst>
        </c:ser>
        <c:ser>
          <c:idx val="3"/>
          <c:order val="1"/>
          <c:tx>
            <c:strRef>
              <c:f>'Contribution Analysis 3'!$E$13</c:f>
              <c:strCache>
                <c:ptCount val="1"/>
                <c:pt idx="0">
                  <c:v>Thermal Energy</c:v>
                </c:pt>
              </c:strCache>
            </c:strRef>
          </c:tx>
          <c:spPr>
            <a:solidFill>
              <a:schemeClr val="accent4"/>
            </a:solidFill>
            <a:ln>
              <a:noFill/>
            </a:ln>
            <a:effectLst/>
          </c:spPr>
          <c:invertIfNegative val="0"/>
          <c:cat>
            <c:strRef>
              <c:f>'Contribution Analysis 3'!$A$14:$A$20</c:f>
              <c:strCache>
                <c:ptCount val="7"/>
                <c:pt idx="0">
                  <c:v>AP</c:v>
                </c:pt>
                <c:pt idx="1">
                  <c:v>DFE</c:v>
                </c:pt>
                <c:pt idx="2">
                  <c:v>EP </c:v>
                </c:pt>
                <c:pt idx="3">
                  <c:v>GWP</c:v>
                </c:pt>
                <c:pt idx="4">
                  <c:v>ODP </c:v>
                </c:pt>
                <c:pt idx="5">
                  <c:v>POCP</c:v>
                </c:pt>
                <c:pt idx="6">
                  <c:v>WSFP</c:v>
                </c:pt>
              </c:strCache>
            </c:strRef>
          </c:cat>
          <c:val>
            <c:numRef>
              <c:f>'Contribution Analysis 3'!$E$14:$E$20</c:f>
              <c:numCache>
                <c:formatCode>0.0</c:formatCode>
                <c:ptCount val="7"/>
                <c:pt idx="0" formatCode="0.000">
                  <c:v>2.2499999999999999E-2</c:v>
                </c:pt>
                <c:pt idx="1">
                  <c:v>31.5</c:v>
                </c:pt>
                <c:pt idx="2" formatCode="0.000">
                  <c:v>1.3699999999999999E-3</c:v>
                </c:pt>
                <c:pt idx="3">
                  <c:v>2.5499999999999998</c:v>
                </c:pt>
                <c:pt idx="4" formatCode="0.0E+00">
                  <c:v>1.8799999999999999E-14</c:v>
                </c:pt>
                <c:pt idx="5" formatCode="0.000">
                  <c:v>1.2600000000000001E-3</c:v>
                </c:pt>
                <c:pt idx="6" formatCode="0.000">
                  <c:v>0.185</c:v>
                </c:pt>
              </c:numCache>
            </c:numRef>
          </c:val>
          <c:extLst>
            <c:ext xmlns:c16="http://schemas.microsoft.com/office/drawing/2014/chart" uri="{C3380CC4-5D6E-409C-BE32-E72D297353CC}">
              <c16:uniqueId val="{00000001-3CB3-4792-BFDC-0D3FAB1DFD88}"/>
            </c:ext>
          </c:extLst>
        </c:ser>
        <c:ser>
          <c:idx val="2"/>
          <c:order val="2"/>
          <c:tx>
            <c:strRef>
              <c:f>'Contribution Analysis 3'!$D$13</c:f>
              <c:strCache>
                <c:ptCount val="1"/>
                <c:pt idx="0">
                  <c:v>Ancillary</c:v>
                </c:pt>
              </c:strCache>
            </c:strRef>
          </c:tx>
          <c:spPr>
            <a:solidFill>
              <a:schemeClr val="accent3"/>
            </a:solidFill>
            <a:ln>
              <a:noFill/>
            </a:ln>
            <a:effectLst/>
          </c:spPr>
          <c:invertIfNegative val="0"/>
          <c:cat>
            <c:strRef>
              <c:f>'Contribution Analysis 3'!$A$14:$A$20</c:f>
              <c:strCache>
                <c:ptCount val="7"/>
                <c:pt idx="0">
                  <c:v>AP</c:v>
                </c:pt>
                <c:pt idx="1">
                  <c:v>DFE</c:v>
                </c:pt>
                <c:pt idx="2">
                  <c:v>EP </c:v>
                </c:pt>
                <c:pt idx="3">
                  <c:v>GWP</c:v>
                </c:pt>
                <c:pt idx="4">
                  <c:v>ODP </c:v>
                </c:pt>
                <c:pt idx="5">
                  <c:v>POCP</c:v>
                </c:pt>
                <c:pt idx="6">
                  <c:v>WSFP</c:v>
                </c:pt>
              </c:strCache>
            </c:strRef>
          </c:cat>
          <c:val>
            <c:numRef>
              <c:f>'Contribution Analysis 3'!$D$14:$D$20</c:f>
              <c:numCache>
                <c:formatCode>0.0</c:formatCode>
                <c:ptCount val="7"/>
                <c:pt idx="0" formatCode="0.000">
                  <c:v>1.91E-3</c:v>
                </c:pt>
                <c:pt idx="1">
                  <c:v>22.5</c:v>
                </c:pt>
                <c:pt idx="2" formatCode="0.000">
                  <c:v>2.0799999999999999E-4</c:v>
                </c:pt>
                <c:pt idx="3">
                  <c:v>1.1499999999999999</c:v>
                </c:pt>
                <c:pt idx="4" formatCode="0.0E+00">
                  <c:v>2.5700000000000002E-12</c:v>
                </c:pt>
                <c:pt idx="5" formatCode="0.000">
                  <c:v>2.1499999999999999E-4</c:v>
                </c:pt>
                <c:pt idx="6" formatCode="0.000">
                  <c:v>0.21540000000000001</c:v>
                </c:pt>
              </c:numCache>
            </c:numRef>
          </c:val>
          <c:extLst>
            <c:ext xmlns:c16="http://schemas.microsoft.com/office/drawing/2014/chart" uri="{C3380CC4-5D6E-409C-BE32-E72D297353CC}">
              <c16:uniqueId val="{00000002-3CB3-4792-BFDC-0D3FAB1DFD88}"/>
            </c:ext>
          </c:extLst>
        </c:ser>
        <c:ser>
          <c:idx val="0"/>
          <c:order val="3"/>
          <c:tx>
            <c:strRef>
              <c:f>'Contribution Analysis 3'!$B$13</c:f>
              <c:strCache>
                <c:ptCount val="1"/>
                <c:pt idx="0">
                  <c:v>Electricity</c:v>
                </c:pt>
              </c:strCache>
            </c:strRef>
          </c:tx>
          <c:spPr>
            <a:solidFill>
              <a:schemeClr val="accent1"/>
            </a:solidFill>
            <a:ln>
              <a:noFill/>
            </a:ln>
            <a:effectLst/>
          </c:spPr>
          <c:invertIfNegative val="0"/>
          <c:cat>
            <c:strRef>
              <c:f>'Contribution Analysis 3'!$A$14:$A$20</c:f>
              <c:strCache>
                <c:ptCount val="7"/>
                <c:pt idx="0">
                  <c:v>AP</c:v>
                </c:pt>
                <c:pt idx="1">
                  <c:v>DFE</c:v>
                </c:pt>
                <c:pt idx="2">
                  <c:v>EP </c:v>
                </c:pt>
                <c:pt idx="3">
                  <c:v>GWP</c:v>
                </c:pt>
                <c:pt idx="4">
                  <c:v>ODP </c:v>
                </c:pt>
                <c:pt idx="5">
                  <c:v>POCP</c:v>
                </c:pt>
                <c:pt idx="6">
                  <c:v>WSFP</c:v>
                </c:pt>
              </c:strCache>
            </c:strRef>
          </c:cat>
          <c:val>
            <c:numRef>
              <c:f>'Contribution Analysis 3'!$B$14:$B$20</c:f>
              <c:numCache>
                <c:formatCode>0.0</c:formatCode>
                <c:ptCount val="7"/>
                <c:pt idx="0" formatCode="0.000">
                  <c:v>5.6500000000000002E-2</c:v>
                </c:pt>
                <c:pt idx="1">
                  <c:v>134</c:v>
                </c:pt>
                <c:pt idx="2" formatCode="0.000">
                  <c:v>3.8600000000000001E-3</c:v>
                </c:pt>
                <c:pt idx="3">
                  <c:v>13.5</c:v>
                </c:pt>
                <c:pt idx="4" formatCode="0.0E+00">
                  <c:v>2.3600000000000001E-15</c:v>
                </c:pt>
                <c:pt idx="5" formatCode="0.000">
                  <c:v>5.3699999999999998E-3</c:v>
                </c:pt>
                <c:pt idx="6" formatCode="0.000">
                  <c:v>3.2269999999999999</c:v>
                </c:pt>
              </c:numCache>
            </c:numRef>
          </c:val>
          <c:extLst>
            <c:ext xmlns:c16="http://schemas.microsoft.com/office/drawing/2014/chart" uri="{C3380CC4-5D6E-409C-BE32-E72D297353CC}">
              <c16:uniqueId val="{00000003-3CB3-4792-BFDC-0D3FAB1DFD88}"/>
            </c:ext>
          </c:extLst>
        </c:ser>
        <c:ser>
          <c:idx val="4"/>
          <c:order val="4"/>
          <c:tx>
            <c:strRef>
              <c:f>'Contribution Analysis 3'!$F$13</c:f>
              <c:strCache>
                <c:ptCount val="1"/>
                <c:pt idx="0">
                  <c:v>Transport</c:v>
                </c:pt>
              </c:strCache>
            </c:strRef>
          </c:tx>
          <c:spPr>
            <a:solidFill>
              <a:schemeClr val="accent5"/>
            </a:solidFill>
            <a:ln>
              <a:noFill/>
            </a:ln>
            <a:effectLst/>
          </c:spPr>
          <c:invertIfNegative val="0"/>
          <c:cat>
            <c:strRef>
              <c:f>'Contribution Analysis 3'!$A$14:$A$20</c:f>
              <c:strCache>
                <c:ptCount val="7"/>
                <c:pt idx="0">
                  <c:v>AP</c:v>
                </c:pt>
                <c:pt idx="1">
                  <c:v>DFE</c:v>
                </c:pt>
                <c:pt idx="2">
                  <c:v>EP </c:v>
                </c:pt>
                <c:pt idx="3">
                  <c:v>GWP</c:v>
                </c:pt>
                <c:pt idx="4">
                  <c:v>ODP </c:v>
                </c:pt>
                <c:pt idx="5">
                  <c:v>POCP</c:v>
                </c:pt>
                <c:pt idx="6">
                  <c:v>WSFP</c:v>
                </c:pt>
              </c:strCache>
            </c:strRef>
          </c:cat>
          <c:val>
            <c:numRef>
              <c:f>'Contribution Analysis 3'!$F$14:$F$20</c:f>
              <c:numCache>
                <c:formatCode>0.0</c:formatCode>
                <c:ptCount val="7"/>
                <c:pt idx="0" formatCode="0.000">
                  <c:v>1.0500000000000001E-2</c:v>
                </c:pt>
                <c:pt idx="1">
                  <c:v>5.01</c:v>
                </c:pt>
                <c:pt idx="2" formatCode="0.000">
                  <c:v>1.1900000000000001E-3</c:v>
                </c:pt>
                <c:pt idx="3">
                  <c:v>0.41199999999999998</c:v>
                </c:pt>
                <c:pt idx="4" formatCode="0.000">
                  <c:v>7.5999999999999999E-13</c:v>
                </c:pt>
                <c:pt idx="5" formatCode="0.000">
                  <c:v>5.6599999999999999E-4</c:v>
                </c:pt>
                <c:pt idx="6" formatCode="0.000">
                  <c:v>0.16750000000000001</c:v>
                </c:pt>
              </c:numCache>
            </c:numRef>
          </c:val>
          <c:extLst>
            <c:ext xmlns:c16="http://schemas.microsoft.com/office/drawing/2014/chart" uri="{C3380CC4-5D6E-409C-BE32-E72D297353CC}">
              <c16:uniqueId val="{00000004-3CB3-4792-BFDC-0D3FAB1DFD88}"/>
            </c:ext>
          </c:extLst>
        </c:ser>
        <c:dLbls>
          <c:showLegendKey val="0"/>
          <c:showVal val="0"/>
          <c:showCatName val="0"/>
          <c:showSerName val="0"/>
          <c:showPercent val="0"/>
          <c:showBubbleSize val="0"/>
        </c:dLbls>
        <c:gapWidth val="150"/>
        <c:overlap val="100"/>
        <c:axId val="306219048"/>
        <c:axId val="306223360"/>
      </c:barChart>
      <c:catAx>
        <c:axId val="306219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223360"/>
        <c:crosses val="autoZero"/>
        <c:auto val="1"/>
        <c:lblAlgn val="ctr"/>
        <c:lblOffset val="100"/>
        <c:noMultiLvlLbl val="0"/>
      </c:catAx>
      <c:valAx>
        <c:axId val="3062233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219048"/>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GB" sz="1200"/>
              <a:t>Scenario 2: OCA-OCA-GCC</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1"/>
          <c:order val="0"/>
          <c:tx>
            <c:strRef>
              <c:f>'Contribution Analysis 3'!$C$24</c:f>
              <c:strCache>
                <c:ptCount val="1"/>
                <c:pt idx="0">
                  <c:v>Direct Process</c:v>
                </c:pt>
              </c:strCache>
            </c:strRef>
          </c:tx>
          <c:spPr>
            <a:solidFill>
              <a:schemeClr val="accent2"/>
            </a:solidFill>
            <a:ln>
              <a:noFill/>
            </a:ln>
            <a:effectLst/>
          </c:spPr>
          <c:invertIfNegative val="0"/>
          <c:cat>
            <c:strRef>
              <c:f>'Contribution Analysis 3'!$A$25:$A$31</c:f>
              <c:strCache>
                <c:ptCount val="7"/>
                <c:pt idx="0">
                  <c:v>AP</c:v>
                </c:pt>
                <c:pt idx="1">
                  <c:v>DFE</c:v>
                </c:pt>
                <c:pt idx="2">
                  <c:v>EP </c:v>
                </c:pt>
                <c:pt idx="3">
                  <c:v>GWP</c:v>
                </c:pt>
                <c:pt idx="4">
                  <c:v>ODP </c:v>
                </c:pt>
                <c:pt idx="5">
                  <c:v>POCP</c:v>
                </c:pt>
                <c:pt idx="6">
                  <c:v>WSFP</c:v>
                </c:pt>
              </c:strCache>
            </c:strRef>
          </c:cat>
          <c:val>
            <c:numRef>
              <c:f>'Contribution Analysis 3'!$C$25:$C$31</c:f>
              <c:numCache>
                <c:formatCode>0.0</c:formatCode>
                <c:ptCount val="7"/>
                <c:pt idx="0" formatCode="0.000">
                  <c:v>1.67E-2</c:v>
                </c:pt>
                <c:pt idx="1">
                  <c:v>0</c:v>
                </c:pt>
                <c:pt idx="2" formatCode="0.000">
                  <c:v>2.6800000000000001E-4</c:v>
                </c:pt>
                <c:pt idx="3">
                  <c:v>1.87</c:v>
                </c:pt>
                <c:pt idx="4" formatCode="0.0E+00">
                  <c:v>0</c:v>
                </c:pt>
                <c:pt idx="5" formatCode="0.000">
                  <c:v>6.5600000000000001E-4</c:v>
                </c:pt>
                <c:pt idx="6" formatCode="0.000">
                  <c:v>9.5200000000000007E-3</c:v>
                </c:pt>
              </c:numCache>
            </c:numRef>
          </c:val>
          <c:extLst>
            <c:ext xmlns:c16="http://schemas.microsoft.com/office/drawing/2014/chart" uri="{C3380CC4-5D6E-409C-BE32-E72D297353CC}">
              <c16:uniqueId val="{00000000-986D-4590-9ED6-36BCAB6DFCA0}"/>
            </c:ext>
          </c:extLst>
        </c:ser>
        <c:ser>
          <c:idx val="3"/>
          <c:order val="1"/>
          <c:tx>
            <c:strRef>
              <c:f>'Contribution Analysis 3'!$E$24</c:f>
              <c:strCache>
                <c:ptCount val="1"/>
                <c:pt idx="0">
                  <c:v>Thermal Energy</c:v>
                </c:pt>
              </c:strCache>
            </c:strRef>
          </c:tx>
          <c:spPr>
            <a:solidFill>
              <a:schemeClr val="accent4"/>
            </a:solidFill>
            <a:ln>
              <a:noFill/>
            </a:ln>
            <a:effectLst/>
          </c:spPr>
          <c:invertIfNegative val="0"/>
          <c:cat>
            <c:strRef>
              <c:f>'Contribution Analysis 3'!$A$25:$A$31</c:f>
              <c:strCache>
                <c:ptCount val="7"/>
                <c:pt idx="0">
                  <c:v>AP</c:v>
                </c:pt>
                <c:pt idx="1">
                  <c:v>DFE</c:v>
                </c:pt>
                <c:pt idx="2">
                  <c:v>EP </c:v>
                </c:pt>
                <c:pt idx="3">
                  <c:v>GWP</c:v>
                </c:pt>
                <c:pt idx="4">
                  <c:v>ODP </c:v>
                </c:pt>
                <c:pt idx="5">
                  <c:v>POCP</c:v>
                </c:pt>
                <c:pt idx="6">
                  <c:v>WSFP</c:v>
                </c:pt>
              </c:strCache>
            </c:strRef>
          </c:cat>
          <c:val>
            <c:numRef>
              <c:f>'Contribution Analysis 3'!$E$25:$E$31</c:f>
              <c:numCache>
                <c:formatCode>0.0</c:formatCode>
                <c:ptCount val="7"/>
                <c:pt idx="0" formatCode="0.000">
                  <c:v>5.1900000000000002E-3</c:v>
                </c:pt>
                <c:pt idx="1">
                  <c:v>19</c:v>
                </c:pt>
                <c:pt idx="2" formatCode="0.000">
                  <c:v>5.6499999999999996E-4</c:v>
                </c:pt>
                <c:pt idx="3">
                  <c:v>1.51</c:v>
                </c:pt>
                <c:pt idx="4" formatCode="0.0E+00">
                  <c:v>3.4800000000000001E-14</c:v>
                </c:pt>
                <c:pt idx="5" formatCode="0.000">
                  <c:v>3.0899999999999998E-4</c:v>
                </c:pt>
                <c:pt idx="6" formatCode="0.000">
                  <c:v>1.11E-2</c:v>
                </c:pt>
              </c:numCache>
            </c:numRef>
          </c:val>
          <c:extLst>
            <c:ext xmlns:c16="http://schemas.microsoft.com/office/drawing/2014/chart" uri="{C3380CC4-5D6E-409C-BE32-E72D297353CC}">
              <c16:uniqueId val="{00000001-986D-4590-9ED6-36BCAB6DFCA0}"/>
            </c:ext>
          </c:extLst>
        </c:ser>
        <c:ser>
          <c:idx val="2"/>
          <c:order val="2"/>
          <c:tx>
            <c:strRef>
              <c:f>'Contribution Analysis 3'!$D$24</c:f>
              <c:strCache>
                <c:ptCount val="1"/>
                <c:pt idx="0">
                  <c:v>Ancillary</c:v>
                </c:pt>
              </c:strCache>
            </c:strRef>
          </c:tx>
          <c:spPr>
            <a:solidFill>
              <a:schemeClr val="accent3"/>
            </a:solidFill>
            <a:ln>
              <a:noFill/>
            </a:ln>
            <a:effectLst/>
          </c:spPr>
          <c:invertIfNegative val="0"/>
          <c:cat>
            <c:strRef>
              <c:f>'Contribution Analysis 3'!$A$25:$A$31</c:f>
              <c:strCache>
                <c:ptCount val="7"/>
                <c:pt idx="0">
                  <c:v>AP</c:v>
                </c:pt>
                <c:pt idx="1">
                  <c:v>DFE</c:v>
                </c:pt>
                <c:pt idx="2">
                  <c:v>EP </c:v>
                </c:pt>
                <c:pt idx="3">
                  <c:v>GWP</c:v>
                </c:pt>
                <c:pt idx="4">
                  <c:v>ODP </c:v>
                </c:pt>
                <c:pt idx="5">
                  <c:v>POCP</c:v>
                </c:pt>
                <c:pt idx="6">
                  <c:v>WSFP</c:v>
                </c:pt>
              </c:strCache>
            </c:strRef>
          </c:cat>
          <c:val>
            <c:numRef>
              <c:f>'Contribution Analysis 3'!$D$25:$D$31</c:f>
              <c:numCache>
                <c:formatCode>0.0</c:formatCode>
                <c:ptCount val="7"/>
                <c:pt idx="0" formatCode="0.000">
                  <c:v>2.0400000000000001E-3</c:v>
                </c:pt>
                <c:pt idx="1">
                  <c:v>25.2</c:v>
                </c:pt>
                <c:pt idx="2" formatCode="0.000">
                  <c:v>2.22E-4</c:v>
                </c:pt>
                <c:pt idx="3">
                  <c:v>1.24</c:v>
                </c:pt>
                <c:pt idx="4" formatCode="0.0E+00">
                  <c:v>2.6400000000000001E-12</c:v>
                </c:pt>
                <c:pt idx="5" formatCode="0.000">
                  <c:v>2.3599999999999999E-4</c:v>
                </c:pt>
                <c:pt idx="6" formatCode="0.000">
                  <c:v>5.7599999999999998E-2</c:v>
                </c:pt>
              </c:numCache>
            </c:numRef>
          </c:val>
          <c:extLst>
            <c:ext xmlns:c16="http://schemas.microsoft.com/office/drawing/2014/chart" uri="{C3380CC4-5D6E-409C-BE32-E72D297353CC}">
              <c16:uniqueId val="{00000002-986D-4590-9ED6-36BCAB6DFCA0}"/>
            </c:ext>
          </c:extLst>
        </c:ser>
        <c:ser>
          <c:idx val="0"/>
          <c:order val="3"/>
          <c:tx>
            <c:strRef>
              <c:f>'Contribution Analysis 3'!$B$24</c:f>
              <c:strCache>
                <c:ptCount val="1"/>
                <c:pt idx="0">
                  <c:v>Electricity</c:v>
                </c:pt>
              </c:strCache>
            </c:strRef>
          </c:tx>
          <c:spPr>
            <a:solidFill>
              <a:schemeClr val="accent1"/>
            </a:solidFill>
            <a:ln>
              <a:noFill/>
            </a:ln>
            <a:effectLst/>
          </c:spPr>
          <c:invertIfNegative val="0"/>
          <c:cat>
            <c:strRef>
              <c:f>'Contribution Analysis 3'!$A$25:$A$31</c:f>
              <c:strCache>
                <c:ptCount val="7"/>
                <c:pt idx="0">
                  <c:v>AP</c:v>
                </c:pt>
                <c:pt idx="1">
                  <c:v>DFE</c:v>
                </c:pt>
                <c:pt idx="2">
                  <c:v>EP </c:v>
                </c:pt>
                <c:pt idx="3">
                  <c:v>GWP</c:v>
                </c:pt>
                <c:pt idx="4">
                  <c:v>ODP </c:v>
                </c:pt>
                <c:pt idx="5">
                  <c:v>POCP</c:v>
                </c:pt>
                <c:pt idx="6">
                  <c:v>WSFP</c:v>
                </c:pt>
              </c:strCache>
            </c:strRef>
          </c:cat>
          <c:val>
            <c:numRef>
              <c:f>'Contribution Analysis 3'!$B$25:$B$31</c:f>
              <c:numCache>
                <c:formatCode>0.0</c:formatCode>
                <c:ptCount val="7"/>
                <c:pt idx="0" formatCode="0.000">
                  <c:v>8.8800000000000007E-3</c:v>
                </c:pt>
                <c:pt idx="1">
                  <c:v>98.5</c:v>
                </c:pt>
                <c:pt idx="2" formatCode="0.000">
                  <c:v>2.0200000000000001E-3</c:v>
                </c:pt>
                <c:pt idx="3">
                  <c:v>6.31</c:v>
                </c:pt>
                <c:pt idx="4" formatCode="0.0E+00">
                  <c:v>7.8700000000000005E-15</c:v>
                </c:pt>
                <c:pt idx="5" formatCode="0.000">
                  <c:v>8.2899999999999998E-4</c:v>
                </c:pt>
                <c:pt idx="6" formatCode="0.000">
                  <c:v>0.161</c:v>
                </c:pt>
              </c:numCache>
            </c:numRef>
          </c:val>
          <c:extLst>
            <c:ext xmlns:c16="http://schemas.microsoft.com/office/drawing/2014/chart" uri="{C3380CC4-5D6E-409C-BE32-E72D297353CC}">
              <c16:uniqueId val="{00000003-986D-4590-9ED6-36BCAB6DFCA0}"/>
            </c:ext>
          </c:extLst>
        </c:ser>
        <c:ser>
          <c:idx val="4"/>
          <c:order val="4"/>
          <c:tx>
            <c:strRef>
              <c:f>'Contribution Analysis 3'!$F$24</c:f>
              <c:strCache>
                <c:ptCount val="1"/>
                <c:pt idx="0">
                  <c:v>Transport</c:v>
                </c:pt>
              </c:strCache>
            </c:strRef>
          </c:tx>
          <c:spPr>
            <a:solidFill>
              <a:schemeClr val="accent5"/>
            </a:solidFill>
            <a:ln>
              <a:noFill/>
            </a:ln>
            <a:effectLst/>
          </c:spPr>
          <c:invertIfNegative val="0"/>
          <c:cat>
            <c:strRef>
              <c:f>'Contribution Analysis 3'!$A$25:$A$31</c:f>
              <c:strCache>
                <c:ptCount val="7"/>
                <c:pt idx="0">
                  <c:v>AP</c:v>
                </c:pt>
                <c:pt idx="1">
                  <c:v>DFE</c:v>
                </c:pt>
                <c:pt idx="2">
                  <c:v>EP </c:v>
                </c:pt>
                <c:pt idx="3">
                  <c:v>GWP</c:v>
                </c:pt>
                <c:pt idx="4">
                  <c:v>ODP </c:v>
                </c:pt>
                <c:pt idx="5">
                  <c:v>POCP</c:v>
                </c:pt>
                <c:pt idx="6">
                  <c:v>WSFP</c:v>
                </c:pt>
              </c:strCache>
            </c:strRef>
          </c:cat>
          <c:val>
            <c:numRef>
              <c:f>'Contribution Analysis 3'!$F$25:$F$31</c:f>
              <c:numCache>
                <c:formatCode>0.0</c:formatCode>
                <c:ptCount val="7"/>
                <c:pt idx="0" formatCode="0.000">
                  <c:v>1.12E-2</c:v>
                </c:pt>
                <c:pt idx="1">
                  <c:v>4.68</c:v>
                </c:pt>
                <c:pt idx="2" formatCode="0.000">
                  <c:v>1.25E-3</c:v>
                </c:pt>
                <c:pt idx="3">
                  <c:v>0.38400000000000001</c:v>
                </c:pt>
                <c:pt idx="4" formatCode="0.000">
                  <c:v>1.0199999999999999E-13</c:v>
                </c:pt>
                <c:pt idx="5" formatCode="0.000">
                  <c:v>6.0599999999999998E-4</c:v>
                </c:pt>
                <c:pt idx="6" formatCode="0.000">
                  <c:v>1.6999999999999999E-3</c:v>
                </c:pt>
              </c:numCache>
            </c:numRef>
          </c:val>
          <c:extLst>
            <c:ext xmlns:c16="http://schemas.microsoft.com/office/drawing/2014/chart" uri="{C3380CC4-5D6E-409C-BE32-E72D297353CC}">
              <c16:uniqueId val="{00000004-986D-4590-9ED6-36BCAB6DFCA0}"/>
            </c:ext>
          </c:extLst>
        </c:ser>
        <c:dLbls>
          <c:showLegendKey val="0"/>
          <c:showVal val="0"/>
          <c:showCatName val="0"/>
          <c:showSerName val="0"/>
          <c:showPercent val="0"/>
          <c:showBubbleSize val="0"/>
        </c:dLbls>
        <c:gapWidth val="150"/>
        <c:overlap val="100"/>
        <c:axId val="306220224"/>
        <c:axId val="306221008"/>
      </c:barChart>
      <c:catAx>
        <c:axId val="306220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221008"/>
        <c:crosses val="autoZero"/>
        <c:auto val="1"/>
        <c:lblAlgn val="ctr"/>
        <c:lblOffset val="100"/>
        <c:noMultiLvlLbl val="0"/>
      </c:catAx>
      <c:valAx>
        <c:axId val="3062210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220224"/>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40B2A5-F01E-49A1-BEF6-01229592C985}"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GB"/>
        </a:p>
      </dgm:t>
    </dgm:pt>
    <dgm:pt modelId="{562D7984-A2DB-4E1B-A5D5-6B9BA2EC22A7}">
      <dgm:prSet phldrT="[Text]" custT="1"/>
      <dgm:spPr>
        <a:solidFill>
          <a:schemeClr val="tx2">
            <a:lumMod val="75000"/>
          </a:schemeClr>
        </a:solidFill>
      </dgm:spPr>
      <dgm:t>
        <a:bodyPr/>
        <a:lstStyle/>
        <a:p>
          <a:pPr algn="ctr"/>
          <a:r>
            <a:rPr lang="en-GB" sz="1100" dirty="0"/>
            <a:t>WSFP</a:t>
          </a:r>
        </a:p>
      </dgm:t>
    </dgm:pt>
    <dgm:pt modelId="{E274BA9B-FC64-4BA1-AD83-BD17D3377ACC}" type="parTrans" cxnId="{E3E2269F-FB8B-4565-9897-715D0267C9E7}">
      <dgm:prSet custT="1"/>
      <dgm:spPr/>
      <dgm:t>
        <a:bodyPr/>
        <a:lstStyle/>
        <a:p>
          <a:pPr algn="ctr"/>
          <a:endParaRPr lang="en-GB" sz="1100"/>
        </a:p>
      </dgm:t>
    </dgm:pt>
    <dgm:pt modelId="{FC96AF33-C181-418A-9C8B-635A654F707E}" type="sibTrans" cxnId="{E3E2269F-FB8B-4565-9897-715D0267C9E7}">
      <dgm:prSet/>
      <dgm:spPr/>
      <dgm:t>
        <a:bodyPr/>
        <a:lstStyle/>
        <a:p>
          <a:pPr algn="ctr"/>
          <a:endParaRPr lang="en-GB" sz="1100"/>
        </a:p>
      </dgm:t>
    </dgm:pt>
    <dgm:pt modelId="{2E38FF06-A3E0-480B-9A61-FAE9E3A73718}">
      <dgm:prSet phldrT="[Text]" custT="1"/>
      <dgm:spPr>
        <a:solidFill>
          <a:schemeClr val="bg1">
            <a:lumMod val="50000"/>
          </a:schemeClr>
        </a:solidFill>
      </dgm:spPr>
      <dgm:t>
        <a:bodyPr/>
        <a:lstStyle/>
        <a:p>
          <a:pPr algn="ctr"/>
          <a:r>
            <a:rPr lang="en-GB" sz="1100" dirty="0"/>
            <a:t>Direct</a:t>
          </a:r>
        </a:p>
      </dgm:t>
    </dgm:pt>
    <dgm:pt modelId="{DED31A02-E203-47CB-AEDD-ABF737C51D6B}" type="parTrans" cxnId="{865866CB-6E41-4661-A777-2EB65C3BC601}">
      <dgm:prSet custT="1"/>
      <dgm:spPr/>
      <dgm:t>
        <a:bodyPr/>
        <a:lstStyle/>
        <a:p>
          <a:pPr algn="ctr"/>
          <a:endParaRPr lang="en-GB" sz="1100"/>
        </a:p>
      </dgm:t>
    </dgm:pt>
    <dgm:pt modelId="{3A772A73-2835-46E7-9578-15A6884977F5}" type="sibTrans" cxnId="{865866CB-6E41-4661-A777-2EB65C3BC601}">
      <dgm:prSet/>
      <dgm:spPr/>
      <dgm:t>
        <a:bodyPr/>
        <a:lstStyle/>
        <a:p>
          <a:pPr algn="ctr"/>
          <a:endParaRPr lang="en-GB" sz="1100"/>
        </a:p>
      </dgm:t>
    </dgm:pt>
    <dgm:pt modelId="{3FB48B48-4D3C-4CC1-BEA6-17B11F71F755}">
      <dgm:prSet phldrT="[Text]" custT="1"/>
      <dgm:spPr>
        <a:solidFill>
          <a:schemeClr val="bg1">
            <a:lumMod val="75000"/>
          </a:schemeClr>
        </a:solidFill>
      </dgm:spPr>
      <dgm:t>
        <a:bodyPr/>
        <a:lstStyle/>
        <a:p>
          <a:pPr algn="ctr"/>
          <a:r>
            <a:rPr lang="en-GB" sz="1100" dirty="0"/>
            <a:t>AWaRe</a:t>
          </a:r>
        </a:p>
      </dgm:t>
    </dgm:pt>
    <dgm:pt modelId="{40C9A23D-B353-4E91-84E6-E747114FC7B6}" type="parTrans" cxnId="{926462D3-33F1-4522-9702-5412EF768EFF}">
      <dgm:prSet custT="1"/>
      <dgm:spPr/>
      <dgm:t>
        <a:bodyPr/>
        <a:lstStyle/>
        <a:p>
          <a:pPr algn="ctr"/>
          <a:endParaRPr lang="en-GB" sz="1100"/>
        </a:p>
      </dgm:t>
    </dgm:pt>
    <dgm:pt modelId="{CAC4B41A-BF04-40E0-A31F-B42E5367AAE6}" type="sibTrans" cxnId="{926462D3-33F1-4522-9702-5412EF768EFF}">
      <dgm:prSet/>
      <dgm:spPr/>
      <dgm:t>
        <a:bodyPr/>
        <a:lstStyle/>
        <a:p>
          <a:pPr algn="ctr"/>
          <a:endParaRPr lang="en-GB" sz="1100"/>
        </a:p>
      </dgm:t>
    </dgm:pt>
    <dgm:pt modelId="{22F6AE40-8067-4E74-862B-6FE0BA0745FA}">
      <dgm:prSet phldrT="[Text]" custT="1"/>
      <dgm:spPr>
        <a:solidFill>
          <a:schemeClr val="bg1">
            <a:lumMod val="50000"/>
          </a:schemeClr>
        </a:solidFill>
      </dgm:spPr>
      <dgm:t>
        <a:bodyPr/>
        <a:lstStyle/>
        <a:p>
          <a:pPr algn="ctr"/>
          <a:r>
            <a:rPr lang="en-GB" sz="1100" dirty="0"/>
            <a:t>Indirect</a:t>
          </a:r>
        </a:p>
      </dgm:t>
    </dgm:pt>
    <dgm:pt modelId="{F3E0C41F-D3E4-478D-AD90-55E03EDF0F18}" type="parTrans" cxnId="{5F7DB95E-31CC-47D9-A2A4-08D43C7607AF}">
      <dgm:prSet custT="1"/>
      <dgm:spPr/>
      <dgm:t>
        <a:bodyPr/>
        <a:lstStyle/>
        <a:p>
          <a:pPr algn="ctr"/>
          <a:endParaRPr lang="en-GB" sz="1100"/>
        </a:p>
      </dgm:t>
    </dgm:pt>
    <dgm:pt modelId="{BB3705CE-BB7B-406E-97EB-897318136223}" type="sibTrans" cxnId="{5F7DB95E-31CC-47D9-A2A4-08D43C7607AF}">
      <dgm:prSet/>
      <dgm:spPr/>
      <dgm:t>
        <a:bodyPr/>
        <a:lstStyle/>
        <a:p>
          <a:pPr algn="ctr"/>
          <a:endParaRPr lang="en-GB" sz="1100"/>
        </a:p>
      </dgm:t>
    </dgm:pt>
    <dgm:pt modelId="{14D02819-7FB3-4751-AF0F-5821EA4C638F}">
      <dgm:prSet phldrT="[Text]" custT="1"/>
      <dgm:spPr>
        <a:solidFill>
          <a:schemeClr val="bg1">
            <a:lumMod val="75000"/>
          </a:schemeClr>
        </a:solidFill>
      </dgm:spPr>
      <dgm:t>
        <a:bodyPr/>
        <a:lstStyle/>
        <a:p>
          <a:pPr algn="ctr"/>
          <a:r>
            <a:rPr lang="en-GB" sz="1100" dirty="0"/>
            <a:t>Ancillary </a:t>
          </a:r>
        </a:p>
      </dgm:t>
    </dgm:pt>
    <dgm:pt modelId="{0A755722-9012-4F63-B291-31345C3FA119}" type="parTrans" cxnId="{C64E740E-94E2-4705-9BA3-EBF36DDB6E26}">
      <dgm:prSet custT="1"/>
      <dgm:spPr/>
      <dgm:t>
        <a:bodyPr/>
        <a:lstStyle/>
        <a:p>
          <a:pPr algn="ctr"/>
          <a:endParaRPr lang="en-GB" sz="1100"/>
        </a:p>
      </dgm:t>
    </dgm:pt>
    <dgm:pt modelId="{6F530DEC-8598-46C7-B247-14087635B1D4}" type="sibTrans" cxnId="{C64E740E-94E2-4705-9BA3-EBF36DDB6E26}">
      <dgm:prSet/>
      <dgm:spPr/>
      <dgm:t>
        <a:bodyPr/>
        <a:lstStyle/>
        <a:p>
          <a:pPr algn="ctr"/>
          <a:endParaRPr lang="en-GB" sz="1100"/>
        </a:p>
      </dgm:t>
    </dgm:pt>
    <dgm:pt modelId="{7FAC23FC-4011-4E05-99C7-C5807C44CBBD}">
      <dgm:prSet custT="1"/>
      <dgm:spPr>
        <a:solidFill>
          <a:schemeClr val="bg1">
            <a:lumMod val="75000"/>
          </a:schemeClr>
        </a:solidFill>
      </dgm:spPr>
      <dgm:t>
        <a:bodyPr/>
        <a:lstStyle/>
        <a:p>
          <a:pPr algn="ctr"/>
          <a:r>
            <a:rPr lang="en-GB" sz="1100" dirty="0"/>
            <a:t>Water consumption</a:t>
          </a:r>
        </a:p>
      </dgm:t>
    </dgm:pt>
    <dgm:pt modelId="{2D201A78-28D7-404D-B2C1-7CAB0CF41632}" type="parTrans" cxnId="{0580EC7D-7EAA-408F-A74B-819AB02B7E25}">
      <dgm:prSet custT="1"/>
      <dgm:spPr/>
      <dgm:t>
        <a:bodyPr/>
        <a:lstStyle/>
        <a:p>
          <a:pPr algn="ctr"/>
          <a:endParaRPr lang="en-GB" sz="1100"/>
        </a:p>
      </dgm:t>
    </dgm:pt>
    <dgm:pt modelId="{424B33A4-F6C1-49A8-BEBA-9902E5CD9A41}" type="sibTrans" cxnId="{0580EC7D-7EAA-408F-A74B-819AB02B7E25}">
      <dgm:prSet/>
      <dgm:spPr/>
      <dgm:t>
        <a:bodyPr/>
        <a:lstStyle/>
        <a:p>
          <a:pPr algn="ctr"/>
          <a:endParaRPr lang="en-GB" sz="1100"/>
        </a:p>
      </dgm:t>
    </dgm:pt>
    <dgm:pt modelId="{2630A0AF-1C45-4F2A-9D16-620580F9D62A}">
      <dgm:prSet custT="1"/>
      <dgm:spPr>
        <a:solidFill>
          <a:schemeClr val="bg1">
            <a:lumMod val="75000"/>
          </a:schemeClr>
        </a:solidFill>
      </dgm:spPr>
      <dgm:t>
        <a:bodyPr/>
        <a:lstStyle/>
        <a:p>
          <a:pPr algn="ctr"/>
          <a:r>
            <a:rPr lang="en-GB" sz="1100" dirty="0"/>
            <a:t>Electricity</a:t>
          </a:r>
        </a:p>
      </dgm:t>
    </dgm:pt>
    <dgm:pt modelId="{CD770960-5594-4106-B454-A86A1C343730}" type="parTrans" cxnId="{4AC3EC5E-9B96-49C4-BC31-495FD588746A}">
      <dgm:prSet custT="1"/>
      <dgm:spPr/>
      <dgm:t>
        <a:bodyPr/>
        <a:lstStyle/>
        <a:p>
          <a:pPr algn="ctr"/>
          <a:endParaRPr lang="en-GB" sz="1100"/>
        </a:p>
      </dgm:t>
    </dgm:pt>
    <dgm:pt modelId="{73F4283B-0B0C-4FF4-A8E6-37BDC187CECD}" type="sibTrans" cxnId="{4AC3EC5E-9B96-49C4-BC31-495FD588746A}">
      <dgm:prSet/>
      <dgm:spPr/>
      <dgm:t>
        <a:bodyPr/>
        <a:lstStyle/>
        <a:p>
          <a:pPr algn="ctr"/>
          <a:endParaRPr lang="en-GB" sz="1100"/>
        </a:p>
      </dgm:t>
    </dgm:pt>
    <dgm:pt modelId="{40177BB5-6BDC-4FFE-A281-E914BE2C673E}">
      <dgm:prSet custT="1"/>
      <dgm:spPr>
        <a:solidFill>
          <a:schemeClr val="bg1">
            <a:lumMod val="75000"/>
          </a:schemeClr>
        </a:solidFill>
      </dgm:spPr>
      <dgm:t>
        <a:bodyPr/>
        <a:lstStyle/>
        <a:p>
          <a:pPr algn="ctr"/>
          <a:r>
            <a:rPr lang="en-GB" sz="1100" dirty="0"/>
            <a:t>Fuel</a:t>
          </a:r>
        </a:p>
      </dgm:t>
    </dgm:pt>
    <dgm:pt modelId="{47A8FCF0-1370-4BF4-B70B-C353A12E343F}" type="parTrans" cxnId="{10927396-E9AC-4EC2-9F6A-54B9A1640B44}">
      <dgm:prSet custT="1"/>
      <dgm:spPr/>
      <dgm:t>
        <a:bodyPr/>
        <a:lstStyle/>
        <a:p>
          <a:pPr algn="ctr"/>
          <a:endParaRPr lang="en-GB" sz="1100"/>
        </a:p>
      </dgm:t>
    </dgm:pt>
    <dgm:pt modelId="{C142BCA1-8BA9-4E32-ADD4-6646458D0A9A}" type="sibTrans" cxnId="{10927396-E9AC-4EC2-9F6A-54B9A1640B44}">
      <dgm:prSet/>
      <dgm:spPr/>
      <dgm:t>
        <a:bodyPr/>
        <a:lstStyle/>
        <a:p>
          <a:pPr algn="ctr"/>
          <a:endParaRPr lang="en-GB" sz="1100"/>
        </a:p>
      </dgm:t>
    </dgm:pt>
    <dgm:pt modelId="{D474B24C-5364-4382-9AFF-C0AF619355A6}">
      <dgm:prSet custT="1"/>
      <dgm:spPr>
        <a:solidFill>
          <a:schemeClr val="bg1">
            <a:lumMod val="75000"/>
          </a:schemeClr>
        </a:solidFill>
      </dgm:spPr>
      <dgm:t>
        <a:bodyPr/>
        <a:lstStyle/>
        <a:p>
          <a:pPr algn="ctr"/>
          <a:r>
            <a:rPr lang="en-GB" sz="1100"/>
            <a:t>AWaRe</a:t>
          </a:r>
          <a:endParaRPr lang="en-US" sz="1100"/>
        </a:p>
      </dgm:t>
    </dgm:pt>
    <dgm:pt modelId="{16F8A8A0-B153-40A0-9211-9EDEA1CFF833}" type="parTrans" cxnId="{FAE3DC5C-F3D7-4C06-868A-BD99CEDC2959}">
      <dgm:prSet custT="1"/>
      <dgm:spPr/>
      <dgm:t>
        <a:bodyPr/>
        <a:lstStyle/>
        <a:p>
          <a:pPr algn="ctr"/>
          <a:endParaRPr lang="en-US" sz="1100"/>
        </a:p>
      </dgm:t>
    </dgm:pt>
    <dgm:pt modelId="{F8DA0727-BEFB-449B-8576-1495EF0617D1}" type="sibTrans" cxnId="{FAE3DC5C-F3D7-4C06-868A-BD99CEDC2959}">
      <dgm:prSet/>
      <dgm:spPr/>
      <dgm:t>
        <a:bodyPr/>
        <a:lstStyle/>
        <a:p>
          <a:pPr algn="ctr"/>
          <a:endParaRPr lang="en-US" sz="1100"/>
        </a:p>
      </dgm:t>
    </dgm:pt>
    <dgm:pt modelId="{7F4E6EEA-7CCA-4EC7-A30B-BE6A90E9458C}">
      <dgm:prSet custT="1"/>
      <dgm:spPr>
        <a:solidFill>
          <a:schemeClr val="bg1">
            <a:lumMod val="75000"/>
          </a:schemeClr>
        </a:solidFill>
      </dgm:spPr>
      <dgm:t>
        <a:bodyPr/>
        <a:lstStyle/>
        <a:p>
          <a:pPr algn="ctr"/>
          <a:r>
            <a:rPr lang="en-GB" sz="1100"/>
            <a:t>AWaRe</a:t>
          </a:r>
          <a:endParaRPr lang="en-US" sz="1100"/>
        </a:p>
      </dgm:t>
    </dgm:pt>
    <dgm:pt modelId="{0B7E71A1-F1F6-470E-8D7C-FCAA96A96A6D}" type="parTrans" cxnId="{4DCD0C19-18C6-4648-83F8-3F6F06497E38}">
      <dgm:prSet custT="1"/>
      <dgm:spPr/>
      <dgm:t>
        <a:bodyPr/>
        <a:lstStyle/>
        <a:p>
          <a:pPr algn="ctr"/>
          <a:endParaRPr lang="en-US" sz="1100"/>
        </a:p>
      </dgm:t>
    </dgm:pt>
    <dgm:pt modelId="{0B6171FF-5169-406C-9F91-5D1276502B37}" type="sibTrans" cxnId="{4DCD0C19-18C6-4648-83F8-3F6F06497E38}">
      <dgm:prSet/>
      <dgm:spPr/>
      <dgm:t>
        <a:bodyPr/>
        <a:lstStyle/>
        <a:p>
          <a:pPr algn="ctr"/>
          <a:endParaRPr lang="en-US" sz="1100"/>
        </a:p>
      </dgm:t>
    </dgm:pt>
    <dgm:pt modelId="{FC34A844-C00A-4AF8-8B11-7841CC10BEA8}">
      <dgm:prSet custT="1"/>
      <dgm:spPr/>
      <dgm:t>
        <a:bodyPr/>
        <a:lstStyle/>
        <a:p>
          <a:r>
            <a:rPr lang="en-US" sz="1100"/>
            <a:t>Alumina Production</a:t>
          </a:r>
        </a:p>
      </dgm:t>
    </dgm:pt>
    <dgm:pt modelId="{2AA13301-5806-4C82-96D7-CD95ECCC541C}" type="parTrans" cxnId="{41C1B767-3303-4C02-B4CB-0DCF97FBC65B}">
      <dgm:prSet custT="1"/>
      <dgm:spPr/>
      <dgm:t>
        <a:bodyPr/>
        <a:lstStyle/>
        <a:p>
          <a:endParaRPr lang="en-US" sz="1100"/>
        </a:p>
      </dgm:t>
    </dgm:pt>
    <dgm:pt modelId="{5195AADC-2B50-4192-A6BB-DEEE19E150DC}" type="sibTrans" cxnId="{41C1B767-3303-4C02-B4CB-0DCF97FBC65B}">
      <dgm:prSet/>
      <dgm:spPr/>
      <dgm:t>
        <a:bodyPr/>
        <a:lstStyle/>
        <a:p>
          <a:endParaRPr lang="en-US" sz="1100"/>
        </a:p>
      </dgm:t>
    </dgm:pt>
    <dgm:pt modelId="{31DB2A73-BCB5-4E3B-9AFF-21AAA7C6E3CF}">
      <dgm:prSet custT="1"/>
      <dgm:spPr/>
      <dgm:t>
        <a:bodyPr/>
        <a:lstStyle/>
        <a:p>
          <a:r>
            <a:rPr lang="en-US" sz="1100"/>
            <a:t>Example Region</a:t>
          </a:r>
        </a:p>
      </dgm:t>
    </dgm:pt>
    <dgm:pt modelId="{94613090-CAA4-49FD-AD4D-F0FB245221E0}" type="parTrans" cxnId="{036D8D0C-21FB-4577-A030-6454A711A716}">
      <dgm:prSet/>
      <dgm:spPr/>
      <dgm:t>
        <a:bodyPr/>
        <a:lstStyle/>
        <a:p>
          <a:endParaRPr lang="en-US" sz="1100"/>
        </a:p>
      </dgm:t>
    </dgm:pt>
    <dgm:pt modelId="{E9CEA30E-2CF6-4DA1-A118-6BFA04DFFA17}" type="sibTrans" cxnId="{036D8D0C-21FB-4577-A030-6454A711A716}">
      <dgm:prSet/>
      <dgm:spPr/>
      <dgm:t>
        <a:bodyPr/>
        <a:lstStyle/>
        <a:p>
          <a:endParaRPr lang="en-US" sz="1100"/>
        </a:p>
      </dgm:t>
    </dgm:pt>
    <dgm:pt modelId="{8FF451E2-B20E-4A53-BD5E-512FC609D426}">
      <dgm:prSet custT="1"/>
      <dgm:spPr/>
      <dgm:t>
        <a:bodyPr/>
        <a:lstStyle/>
        <a:p>
          <a:r>
            <a:rPr lang="en-US" sz="1100"/>
            <a:t>Bauxite Mining</a:t>
          </a:r>
        </a:p>
      </dgm:t>
    </dgm:pt>
    <dgm:pt modelId="{5AF9AD08-7760-4515-94A4-61D510DDFC1E}" type="parTrans" cxnId="{7CEAE86F-046A-4E0E-B31F-5AA506637310}">
      <dgm:prSet custT="1"/>
      <dgm:spPr/>
      <dgm:t>
        <a:bodyPr/>
        <a:lstStyle/>
        <a:p>
          <a:endParaRPr lang="en-US" sz="1100"/>
        </a:p>
      </dgm:t>
    </dgm:pt>
    <dgm:pt modelId="{0C2795EA-4815-47A6-AD4E-A3BECABA30AF}" type="sibTrans" cxnId="{7CEAE86F-046A-4E0E-B31F-5AA506637310}">
      <dgm:prSet/>
      <dgm:spPr/>
      <dgm:t>
        <a:bodyPr/>
        <a:lstStyle/>
        <a:p>
          <a:endParaRPr lang="en-US" sz="1100"/>
        </a:p>
      </dgm:t>
    </dgm:pt>
    <dgm:pt modelId="{EDCDB079-1469-4DF7-B2BB-EE78BAE30FF0}">
      <dgm:prSet custT="1"/>
      <dgm:spPr/>
      <dgm:t>
        <a:bodyPr/>
        <a:lstStyle/>
        <a:p>
          <a:r>
            <a:rPr lang="en-US" sz="1100"/>
            <a:t>Ingot Casting</a:t>
          </a:r>
        </a:p>
      </dgm:t>
    </dgm:pt>
    <dgm:pt modelId="{2883DC65-BFEB-4617-B8AD-10C055DB4E87}" type="parTrans" cxnId="{CC91B219-4533-4029-AB42-FBF24AC62484}">
      <dgm:prSet custT="1"/>
      <dgm:spPr/>
      <dgm:t>
        <a:bodyPr/>
        <a:lstStyle/>
        <a:p>
          <a:endParaRPr lang="en-US" sz="1100"/>
        </a:p>
      </dgm:t>
    </dgm:pt>
    <dgm:pt modelId="{AC4F5E3C-6E47-4B49-B067-AB1A6B2D8C51}" type="sibTrans" cxnId="{CC91B219-4533-4029-AB42-FBF24AC62484}">
      <dgm:prSet/>
      <dgm:spPr/>
      <dgm:t>
        <a:bodyPr/>
        <a:lstStyle/>
        <a:p>
          <a:endParaRPr lang="en-US" sz="1100"/>
        </a:p>
      </dgm:t>
    </dgm:pt>
    <dgm:pt modelId="{7279ABF0-182F-4D21-B831-68EA58FD8DAE}">
      <dgm:prSet custT="1"/>
      <dgm:spPr/>
      <dgm:t>
        <a:bodyPr/>
        <a:lstStyle/>
        <a:p>
          <a:r>
            <a:rPr lang="en-US" sz="1100"/>
            <a:t>Electrolysis</a:t>
          </a:r>
        </a:p>
      </dgm:t>
    </dgm:pt>
    <dgm:pt modelId="{696C04AD-156C-48EF-8298-10CB06BF911C}" type="parTrans" cxnId="{23C024D9-0F33-4A9B-BD6F-8ADDE7F0F66F}">
      <dgm:prSet custT="1"/>
      <dgm:spPr/>
      <dgm:t>
        <a:bodyPr/>
        <a:lstStyle/>
        <a:p>
          <a:endParaRPr lang="en-US" sz="1100"/>
        </a:p>
      </dgm:t>
    </dgm:pt>
    <dgm:pt modelId="{9B2A4085-71B1-40B6-B09C-EE7F428B1174}" type="sibTrans" cxnId="{23C024D9-0F33-4A9B-BD6F-8ADDE7F0F66F}">
      <dgm:prSet/>
      <dgm:spPr/>
      <dgm:t>
        <a:bodyPr/>
        <a:lstStyle/>
        <a:p>
          <a:endParaRPr lang="en-US" sz="1100"/>
        </a:p>
      </dgm:t>
    </dgm:pt>
    <dgm:pt modelId="{2F459FA5-71D3-4C89-9E3E-2CF287285CBF}">
      <dgm:prSet/>
      <dgm:spPr/>
      <dgm:t>
        <a:bodyPr/>
        <a:lstStyle/>
        <a:p>
          <a:r>
            <a:rPr lang="en-US"/>
            <a:t>Anode/Paste Producion </a:t>
          </a:r>
        </a:p>
      </dgm:t>
    </dgm:pt>
    <dgm:pt modelId="{16E5D9F3-3176-4C2C-9851-F03F4A541568}" type="parTrans" cxnId="{C440F88E-B56B-4CD6-AACE-6C592D9B6C62}">
      <dgm:prSet/>
      <dgm:spPr>
        <a:ln>
          <a:noFill/>
        </a:ln>
      </dgm:spPr>
      <dgm:t>
        <a:bodyPr/>
        <a:lstStyle/>
        <a:p>
          <a:endParaRPr lang="en-US"/>
        </a:p>
      </dgm:t>
    </dgm:pt>
    <dgm:pt modelId="{C5012CEC-6A30-4B6D-B260-1495293661BE}" type="sibTrans" cxnId="{C440F88E-B56B-4CD6-AACE-6C592D9B6C62}">
      <dgm:prSet/>
      <dgm:spPr/>
      <dgm:t>
        <a:bodyPr/>
        <a:lstStyle/>
        <a:p>
          <a:endParaRPr lang="en-US"/>
        </a:p>
      </dgm:t>
    </dgm:pt>
    <dgm:pt modelId="{0190EE6A-3136-4B5D-BFD5-72C9007CA3AC}">
      <dgm:prSet custT="1"/>
      <dgm:spPr>
        <a:solidFill>
          <a:schemeClr val="bg1">
            <a:lumMod val="75000"/>
          </a:schemeClr>
        </a:solidFill>
      </dgm:spPr>
      <dgm:t>
        <a:bodyPr/>
        <a:lstStyle/>
        <a:p>
          <a:pPr algn="ctr"/>
          <a:r>
            <a:rPr lang="en-GB" sz="1100"/>
            <a:t>AWaRe</a:t>
          </a:r>
          <a:endParaRPr lang="en-US" sz="1100"/>
        </a:p>
      </dgm:t>
    </dgm:pt>
    <dgm:pt modelId="{778FDF83-B61A-4D98-BD7F-81DBA05012F7}" type="sibTrans" cxnId="{E13BE6E7-D335-4159-A869-63990B44FC15}">
      <dgm:prSet/>
      <dgm:spPr/>
      <dgm:t>
        <a:bodyPr/>
        <a:lstStyle/>
        <a:p>
          <a:pPr algn="ctr"/>
          <a:endParaRPr lang="en-US" sz="1100"/>
        </a:p>
      </dgm:t>
    </dgm:pt>
    <dgm:pt modelId="{A46E3CE7-4094-4516-80BD-D1FC5D72611F}" type="parTrans" cxnId="{E13BE6E7-D335-4159-A869-63990B44FC15}">
      <dgm:prSet custT="1"/>
      <dgm:spPr/>
      <dgm:t>
        <a:bodyPr/>
        <a:lstStyle/>
        <a:p>
          <a:pPr algn="ctr"/>
          <a:endParaRPr lang="en-US" sz="1100"/>
        </a:p>
      </dgm:t>
    </dgm:pt>
    <dgm:pt modelId="{2FBCA2E2-88E7-4B2A-A568-A9441E9003F9}" type="pres">
      <dgm:prSet presAssocID="{B740B2A5-F01E-49A1-BEF6-01229592C985}" presName="Name0" presStyleCnt="0">
        <dgm:presLayoutVars>
          <dgm:chPref val="1"/>
          <dgm:dir/>
          <dgm:animOne val="branch"/>
          <dgm:animLvl val="lvl"/>
          <dgm:resizeHandles val="exact"/>
        </dgm:presLayoutVars>
      </dgm:prSet>
      <dgm:spPr/>
    </dgm:pt>
    <dgm:pt modelId="{F24FE81C-AE4E-4E7F-B085-3B0229B1581B}" type="pres">
      <dgm:prSet presAssocID="{31DB2A73-BCB5-4E3B-9AFF-21AAA7C6E3CF}" presName="root1" presStyleCnt="0"/>
      <dgm:spPr/>
    </dgm:pt>
    <dgm:pt modelId="{7AB9CF18-9548-4677-8662-BE284A5994AE}" type="pres">
      <dgm:prSet presAssocID="{31DB2A73-BCB5-4E3B-9AFF-21AAA7C6E3CF}" presName="LevelOneTextNode" presStyleLbl="node0" presStyleIdx="0" presStyleCnt="1">
        <dgm:presLayoutVars>
          <dgm:chPref val="3"/>
        </dgm:presLayoutVars>
      </dgm:prSet>
      <dgm:spPr/>
    </dgm:pt>
    <dgm:pt modelId="{E5CFA53D-CCD7-4570-87AB-264015C84FE8}" type="pres">
      <dgm:prSet presAssocID="{31DB2A73-BCB5-4E3B-9AFF-21AAA7C6E3CF}" presName="level2hierChild" presStyleCnt="0"/>
      <dgm:spPr/>
    </dgm:pt>
    <dgm:pt modelId="{4E5C6C25-C664-43F5-94C7-3831936C1397}" type="pres">
      <dgm:prSet presAssocID="{5AF9AD08-7760-4515-94A4-61D510DDFC1E}" presName="conn2-1" presStyleLbl="parChTrans1D2" presStyleIdx="0" presStyleCnt="5"/>
      <dgm:spPr/>
    </dgm:pt>
    <dgm:pt modelId="{8304D828-9D71-48D0-9D0D-AA4FFA38F87B}" type="pres">
      <dgm:prSet presAssocID="{5AF9AD08-7760-4515-94A4-61D510DDFC1E}" presName="connTx" presStyleLbl="parChTrans1D2" presStyleIdx="0" presStyleCnt="5"/>
      <dgm:spPr/>
    </dgm:pt>
    <dgm:pt modelId="{7ABD1FCB-42D4-4862-A869-719F9719BFFC}" type="pres">
      <dgm:prSet presAssocID="{8FF451E2-B20E-4A53-BD5E-512FC609D426}" presName="root2" presStyleCnt="0"/>
      <dgm:spPr/>
    </dgm:pt>
    <dgm:pt modelId="{8C6BD3F9-1C65-4BBC-8470-643204390EA0}" type="pres">
      <dgm:prSet presAssocID="{8FF451E2-B20E-4A53-BD5E-512FC609D426}" presName="LevelTwoTextNode" presStyleLbl="node2" presStyleIdx="0" presStyleCnt="5" custScaleX="169164">
        <dgm:presLayoutVars>
          <dgm:chPref val="3"/>
        </dgm:presLayoutVars>
      </dgm:prSet>
      <dgm:spPr/>
    </dgm:pt>
    <dgm:pt modelId="{1E331133-B9C2-4351-835C-BBE769F9C13C}" type="pres">
      <dgm:prSet presAssocID="{8FF451E2-B20E-4A53-BD5E-512FC609D426}" presName="level3hierChild" presStyleCnt="0"/>
      <dgm:spPr/>
    </dgm:pt>
    <dgm:pt modelId="{250DB038-FF6D-4E53-B13A-383B52C30670}" type="pres">
      <dgm:prSet presAssocID="{2AA13301-5806-4C82-96D7-CD95ECCC541C}" presName="conn2-1" presStyleLbl="parChTrans1D2" presStyleIdx="1" presStyleCnt="5"/>
      <dgm:spPr/>
    </dgm:pt>
    <dgm:pt modelId="{54A3F27C-D4C1-4F66-A90E-AF7F2F13CB81}" type="pres">
      <dgm:prSet presAssocID="{2AA13301-5806-4C82-96D7-CD95ECCC541C}" presName="connTx" presStyleLbl="parChTrans1D2" presStyleIdx="1" presStyleCnt="5"/>
      <dgm:spPr/>
    </dgm:pt>
    <dgm:pt modelId="{AD972891-5DC5-4546-BF49-40C7EB699F78}" type="pres">
      <dgm:prSet presAssocID="{FC34A844-C00A-4AF8-8B11-7841CC10BEA8}" presName="root2" presStyleCnt="0"/>
      <dgm:spPr/>
    </dgm:pt>
    <dgm:pt modelId="{CBD1F409-4C7D-4DD7-BBC0-3CE258EBCD38}" type="pres">
      <dgm:prSet presAssocID="{FC34A844-C00A-4AF8-8B11-7841CC10BEA8}" presName="LevelTwoTextNode" presStyleLbl="node2" presStyleIdx="1" presStyleCnt="5" custScaleX="169164">
        <dgm:presLayoutVars>
          <dgm:chPref val="3"/>
        </dgm:presLayoutVars>
      </dgm:prSet>
      <dgm:spPr/>
    </dgm:pt>
    <dgm:pt modelId="{4DE3223A-1D70-4C46-BBB8-CD2EB4172832}" type="pres">
      <dgm:prSet presAssocID="{FC34A844-C00A-4AF8-8B11-7841CC10BEA8}" presName="level3hierChild" presStyleCnt="0"/>
      <dgm:spPr/>
    </dgm:pt>
    <dgm:pt modelId="{D2A1F6CD-2155-46B2-AE00-2115E897D977}" type="pres">
      <dgm:prSet presAssocID="{E274BA9B-FC64-4BA1-AD83-BD17D3377ACC}" presName="conn2-1" presStyleLbl="parChTrans1D3" presStyleIdx="0" presStyleCnt="1"/>
      <dgm:spPr/>
    </dgm:pt>
    <dgm:pt modelId="{0ACD68EF-4336-402B-A88A-078BA54B436F}" type="pres">
      <dgm:prSet presAssocID="{E274BA9B-FC64-4BA1-AD83-BD17D3377ACC}" presName="connTx" presStyleLbl="parChTrans1D3" presStyleIdx="0" presStyleCnt="1"/>
      <dgm:spPr/>
    </dgm:pt>
    <dgm:pt modelId="{0DDE5B02-43A7-4B10-931B-0020D7FC2BFB}" type="pres">
      <dgm:prSet presAssocID="{562D7984-A2DB-4E1B-A5D5-6B9BA2EC22A7}" presName="root2" presStyleCnt="0"/>
      <dgm:spPr/>
    </dgm:pt>
    <dgm:pt modelId="{2C86FFA5-68CB-49B3-A875-5B6FC9D59677}" type="pres">
      <dgm:prSet presAssocID="{562D7984-A2DB-4E1B-A5D5-6B9BA2EC22A7}" presName="LevelTwoTextNode" presStyleLbl="node3" presStyleIdx="0" presStyleCnt="1">
        <dgm:presLayoutVars>
          <dgm:chPref val="3"/>
        </dgm:presLayoutVars>
      </dgm:prSet>
      <dgm:spPr/>
    </dgm:pt>
    <dgm:pt modelId="{EF98129A-D86F-41F9-9F7F-3F1B4C589D10}" type="pres">
      <dgm:prSet presAssocID="{562D7984-A2DB-4E1B-A5D5-6B9BA2EC22A7}" presName="level3hierChild" presStyleCnt="0"/>
      <dgm:spPr/>
    </dgm:pt>
    <dgm:pt modelId="{D95B5A3E-716B-4B22-A783-64B2BB95CC5B}" type="pres">
      <dgm:prSet presAssocID="{DED31A02-E203-47CB-AEDD-ABF737C51D6B}" presName="conn2-1" presStyleLbl="parChTrans1D4" presStyleIdx="0" presStyleCnt="10"/>
      <dgm:spPr/>
    </dgm:pt>
    <dgm:pt modelId="{08D2D1E6-3C58-4119-AC52-5BBAB7D30A7A}" type="pres">
      <dgm:prSet presAssocID="{DED31A02-E203-47CB-AEDD-ABF737C51D6B}" presName="connTx" presStyleLbl="parChTrans1D4" presStyleIdx="0" presStyleCnt="10"/>
      <dgm:spPr/>
    </dgm:pt>
    <dgm:pt modelId="{08527DFA-31F8-44BC-A4F5-97755028F993}" type="pres">
      <dgm:prSet presAssocID="{2E38FF06-A3E0-480B-9A61-FAE9E3A73718}" presName="root2" presStyleCnt="0"/>
      <dgm:spPr/>
    </dgm:pt>
    <dgm:pt modelId="{CF8CA573-94AA-40E5-914B-A17BDDE193EA}" type="pres">
      <dgm:prSet presAssocID="{2E38FF06-A3E0-480B-9A61-FAE9E3A73718}" presName="LevelTwoTextNode" presStyleLbl="node4" presStyleIdx="0" presStyleCnt="10">
        <dgm:presLayoutVars>
          <dgm:chPref val="3"/>
        </dgm:presLayoutVars>
      </dgm:prSet>
      <dgm:spPr/>
    </dgm:pt>
    <dgm:pt modelId="{17860C37-9885-4F21-9710-53A0585299AD}" type="pres">
      <dgm:prSet presAssocID="{2E38FF06-A3E0-480B-9A61-FAE9E3A73718}" presName="level3hierChild" presStyleCnt="0"/>
      <dgm:spPr/>
    </dgm:pt>
    <dgm:pt modelId="{6E6E06C4-6714-4A8E-BB38-C71A0982AEA4}" type="pres">
      <dgm:prSet presAssocID="{40C9A23D-B353-4E91-84E6-E747114FC7B6}" presName="conn2-1" presStyleLbl="parChTrans1D4" presStyleIdx="1" presStyleCnt="10"/>
      <dgm:spPr/>
    </dgm:pt>
    <dgm:pt modelId="{9D4E154F-531D-4226-9928-47121B3E1CA4}" type="pres">
      <dgm:prSet presAssocID="{40C9A23D-B353-4E91-84E6-E747114FC7B6}" presName="connTx" presStyleLbl="parChTrans1D4" presStyleIdx="1" presStyleCnt="10"/>
      <dgm:spPr/>
    </dgm:pt>
    <dgm:pt modelId="{EE2D6834-51A0-4C4C-9F70-C49F7E61507E}" type="pres">
      <dgm:prSet presAssocID="{3FB48B48-4D3C-4CC1-BEA6-17B11F71F755}" presName="root2" presStyleCnt="0"/>
      <dgm:spPr/>
    </dgm:pt>
    <dgm:pt modelId="{FA3A6FF2-CE49-4ACF-A916-CA26949ACD09}" type="pres">
      <dgm:prSet presAssocID="{3FB48B48-4D3C-4CC1-BEA6-17B11F71F755}" presName="LevelTwoTextNode" presStyleLbl="node4" presStyleIdx="1" presStyleCnt="10" custScaleX="193330">
        <dgm:presLayoutVars>
          <dgm:chPref val="3"/>
        </dgm:presLayoutVars>
      </dgm:prSet>
      <dgm:spPr/>
    </dgm:pt>
    <dgm:pt modelId="{C3650C35-9193-4DA7-AB4E-BEAFCE8D9C54}" type="pres">
      <dgm:prSet presAssocID="{3FB48B48-4D3C-4CC1-BEA6-17B11F71F755}" presName="level3hierChild" presStyleCnt="0"/>
      <dgm:spPr/>
    </dgm:pt>
    <dgm:pt modelId="{04CAEE93-92EA-4492-8DD6-6BC380ADC34B}" type="pres">
      <dgm:prSet presAssocID="{2D201A78-28D7-404D-B2C1-7CAB0CF41632}" presName="conn2-1" presStyleLbl="parChTrans1D4" presStyleIdx="2" presStyleCnt="10"/>
      <dgm:spPr/>
    </dgm:pt>
    <dgm:pt modelId="{422B1D46-327B-49E3-A1AF-A697340E9D03}" type="pres">
      <dgm:prSet presAssocID="{2D201A78-28D7-404D-B2C1-7CAB0CF41632}" presName="connTx" presStyleLbl="parChTrans1D4" presStyleIdx="2" presStyleCnt="10"/>
      <dgm:spPr/>
    </dgm:pt>
    <dgm:pt modelId="{67C66641-BFDA-4933-A371-CBAC97C9DEFB}" type="pres">
      <dgm:prSet presAssocID="{7FAC23FC-4011-4E05-99C7-C5807C44CBBD}" presName="root2" presStyleCnt="0"/>
      <dgm:spPr/>
    </dgm:pt>
    <dgm:pt modelId="{5DD7149D-BFAF-4177-A14F-E9926E0F35E4}" type="pres">
      <dgm:prSet presAssocID="{7FAC23FC-4011-4E05-99C7-C5807C44CBBD}" presName="LevelTwoTextNode" presStyleLbl="node4" presStyleIdx="2" presStyleCnt="10" custScaleX="193330" custLinFactNeighborY="0">
        <dgm:presLayoutVars>
          <dgm:chPref val="3"/>
        </dgm:presLayoutVars>
      </dgm:prSet>
      <dgm:spPr/>
    </dgm:pt>
    <dgm:pt modelId="{C7012DF8-4EE3-4F71-A8B0-9816D83BC546}" type="pres">
      <dgm:prSet presAssocID="{7FAC23FC-4011-4E05-99C7-C5807C44CBBD}" presName="level3hierChild" presStyleCnt="0"/>
      <dgm:spPr/>
    </dgm:pt>
    <dgm:pt modelId="{C2471194-59E3-42F9-B560-036E3A8EAAE5}" type="pres">
      <dgm:prSet presAssocID="{F3E0C41F-D3E4-478D-AD90-55E03EDF0F18}" presName="conn2-1" presStyleLbl="parChTrans1D4" presStyleIdx="3" presStyleCnt="10"/>
      <dgm:spPr/>
    </dgm:pt>
    <dgm:pt modelId="{A5E9F405-0D0F-47CD-8A8A-21F13E05590A}" type="pres">
      <dgm:prSet presAssocID="{F3E0C41F-D3E4-478D-AD90-55E03EDF0F18}" presName="connTx" presStyleLbl="parChTrans1D4" presStyleIdx="3" presStyleCnt="10"/>
      <dgm:spPr/>
    </dgm:pt>
    <dgm:pt modelId="{84D1E5F7-12EC-4076-AA26-B820CC847218}" type="pres">
      <dgm:prSet presAssocID="{22F6AE40-8067-4E74-862B-6FE0BA0745FA}" presName="root2" presStyleCnt="0"/>
      <dgm:spPr/>
    </dgm:pt>
    <dgm:pt modelId="{B5442F4F-386D-4FF3-B1E3-D7FFB8F5B8DC}" type="pres">
      <dgm:prSet presAssocID="{22F6AE40-8067-4E74-862B-6FE0BA0745FA}" presName="LevelTwoTextNode" presStyleLbl="node4" presStyleIdx="3" presStyleCnt="10">
        <dgm:presLayoutVars>
          <dgm:chPref val="3"/>
        </dgm:presLayoutVars>
      </dgm:prSet>
      <dgm:spPr/>
    </dgm:pt>
    <dgm:pt modelId="{AADDF905-859E-4F3D-B3F3-99E26A0E64D8}" type="pres">
      <dgm:prSet presAssocID="{22F6AE40-8067-4E74-862B-6FE0BA0745FA}" presName="level3hierChild" presStyleCnt="0"/>
      <dgm:spPr/>
    </dgm:pt>
    <dgm:pt modelId="{7F9EA4B3-2747-4104-8F40-D9AD376047BE}" type="pres">
      <dgm:prSet presAssocID="{16F8A8A0-B153-40A0-9211-9EDEA1CFF833}" presName="conn2-1" presStyleLbl="parChTrans1D4" presStyleIdx="4" presStyleCnt="10"/>
      <dgm:spPr/>
    </dgm:pt>
    <dgm:pt modelId="{7228B2F6-4749-47FA-9C59-50F81CEE6CEF}" type="pres">
      <dgm:prSet presAssocID="{16F8A8A0-B153-40A0-9211-9EDEA1CFF833}" presName="connTx" presStyleLbl="parChTrans1D4" presStyleIdx="4" presStyleCnt="10"/>
      <dgm:spPr/>
    </dgm:pt>
    <dgm:pt modelId="{878C61BF-1A2B-4D47-9276-0605825BCB00}" type="pres">
      <dgm:prSet presAssocID="{D474B24C-5364-4382-9AFF-C0AF619355A6}" presName="root2" presStyleCnt="0"/>
      <dgm:spPr/>
    </dgm:pt>
    <dgm:pt modelId="{D068E955-8442-4D26-BB81-E6020509FB25}" type="pres">
      <dgm:prSet presAssocID="{D474B24C-5364-4382-9AFF-C0AF619355A6}" presName="LevelTwoTextNode" presStyleLbl="node4" presStyleIdx="4" presStyleCnt="10" custScaleX="193330">
        <dgm:presLayoutVars>
          <dgm:chPref val="3"/>
        </dgm:presLayoutVars>
      </dgm:prSet>
      <dgm:spPr/>
    </dgm:pt>
    <dgm:pt modelId="{DCB2D632-E136-402C-9D03-62F3B84105FB}" type="pres">
      <dgm:prSet presAssocID="{D474B24C-5364-4382-9AFF-C0AF619355A6}" presName="level3hierChild" presStyleCnt="0"/>
      <dgm:spPr/>
    </dgm:pt>
    <dgm:pt modelId="{5EF46083-7035-4079-AFE4-21178FC3B1AD}" type="pres">
      <dgm:prSet presAssocID="{0A755722-9012-4F63-B291-31345C3FA119}" presName="conn2-1" presStyleLbl="parChTrans1D4" presStyleIdx="5" presStyleCnt="10"/>
      <dgm:spPr/>
    </dgm:pt>
    <dgm:pt modelId="{63B984B8-B66F-4176-BCEA-7BD1F0442F8F}" type="pres">
      <dgm:prSet presAssocID="{0A755722-9012-4F63-B291-31345C3FA119}" presName="connTx" presStyleLbl="parChTrans1D4" presStyleIdx="5" presStyleCnt="10"/>
      <dgm:spPr/>
    </dgm:pt>
    <dgm:pt modelId="{A604DAA7-0322-4534-AA18-1D167D76D20A}" type="pres">
      <dgm:prSet presAssocID="{14D02819-7FB3-4751-AF0F-5821EA4C638F}" presName="root2" presStyleCnt="0"/>
      <dgm:spPr/>
    </dgm:pt>
    <dgm:pt modelId="{AE9B8CDA-6F4F-40F1-83B4-D577CF44DE76}" type="pres">
      <dgm:prSet presAssocID="{14D02819-7FB3-4751-AF0F-5821EA4C638F}" presName="LevelTwoTextNode" presStyleLbl="node4" presStyleIdx="5" presStyleCnt="10" custScaleX="193330">
        <dgm:presLayoutVars>
          <dgm:chPref val="3"/>
        </dgm:presLayoutVars>
      </dgm:prSet>
      <dgm:spPr/>
    </dgm:pt>
    <dgm:pt modelId="{C08C56BC-28FD-41BB-BAE1-7C20F8878BB3}" type="pres">
      <dgm:prSet presAssocID="{14D02819-7FB3-4751-AF0F-5821EA4C638F}" presName="level3hierChild" presStyleCnt="0"/>
      <dgm:spPr/>
    </dgm:pt>
    <dgm:pt modelId="{CE9249C7-EF17-4DD7-8F11-A13481F0D7C9}" type="pres">
      <dgm:prSet presAssocID="{0B7E71A1-F1F6-470E-8D7C-FCAA96A96A6D}" presName="conn2-1" presStyleLbl="parChTrans1D4" presStyleIdx="6" presStyleCnt="10"/>
      <dgm:spPr/>
    </dgm:pt>
    <dgm:pt modelId="{010F4C43-A3B0-440B-B390-16635E5B8B61}" type="pres">
      <dgm:prSet presAssocID="{0B7E71A1-F1F6-470E-8D7C-FCAA96A96A6D}" presName="connTx" presStyleLbl="parChTrans1D4" presStyleIdx="6" presStyleCnt="10"/>
      <dgm:spPr/>
    </dgm:pt>
    <dgm:pt modelId="{EDDA450D-9182-4A67-B31C-6442274D51C7}" type="pres">
      <dgm:prSet presAssocID="{7F4E6EEA-7CCA-4EC7-A30B-BE6A90E9458C}" presName="root2" presStyleCnt="0"/>
      <dgm:spPr/>
    </dgm:pt>
    <dgm:pt modelId="{00210DB9-6FBF-481C-8998-0E21725165A3}" type="pres">
      <dgm:prSet presAssocID="{7F4E6EEA-7CCA-4EC7-A30B-BE6A90E9458C}" presName="LevelTwoTextNode" presStyleLbl="node4" presStyleIdx="6" presStyleCnt="10" custScaleX="193330">
        <dgm:presLayoutVars>
          <dgm:chPref val="3"/>
        </dgm:presLayoutVars>
      </dgm:prSet>
      <dgm:spPr/>
    </dgm:pt>
    <dgm:pt modelId="{7C0A4B0C-A9FA-4D23-A141-9C6D52E47E9F}" type="pres">
      <dgm:prSet presAssocID="{7F4E6EEA-7CCA-4EC7-A30B-BE6A90E9458C}" presName="level3hierChild" presStyleCnt="0"/>
      <dgm:spPr/>
    </dgm:pt>
    <dgm:pt modelId="{4395E543-FADA-40D4-B1BE-57A2D74BEF69}" type="pres">
      <dgm:prSet presAssocID="{CD770960-5594-4106-B454-A86A1C343730}" presName="conn2-1" presStyleLbl="parChTrans1D4" presStyleIdx="7" presStyleCnt="10"/>
      <dgm:spPr/>
    </dgm:pt>
    <dgm:pt modelId="{7D197B16-C5F9-478A-A483-22E2010DA04C}" type="pres">
      <dgm:prSet presAssocID="{CD770960-5594-4106-B454-A86A1C343730}" presName="connTx" presStyleLbl="parChTrans1D4" presStyleIdx="7" presStyleCnt="10"/>
      <dgm:spPr/>
    </dgm:pt>
    <dgm:pt modelId="{147D0345-A797-4AC0-81A3-D4F0F20430AC}" type="pres">
      <dgm:prSet presAssocID="{2630A0AF-1C45-4F2A-9D16-620580F9D62A}" presName="root2" presStyleCnt="0"/>
      <dgm:spPr/>
    </dgm:pt>
    <dgm:pt modelId="{169F4241-BAAA-4F29-9704-E5D58D2654D2}" type="pres">
      <dgm:prSet presAssocID="{2630A0AF-1C45-4F2A-9D16-620580F9D62A}" presName="LevelTwoTextNode" presStyleLbl="node4" presStyleIdx="7" presStyleCnt="10" custScaleX="193330">
        <dgm:presLayoutVars>
          <dgm:chPref val="3"/>
        </dgm:presLayoutVars>
      </dgm:prSet>
      <dgm:spPr/>
    </dgm:pt>
    <dgm:pt modelId="{FEC499DE-BD63-4809-92A4-1B5D2D2A04B2}" type="pres">
      <dgm:prSet presAssocID="{2630A0AF-1C45-4F2A-9D16-620580F9D62A}" presName="level3hierChild" presStyleCnt="0"/>
      <dgm:spPr/>
    </dgm:pt>
    <dgm:pt modelId="{F5001165-E6F7-4A40-9990-6CE887B1C6B3}" type="pres">
      <dgm:prSet presAssocID="{A46E3CE7-4094-4516-80BD-D1FC5D72611F}" presName="conn2-1" presStyleLbl="parChTrans1D4" presStyleIdx="8" presStyleCnt="10"/>
      <dgm:spPr/>
    </dgm:pt>
    <dgm:pt modelId="{C541BD75-2F15-4003-8EF3-377F71FA8FC6}" type="pres">
      <dgm:prSet presAssocID="{A46E3CE7-4094-4516-80BD-D1FC5D72611F}" presName="connTx" presStyleLbl="parChTrans1D4" presStyleIdx="8" presStyleCnt="10"/>
      <dgm:spPr/>
    </dgm:pt>
    <dgm:pt modelId="{BBD562D4-607F-416F-8AF5-63D579E35CA6}" type="pres">
      <dgm:prSet presAssocID="{0190EE6A-3136-4B5D-BFD5-72C9007CA3AC}" presName="root2" presStyleCnt="0"/>
      <dgm:spPr/>
    </dgm:pt>
    <dgm:pt modelId="{5E15869D-7CCA-4EF6-84C4-74A2F29D3FC2}" type="pres">
      <dgm:prSet presAssocID="{0190EE6A-3136-4B5D-BFD5-72C9007CA3AC}" presName="LevelTwoTextNode" presStyleLbl="node4" presStyleIdx="8" presStyleCnt="10" custScaleX="193330">
        <dgm:presLayoutVars>
          <dgm:chPref val="3"/>
        </dgm:presLayoutVars>
      </dgm:prSet>
      <dgm:spPr/>
    </dgm:pt>
    <dgm:pt modelId="{51D9B411-410F-4274-B046-9778F5C4740D}" type="pres">
      <dgm:prSet presAssocID="{0190EE6A-3136-4B5D-BFD5-72C9007CA3AC}" presName="level3hierChild" presStyleCnt="0"/>
      <dgm:spPr/>
    </dgm:pt>
    <dgm:pt modelId="{581092F8-8A77-4DC3-BE5A-7B57E4A64A8E}" type="pres">
      <dgm:prSet presAssocID="{47A8FCF0-1370-4BF4-B70B-C353A12E343F}" presName="conn2-1" presStyleLbl="parChTrans1D4" presStyleIdx="9" presStyleCnt="10"/>
      <dgm:spPr/>
    </dgm:pt>
    <dgm:pt modelId="{B0B5B05A-0CD5-40B3-98E7-6EE0B2A02FBF}" type="pres">
      <dgm:prSet presAssocID="{47A8FCF0-1370-4BF4-B70B-C353A12E343F}" presName="connTx" presStyleLbl="parChTrans1D4" presStyleIdx="9" presStyleCnt="10"/>
      <dgm:spPr/>
    </dgm:pt>
    <dgm:pt modelId="{07D8B655-B763-4661-8E5D-00E38D584050}" type="pres">
      <dgm:prSet presAssocID="{40177BB5-6BDC-4FFE-A281-E914BE2C673E}" presName="root2" presStyleCnt="0"/>
      <dgm:spPr/>
    </dgm:pt>
    <dgm:pt modelId="{4DD20737-80A4-4E09-80F4-4B94F2EE3696}" type="pres">
      <dgm:prSet presAssocID="{40177BB5-6BDC-4FFE-A281-E914BE2C673E}" presName="LevelTwoTextNode" presStyleLbl="node4" presStyleIdx="9" presStyleCnt="10" custScaleX="193330">
        <dgm:presLayoutVars>
          <dgm:chPref val="3"/>
        </dgm:presLayoutVars>
      </dgm:prSet>
      <dgm:spPr/>
    </dgm:pt>
    <dgm:pt modelId="{F24F082E-1B73-453F-8C0B-9860A2F7DBEA}" type="pres">
      <dgm:prSet presAssocID="{40177BB5-6BDC-4FFE-A281-E914BE2C673E}" presName="level3hierChild" presStyleCnt="0"/>
      <dgm:spPr/>
    </dgm:pt>
    <dgm:pt modelId="{4EAFFC1A-64B7-438F-9D13-A82D72A72940}" type="pres">
      <dgm:prSet presAssocID="{16E5D9F3-3176-4C2C-9851-F03F4A541568}" presName="conn2-1" presStyleLbl="parChTrans1D2" presStyleIdx="2" presStyleCnt="5"/>
      <dgm:spPr/>
    </dgm:pt>
    <dgm:pt modelId="{9D00D615-C169-4D47-81AD-DBBF77E140A6}" type="pres">
      <dgm:prSet presAssocID="{16E5D9F3-3176-4C2C-9851-F03F4A541568}" presName="connTx" presStyleLbl="parChTrans1D2" presStyleIdx="2" presStyleCnt="5"/>
      <dgm:spPr/>
    </dgm:pt>
    <dgm:pt modelId="{F9EA5012-E78B-4E79-B29C-4790EA6707A1}" type="pres">
      <dgm:prSet presAssocID="{2F459FA5-71D3-4C89-9E3E-2CF287285CBF}" presName="root2" presStyleCnt="0"/>
      <dgm:spPr/>
    </dgm:pt>
    <dgm:pt modelId="{ADA556E2-A961-4172-845E-5EDA6AED3FC4}" type="pres">
      <dgm:prSet presAssocID="{2F459FA5-71D3-4C89-9E3E-2CF287285CBF}" presName="LevelTwoTextNode" presStyleLbl="node2" presStyleIdx="2" presStyleCnt="5" custScaleX="169164">
        <dgm:presLayoutVars>
          <dgm:chPref val="3"/>
        </dgm:presLayoutVars>
      </dgm:prSet>
      <dgm:spPr/>
    </dgm:pt>
    <dgm:pt modelId="{FADD6A8A-1C89-488B-9F5B-02D479A5C37E}" type="pres">
      <dgm:prSet presAssocID="{2F459FA5-71D3-4C89-9E3E-2CF287285CBF}" presName="level3hierChild" presStyleCnt="0"/>
      <dgm:spPr/>
    </dgm:pt>
    <dgm:pt modelId="{19CB78F1-D561-4202-9B49-ECBD5DB552EB}" type="pres">
      <dgm:prSet presAssocID="{696C04AD-156C-48EF-8298-10CB06BF911C}" presName="conn2-1" presStyleLbl="parChTrans1D2" presStyleIdx="3" presStyleCnt="5"/>
      <dgm:spPr/>
    </dgm:pt>
    <dgm:pt modelId="{941F860F-7251-4A20-A4A9-3A2DED2CD33A}" type="pres">
      <dgm:prSet presAssocID="{696C04AD-156C-48EF-8298-10CB06BF911C}" presName="connTx" presStyleLbl="parChTrans1D2" presStyleIdx="3" presStyleCnt="5"/>
      <dgm:spPr/>
    </dgm:pt>
    <dgm:pt modelId="{0AE20CD7-E9EF-4019-B966-2B260AA91C5E}" type="pres">
      <dgm:prSet presAssocID="{7279ABF0-182F-4D21-B831-68EA58FD8DAE}" presName="root2" presStyleCnt="0"/>
      <dgm:spPr/>
    </dgm:pt>
    <dgm:pt modelId="{2C5E3F65-97E1-43BC-832B-084365E4415F}" type="pres">
      <dgm:prSet presAssocID="{7279ABF0-182F-4D21-B831-68EA58FD8DAE}" presName="LevelTwoTextNode" presStyleLbl="node2" presStyleIdx="3" presStyleCnt="5" custScaleX="169164">
        <dgm:presLayoutVars>
          <dgm:chPref val="3"/>
        </dgm:presLayoutVars>
      </dgm:prSet>
      <dgm:spPr/>
    </dgm:pt>
    <dgm:pt modelId="{585BA4C3-72BF-4A8F-A437-5287D11E521E}" type="pres">
      <dgm:prSet presAssocID="{7279ABF0-182F-4D21-B831-68EA58FD8DAE}" presName="level3hierChild" presStyleCnt="0"/>
      <dgm:spPr/>
    </dgm:pt>
    <dgm:pt modelId="{8CE0C0D0-C5B4-4A0C-BE8A-14ED3F796E67}" type="pres">
      <dgm:prSet presAssocID="{2883DC65-BFEB-4617-B8AD-10C055DB4E87}" presName="conn2-1" presStyleLbl="parChTrans1D2" presStyleIdx="4" presStyleCnt="5"/>
      <dgm:spPr/>
    </dgm:pt>
    <dgm:pt modelId="{88C59EEB-D9B3-4190-82EC-EAFDA52D8DAB}" type="pres">
      <dgm:prSet presAssocID="{2883DC65-BFEB-4617-B8AD-10C055DB4E87}" presName="connTx" presStyleLbl="parChTrans1D2" presStyleIdx="4" presStyleCnt="5"/>
      <dgm:spPr/>
    </dgm:pt>
    <dgm:pt modelId="{980F5473-5A11-4AB6-911A-769E942F81B8}" type="pres">
      <dgm:prSet presAssocID="{EDCDB079-1469-4DF7-B2BB-EE78BAE30FF0}" presName="root2" presStyleCnt="0"/>
      <dgm:spPr/>
    </dgm:pt>
    <dgm:pt modelId="{51F72D14-5841-4913-A96B-878F5EB7E7EA}" type="pres">
      <dgm:prSet presAssocID="{EDCDB079-1469-4DF7-B2BB-EE78BAE30FF0}" presName="LevelTwoTextNode" presStyleLbl="node2" presStyleIdx="4" presStyleCnt="5" custScaleX="169164">
        <dgm:presLayoutVars>
          <dgm:chPref val="3"/>
        </dgm:presLayoutVars>
      </dgm:prSet>
      <dgm:spPr/>
    </dgm:pt>
    <dgm:pt modelId="{6BA2A821-016F-4B95-B28D-1FE18EE0D825}" type="pres">
      <dgm:prSet presAssocID="{EDCDB079-1469-4DF7-B2BB-EE78BAE30FF0}" presName="level3hierChild" presStyleCnt="0"/>
      <dgm:spPr/>
    </dgm:pt>
  </dgm:ptLst>
  <dgm:cxnLst>
    <dgm:cxn modelId="{93817004-F696-4839-98A1-522638CAC9DE}" type="presOf" srcId="{E274BA9B-FC64-4BA1-AD83-BD17D3377ACC}" destId="{D2A1F6CD-2155-46B2-AE00-2115E897D977}" srcOrd="0" destOrd="0" presId="urn:microsoft.com/office/officeart/2008/layout/HorizontalMultiLevelHierarchy"/>
    <dgm:cxn modelId="{C3342906-4EE5-4705-A227-D319E9B30C07}" type="presOf" srcId="{0B7E71A1-F1F6-470E-8D7C-FCAA96A96A6D}" destId="{CE9249C7-EF17-4DD7-8F11-A13481F0D7C9}" srcOrd="0" destOrd="0" presId="urn:microsoft.com/office/officeart/2008/layout/HorizontalMultiLevelHierarchy"/>
    <dgm:cxn modelId="{92BB3808-A9C7-4CC5-86E8-7EA82FE1F32C}" type="presOf" srcId="{2D201A78-28D7-404D-B2C1-7CAB0CF41632}" destId="{422B1D46-327B-49E3-A1AF-A697340E9D03}" srcOrd="1" destOrd="0" presId="urn:microsoft.com/office/officeart/2008/layout/HorizontalMultiLevelHierarchy"/>
    <dgm:cxn modelId="{4022D90A-54F8-4720-BD66-8493936ADA0E}" type="presOf" srcId="{8FF451E2-B20E-4A53-BD5E-512FC609D426}" destId="{8C6BD3F9-1C65-4BBC-8470-643204390EA0}" srcOrd="0" destOrd="0" presId="urn:microsoft.com/office/officeart/2008/layout/HorizontalMultiLevelHierarchy"/>
    <dgm:cxn modelId="{036D8D0C-21FB-4577-A030-6454A711A716}" srcId="{B740B2A5-F01E-49A1-BEF6-01229592C985}" destId="{31DB2A73-BCB5-4E3B-9AFF-21AAA7C6E3CF}" srcOrd="0" destOrd="0" parTransId="{94613090-CAA4-49FD-AD4D-F0FB245221E0}" sibTransId="{E9CEA30E-2CF6-4DA1-A118-6BFA04DFFA17}"/>
    <dgm:cxn modelId="{C64E740E-94E2-4705-9BA3-EBF36DDB6E26}" srcId="{22F6AE40-8067-4E74-862B-6FE0BA0745FA}" destId="{14D02819-7FB3-4751-AF0F-5821EA4C638F}" srcOrd="1" destOrd="0" parTransId="{0A755722-9012-4F63-B291-31345C3FA119}" sibTransId="{6F530DEC-8598-46C7-B247-14087635B1D4}"/>
    <dgm:cxn modelId="{726AA40E-7BAC-4FFA-9F1C-342129DC8369}" type="presOf" srcId="{0B7E71A1-F1F6-470E-8D7C-FCAA96A96A6D}" destId="{010F4C43-A3B0-440B-B390-16635E5B8B61}" srcOrd="1" destOrd="0" presId="urn:microsoft.com/office/officeart/2008/layout/HorizontalMultiLevelHierarchy"/>
    <dgm:cxn modelId="{38EC180F-1B8B-427D-A32A-E3C38DAA21C5}" type="presOf" srcId="{2630A0AF-1C45-4F2A-9D16-620580F9D62A}" destId="{169F4241-BAAA-4F29-9704-E5D58D2654D2}" srcOrd="0" destOrd="0" presId="urn:microsoft.com/office/officeart/2008/layout/HorizontalMultiLevelHierarchy"/>
    <dgm:cxn modelId="{8D01DF17-5BDD-4C18-80BD-90C0E1D585B7}" type="presOf" srcId="{EDCDB079-1469-4DF7-B2BB-EE78BAE30FF0}" destId="{51F72D14-5841-4913-A96B-878F5EB7E7EA}" srcOrd="0" destOrd="0" presId="urn:microsoft.com/office/officeart/2008/layout/HorizontalMultiLevelHierarchy"/>
    <dgm:cxn modelId="{4DCD0C19-18C6-4648-83F8-3F6F06497E38}" srcId="{22F6AE40-8067-4E74-862B-6FE0BA0745FA}" destId="{7F4E6EEA-7CCA-4EC7-A30B-BE6A90E9458C}" srcOrd="2" destOrd="0" parTransId="{0B7E71A1-F1F6-470E-8D7C-FCAA96A96A6D}" sibTransId="{0B6171FF-5169-406C-9F91-5D1276502B37}"/>
    <dgm:cxn modelId="{CC91B219-4533-4029-AB42-FBF24AC62484}" srcId="{31DB2A73-BCB5-4E3B-9AFF-21AAA7C6E3CF}" destId="{EDCDB079-1469-4DF7-B2BB-EE78BAE30FF0}" srcOrd="4" destOrd="0" parTransId="{2883DC65-BFEB-4617-B8AD-10C055DB4E87}" sibTransId="{AC4F5E3C-6E47-4B49-B067-AB1A6B2D8C51}"/>
    <dgm:cxn modelId="{05811E1D-DD07-4D72-944B-070B3150A294}" type="presOf" srcId="{2AA13301-5806-4C82-96D7-CD95ECCC541C}" destId="{54A3F27C-D4C1-4F66-A90E-AF7F2F13CB81}" srcOrd="1" destOrd="0" presId="urn:microsoft.com/office/officeart/2008/layout/HorizontalMultiLevelHierarchy"/>
    <dgm:cxn modelId="{E235631F-9FDD-40C3-8653-F68D72586212}" type="presOf" srcId="{5AF9AD08-7760-4515-94A4-61D510DDFC1E}" destId="{4E5C6C25-C664-43F5-94C7-3831936C1397}" srcOrd="0" destOrd="0" presId="urn:microsoft.com/office/officeart/2008/layout/HorizontalMultiLevelHierarchy"/>
    <dgm:cxn modelId="{04D8C820-F972-488C-AFB1-EAFCC22BE4C4}" type="presOf" srcId="{F3E0C41F-D3E4-478D-AD90-55E03EDF0F18}" destId="{C2471194-59E3-42F9-B560-036E3A8EAAE5}" srcOrd="0" destOrd="0" presId="urn:microsoft.com/office/officeart/2008/layout/HorizontalMultiLevelHierarchy"/>
    <dgm:cxn modelId="{0C6CE620-E8CC-459A-BAA0-1E9318CA3BA3}" type="presOf" srcId="{40C9A23D-B353-4E91-84E6-E747114FC7B6}" destId="{9D4E154F-531D-4226-9928-47121B3E1CA4}" srcOrd="1" destOrd="0" presId="urn:microsoft.com/office/officeart/2008/layout/HorizontalMultiLevelHierarchy"/>
    <dgm:cxn modelId="{883B9424-647A-4444-8E79-FB9A4566297F}" type="presOf" srcId="{14D02819-7FB3-4751-AF0F-5821EA4C638F}" destId="{AE9B8CDA-6F4F-40F1-83B4-D577CF44DE76}" srcOrd="0" destOrd="0" presId="urn:microsoft.com/office/officeart/2008/layout/HorizontalMultiLevelHierarchy"/>
    <dgm:cxn modelId="{5E18E825-048D-4EEC-8496-AB3B65045BCF}" type="presOf" srcId="{2883DC65-BFEB-4617-B8AD-10C055DB4E87}" destId="{8CE0C0D0-C5B4-4A0C-BE8A-14ED3F796E67}" srcOrd="0" destOrd="0" presId="urn:microsoft.com/office/officeart/2008/layout/HorizontalMultiLevelHierarchy"/>
    <dgm:cxn modelId="{D9357828-5FCC-4807-96F6-96542E0E5FD5}" type="presOf" srcId="{2E38FF06-A3E0-480B-9A61-FAE9E3A73718}" destId="{CF8CA573-94AA-40E5-914B-A17BDDE193EA}" srcOrd="0" destOrd="0" presId="urn:microsoft.com/office/officeart/2008/layout/HorizontalMultiLevelHierarchy"/>
    <dgm:cxn modelId="{8839A15C-5145-46C7-9A35-E726D8354D06}" type="presOf" srcId="{16F8A8A0-B153-40A0-9211-9EDEA1CFF833}" destId="{7228B2F6-4749-47FA-9C59-50F81CEE6CEF}" srcOrd="1" destOrd="0" presId="urn:microsoft.com/office/officeart/2008/layout/HorizontalMultiLevelHierarchy"/>
    <dgm:cxn modelId="{FAE3DC5C-F3D7-4C06-868A-BD99CEDC2959}" srcId="{22F6AE40-8067-4E74-862B-6FE0BA0745FA}" destId="{D474B24C-5364-4382-9AFF-C0AF619355A6}" srcOrd="0" destOrd="0" parTransId="{16F8A8A0-B153-40A0-9211-9EDEA1CFF833}" sibTransId="{F8DA0727-BEFB-449B-8576-1495EF0617D1}"/>
    <dgm:cxn modelId="{C0259D5E-8F91-4E2D-8DA2-6DB60F4AB70D}" type="presOf" srcId="{A46E3CE7-4094-4516-80BD-D1FC5D72611F}" destId="{C541BD75-2F15-4003-8EF3-377F71FA8FC6}" srcOrd="1" destOrd="0" presId="urn:microsoft.com/office/officeart/2008/layout/HorizontalMultiLevelHierarchy"/>
    <dgm:cxn modelId="{5F7DB95E-31CC-47D9-A2A4-08D43C7607AF}" srcId="{562D7984-A2DB-4E1B-A5D5-6B9BA2EC22A7}" destId="{22F6AE40-8067-4E74-862B-6FE0BA0745FA}" srcOrd="1" destOrd="0" parTransId="{F3E0C41F-D3E4-478D-AD90-55E03EDF0F18}" sibTransId="{BB3705CE-BB7B-406E-97EB-897318136223}"/>
    <dgm:cxn modelId="{4AC3EC5E-9B96-49C4-BC31-495FD588746A}" srcId="{22F6AE40-8067-4E74-862B-6FE0BA0745FA}" destId="{2630A0AF-1C45-4F2A-9D16-620580F9D62A}" srcOrd="3" destOrd="0" parTransId="{CD770960-5594-4106-B454-A86A1C343730}" sibTransId="{73F4283B-0B0C-4FF4-A8E6-37BDC187CECD}"/>
    <dgm:cxn modelId="{4EC33360-B54F-4146-BD4B-D30509486093}" type="presOf" srcId="{16F8A8A0-B153-40A0-9211-9EDEA1CFF833}" destId="{7F9EA4B3-2747-4104-8F40-D9AD376047BE}" srcOrd="0" destOrd="0" presId="urn:microsoft.com/office/officeart/2008/layout/HorizontalMultiLevelHierarchy"/>
    <dgm:cxn modelId="{A1B40E63-19E2-41B6-A2D3-00C52037F976}" type="presOf" srcId="{16E5D9F3-3176-4C2C-9851-F03F4A541568}" destId="{4EAFFC1A-64B7-438F-9D13-A82D72A72940}" srcOrd="0" destOrd="0" presId="urn:microsoft.com/office/officeart/2008/layout/HorizontalMultiLevelHierarchy"/>
    <dgm:cxn modelId="{558BD444-1D58-456C-A730-09ED95A16724}" type="presOf" srcId="{2D201A78-28D7-404D-B2C1-7CAB0CF41632}" destId="{04CAEE93-92EA-4492-8DD6-6BC380ADC34B}" srcOrd="0" destOrd="0" presId="urn:microsoft.com/office/officeart/2008/layout/HorizontalMultiLevelHierarchy"/>
    <dgm:cxn modelId="{41C1B767-3303-4C02-B4CB-0DCF97FBC65B}" srcId="{31DB2A73-BCB5-4E3B-9AFF-21AAA7C6E3CF}" destId="{FC34A844-C00A-4AF8-8B11-7841CC10BEA8}" srcOrd="1" destOrd="0" parTransId="{2AA13301-5806-4C82-96D7-CD95ECCC541C}" sibTransId="{5195AADC-2B50-4192-A6BB-DEEE19E150DC}"/>
    <dgm:cxn modelId="{551B8D6B-67B8-499B-A1ED-826E4094C9E0}" type="presOf" srcId="{696C04AD-156C-48EF-8298-10CB06BF911C}" destId="{19CB78F1-D561-4202-9B49-ECBD5DB552EB}" srcOrd="0" destOrd="0" presId="urn:microsoft.com/office/officeart/2008/layout/HorizontalMultiLevelHierarchy"/>
    <dgm:cxn modelId="{06A4024D-BD39-4845-90ED-E2F85D70CA65}" type="presOf" srcId="{2F459FA5-71D3-4C89-9E3E-2CF287285CBF}" destId="{ADA556E2-A961-4172-845E-5EDA6AED3FC4}" srcOrd="0" destOrd="0" presId="urn:microsoft.com/office/officeart/2008/layout/HorizontalMultiLevelHierarchy"/>
    <dgm:cxn modelId="{00742C4E-5DE8-40AF-9795-129133F8DB39}" type="presOf" srcId="{7279ABF0-182F-4D21-B831-68EA58FD8DAE}" destId="{2C5E3F65-97E1-43BC-832B-084365E4415F}" srcOrd="0" destOrd="0" presId="urn:microsoft.com/office/officeart/2008/layout/HorizontalMultiLevelHierarchy"/>
    <dgm:cxn modelId="{7CEAE86F-046A-4E0E-B31F-5AA506637310}" srcId="{31DB2A73-BCB5-4E3B-9AFF-21AAA7C6E3CF}" destId="{8FF451E2-B20E-4A53-BD5E-512FC609D426}" srcOrd="0" destOrd="0" parTransId="{5AF9AD08-7760-4515-94A4-61D510DDFC1E}" sibTransId="{0C2795EA-4815-47A6-AD4E-A3BECABA30AF}"/>
    <dgm:cxn modelId="{208D1874-C5FA-438A-B2A2-AC6916A52A58}" type="presOf" srcId="{0A755722-9012-4F63-B291-31345C3FA119}" destId="{5EF46083-7035-4079-AFE4-21178FC3B1AD}" srcOrd="0" destOrd="0" presId="urn:microsoft.com/office/officeart/2008/layout/HorizontalMultiLevelHierarchy"/>
    <dgm:cxn modelId="{10015255-ED18-4C8A-B3D1-F0DCFD02BB73}" type="presOf" srcId="{D474B24C-5364-4382-9AFF-C0AF619355A6}" destId="{D068E955-8442-4D26-BB81-E6020509FB25}" srcOrd="0" destOrd="0" presId="urn:microsoft.com/office/officeart/2008/layout/HorizontalMultiLevelHierarchy"/>
    <dgm:cxn modelId="{B177C257-0069-4DED-A43C-3F29CC89E9B8}" type="presOf" srcId="{3FB48B48-4D3C-4CC1-BEA6-17B11F71F755}" destId="{FA3A6FF2-CE49-4ACF-A916-CA26949ACD09}" srcOrd="0" destOrd="0" presId="urn:microsoft.com/office/officeart/2008/layout/HorizontalMultiLevelHierarchy"/>
    <dgm:cxn modelId="{0580EC7D-7EAA-408F-A74B-819AB02B7E25}" srcId="{2E38FF06-A3E0-480B-9A61-FAE9E3A73718}" destId="{7FAC23FC-4011-4E05-99C7-C5807C44CBBD}" srcOrd="1" destOrd="0" parTransId="{2D201A78-28D7-404D-B2C1-7CAB0CF41632}" sibTransId="{424B33A4-F6C1-49A8-BEBA-9902E5CD9A41}"/>
    <dgm:cxn modelId="{1D866281-7FCB-46E0-BF05-73293C83E061}" type="presOf" srcId="{696C04AD-156C-48EF-8298-10CB06BF911C}" destId="{941F860F-7251-4A20-A4A9-3A2DED2CD33A}" srcOrd="1" destOrd="0" presId="urn:microsoft.com/office/officeart/2008/layout/HorizontalMultiLevelHierarchy"/>
    <dgm:cxn modelId="{C9162184-E4FD-422A-A397-BE99F5ABFF6B}" type="presOf" srcId="{16E5D9F3-3176-4C2C-9851-F03F4A541568}" destId="{9D00D615-C169-4D47-81AD-DBBF77E140A6}" srcOrd="1" destOrd="0" presId="urn:microsoft.com/office/officeart/2008/layout/HorizontalMultiLevelHierarchy"/>
    <dgm:cxn modelId="{78858A89-F503-40B1-A0CB-59200B1DA0B5}" type="presOf" srcId="{F3E0C41F-D3E4-478D-AD90-55E03EDF0F18}" destId="{A5E9F405-0D0F-47CD-8A8A-21F13E05590A}" srcOrd="1" destOrd="0" presId="urn:microsoft.com/office/officeart/2008/layout/HorizontalMultiLevelHierarchy"/>
    <dgm:cxn modelId="{191B748C-8578-4A7E-B198-94258DCA1187}" type="presOf" srcId="{7FAC23FC-4011-4E05-99C7-C5807C44CBBD}" destId="{5DD7149D-BFAF-4177-A14F-E9926E0F35E4}" srcOrd="0" destOrd="0" presId="urn:microsoft.com/office/officeart/2008/layout/HorizontalMultiLevelHierarchy"/>
    <dgm:cxn modelId="{092F9C8C-896F-42F1-8A65-22AB486E46CC}" type="presOf" srcId="{E274BA9B-FC64-4BA1-AD83-BD17D3377ACC}" destId="{0ACD68EF-4336-402B-A88A-078BA54B436F}" srcOrd="1" destOrd="0" presId="urn:microsoft.com/office/officeart/2008/layout/HorizontalMultiLevelHierarchy"/>
    <dgm:cxn modelId="{D4691F8D-778B-4DCD-888D-B21C76309D8F}" type="presOf" srcId="{2AA13301-5806-4C82-96D7-CD95ECCC541C}" destId="{250DB038-FF6D-4E53-B13A-383B52C30670}" srcOrd="0" destOrd="0" presId="urn:microsoft.com/office/officeart/2008/layout/HorizontalMultiLevelHierarchy"/>
    <dgm:cxn modelId="{C440F88E-B56B-4CD6-AACE-6C592D9B6C62}" srcId="{31DB2A73-BCB5-4E3B-9AFF-21AAA7C6E3CF}" destId="{2F459FA5-71D3-4C89-9E3E-2CF287285CBF}" srcOrd="2" destOrd="0" parTransId="{16E5D9F3-3176-4C2C-9851-F03F4A541568}" sibTransId="{C5012CEC-6A30-4B6D-B260-1495293661BE}"/>
    <dgm:cxn modelId="{D2002C92-3F76-43F6-AB2C-6083355FE4E8}" type="presOf" srcId="{A46E3CE7-4094-4516-80BD-D1FC5D72611F}" destId="{F5001165-E6F7-4A40-9990-6CE887B1C6B3}" srcOrd="0" destOrd="0" presId="urn:microsoft.com/office/officeart/2008/layout/HorizontalMultiLevelHierarchy"/>
    <dgm:cxn modelId="{E0BA1293-3E62-4C16-9168-E62ADD859DF8}" type="presOf" srcId="{2883DC65-BFEB-4617-B8AD-10C055DB4E87}" destId="{88C59EEB-D9B3-4190-82EC-EAFDA52D8DAB}" srcOrd="1" destOrd="0" presId="urn:microsoft.com/office/officeart/2008/layout/HorizontalMultiLevelHierarchy"/>
    <dgm:cxn modelId="{10927396-E9AC-4EC2-9F6A-54B9A1640B44}" srcId="{22F6AE40-8067-4E74-862B-6FE0BA0745FA}" destId="{40177BB5-6BDC-4FFE-A281-E914BE2C673E}" srcOrd="5" destOrd="0" parTransId="{47A8FCF0-1370-4BF4-B70B-C353A12E343F}" sibTransId="{C142BCA1-8BA9-4E32-ADD4-6646458D0A9A}"/>
    <dgm:cxn modelId="{A7843797-7240-4840-A390-4F7CD4525194}" type="presOf" srcId="{0190EE6A-3136-4B5D-BFD5-72C9007CA3AC}" destId="{5E15869D-7CCA-4EF6-84C4-74A2F29D3FC2}" srcOrd="0" destOrd="0" presId="urn:microsoft.com/office/officeart/2008/layout/HorizontalMultiLevelHierarchy"/>
    <dgm:cxn modelId="{7D077F9D-7063-4325-986B-BB60FA59B761}" type="presOf" srcId="{7F4E6EEA-7CCA-4EC7-A30B-BE6A90E9458C}" destId="{00210DB9-6FBF-481C-8998-0E21725165A3}" srcOrd="0" destOrd="0" presId="urn:microsoft.com/office/officeart/2008/layout/HorizontalMultiLevelHierarchy"/>
    <dgm:cxn modelId="{5F1B849D-D7A7-4AE4-8F6A-2EB07C219EDA}" type="presOf" srcId="{CD770960-5594-4106-B454-A86A1C343730}" destId="{7D197B16-C5F9-478A-A483-22E2010DA04C}" srcOrd="1" destOrd="0" presId="urn:microsoft.com/office/officeart/2008/layout/HorizontalMultiLevelHierarchy"/>
    <dgm:cxn modelId="{E3E2269F-FB8B-4565-9897-715D0267C9E7}" srcId="{FC34A844-C00A-4AF8-8B11-7841CC10BEA8}" destId="{562D7984-A2DB-4E1B-A5D5-6B9BA2EC22A7}" srcOrd="0" destOrd="0" parTransId="{E274BA9B-FC64-4BA1-AD83-BD17D3377ACC}" sibTransId="{FC96AF33-C181-418A-9C8B-635A654F707E}"/>
    <dgm:cxn modelId="{47FD649F-7595-4F27-9C53-EB76EF955779}" type="presOf" srcId="{B740B2A5-F01E-49A1-BEF6-01229592C985}" destId="{2FBCA2E2-88E7-4B2A-A568-A9441E9003F9}" srcOrd="0" destOrd="0" presId="urn:microsoft.com/office/officeart/2008/layout/HorizontalMultiLevelHierarchy"/>
    <dgm:cxn modelId="{99E04AA2-5304-4B04-9280-68DD3A6DECA7}" type="presOf" srcId="{47A8FCF0-1370-4BF4-B70B-C353A12E343F}" destId="{581092F8-8A77-4DC3-BE5A-7B57E4A64A8E}" srcOrd="0" destOrd="0" presId="urn:microsoft.com/office/officeart/2008/layout/HorizontalMultiLevelHierarchy"/>
    <dgm:cxn modelId="{829C48A5-8E50-4B33-80D9-4442333C284E}" type="presOf" srcId="{40177BB5-6BDC-4FFE-A281-E914BE2C673E}" destId="{4DD20737-80A4-4E09-80F4-4B94F2EE3696}" srcOrd="0" destOrd="0" presId="urn:microsoft.com/office/officeart/2008/layout/HorizontalMultiLevelHierarchy"/>
    <dgm:cxn modelId="{7B509CA7-64D2-4E27-93BF-6597F4E53018}" type="presOf" srcId="{CD770960-5594-4106-B454-A86A1C343730}" destId="{4395E543-FADA-40D4-B1BE-57A2D74BEF69}" srcOrd="0" destOrd="0" presId="urn:microsoft.com/office/officeart/2008/layout/HorizontalMultiLevelHierarchy"/>
    <dgm:cxn modelId="{D90B6DA8-882B-4734-8BB7-62611DA20DC2}" type="presOf" srcId="{31DB2A73-BCB5-4E3B-9AFF-21AAA7C6E3CF}" destId="{7AB9CF18-9548-4677-8662-BE284A5994AE}" srcOrd="0" destOrd="0" presId="urn:microsoft.com/office/officeart/2008/layout/HorizontalMultiLevelHierarchy"/>
    <dgm:cxn modelId="{A7BA13AA-2EC3-4D98-A1D7-70910E51D67F}" type="presOf" srcId="{22F6AE40-8067-4E74-862B-6FE0BA0745FA}" destId="{B5442F4F-386D-4FF3-B1E3-D7FFB8F5B8DC}" srcOrd="0" destOrd="0" presId="urn:microsoft.com/office/officeart/2008/layout/HorizontalMultiLevelHierarchy"/>
    <dgm:cxn modelId="{AA8DD6B9-1A2C-46D8-AA8D-6A4E2AFFE09B}" type="presOf" srcId="{562D7984-A2DB-4E1B-A5D5-6B9BA2EC22A7}" destId="{2C86FFA5-68CB-49B3-A875-5B6FC9D59677}" srcOrd="0" destOrd="0" presId="urn:microsoft.com/office/officeart/2008/layout/HorizontalMultiLevelHierarchy"/>
    <dgm:cxn modelId="{33119FC5-A06F-412D-9DB9-F308CF08AE6C}" type="presOf" srcId="{47A8FCF0-1370-4BF4-B70B-C353A12E343F}" destId="{B0B5B05A-0CD5-40B3-98E7-6EE0B2A02FBF}" srcOrd="1" destOrd="0" presId="urn:microsoft.com/office/officeart/2008/layout/HorizontalMultiLevelHierarchy"/>
    <dgm:cxn modelId="{865866CB-6E41-4661-A777-2EB65C3BC601}" srcId="{562D7984-A2DB-4E1B-A5D5-6B9BA2EC22A7}" destId="{2E38FF06-A3E0-480B-9A61-FAE9E3A73718}" srcOrd="0" destOrd="0" parTransId="{DED31A02-E203-47CB-AEDD-ABF737C51D6B}" sibTransId="{3A772A73-2835-46E7-9578-15A6884977F5}"/>
    <dgm:cxn modelId="{D686D2CF-89CC-4330-8960-01B5CDBC334F}" type="presOf" srcId="{FC34A844-C00A-4AF8-8B11-7841CC10BEA8}" destId="{CBD1F409-4C7D-4DD7-BBC0-3CE258EBCD38}" srcOrd="0" destOrd="0" presId="urn:microsoft.com/office/officeart/2008/layout/HorizontalMultiLevelHierarchy"/>
    <dgm:cxn modelId="{926462D3-33F1-4522-9702-5412EF768EFF}" srcId="{2E38FF06-A3E0-480B-9A61-FAE9E3A73718}" destId="{3FB48B48-4D3C-4CC1-BEA6-17B11F71F755}" srcOrd="0" destOrd="0" parTransId="{40C9A23D-B353-4E91-84E6-E747114FC7B6}" sibTransId="{CAC4B41A-BF04-40E0-A31F-B42E5367AAE6}"/>
    <dgm:cxn modelId="{4BB7E4D7-8623-4315-9F69-5C356BA624BA}" type="presOf" srcId="{DED31A02-E203-47CB-AEDD-ABF737C51D6B}" destId="{D95B5A3E-716B-4B22-A783-64B2BB95CC5B}" srcOrd="0" destOrd="0" presId="urn:microsoft.com/office/officeart/2008/layout/HorizontalMultiLevelHierarchy"/>
    <dgm:cxn modelId="{23C024D9-0F33-4A9B-BD6F-8ADDE7F0F66F}" srcId="{31DB2A73-BCB5-4E3B-9AFF-21AAA7C6E3CF}" destId="{7279ABF0-182F-4D21-B831-68EA58FD8DAE}" srcOrd="3" destOrd="0" parTransId="{696C04AD-156C-48EF-8298-10CB06BF911C}" sibTransId="{9B2A4085-71B1-40B6-B09C-EE7F428B1174}"/>
    <dgm:cxn modelId="{3C18A0E4-1B6A-4EF9-979A-192503BD6A9B}" type="presOf" srcId="{40C9A23D-B353-4E91-84E6-E747114FC7B6}" destId="{6E6E06C4-6714-4A8E-BB38-C71A0982AEA4}" srcOrd="0" destOrd="0" presId="urn:microsoft.com/office/officeart/2008/layout/HorizontalMultiLevelHierarchy"/>
    <dgm:cxn modelId="{E13BE6E7-D335-4159-A869-63990B44FC15}" srcId="{22F6AE40-8067-4E74-862B-6FE0BA0745FA}" destId="{0190EE6A-3136-4B5D-BFD5-72C9007CA3AC}" srcOrd="4" destOrd="0" parTransId="{A46E3CE7-4094-4516-80BD-D1FC5D72611F}" sibTransId="{778FDF83-B61A-4D98-BD7F-81DBA05012F7}"/>
    <dgm:cxn modelId="{095E3EF0-64C5-4F37-8C5E-1B8A46B2CC4A}" type="presOf" srcId="{5AF9AD08-7760-4515-94A4-61D510DDFC1E}" destId="{8304D828-9D71-48D0-9D0D-AA4FFA38F87B}" srcOrd="1" destOrd="0" presId="urn:microsoft.com/office/officeart/2008/layout/HorizontalMultiLevelHierarchy"/>
    <dgm:cxn modelId="{C035FCF6-A86C-435A-B4AE-5AC6F0EF8C22}" type="presOf" srcId="{DED31A02-E203-47CB-AEDD-ABF737C51D6B}" destId="{08D2D1E6-3C58-4119-AC52-5BBAB7D30A7A}" srcOrd="1" destOrd="0" presId="urn:microsoft.com/office/officeart/2008/layout/HorizontalMultiLevelHierarchy"/>
    <dgm:cxn modelId="{D9BF0BFF-97D2-4538-8819-13868121E48A}" type="presOf" srcId="{0A755722-9012-4F63-B291-31345C3FA119}" destId="{63B984B8-B66F-4176-BCEA-7BD1F0442F8F}" srcOrd="1" destOrd="0" presId="urn:microsoft.com/office/officeart/2008/layout/HorizontalMultiLevelHierarchy"/>
    <dgm:cxn modelId="{387BFD15-DA8F-494C-A666-A08669979371}" type="presParOf" srcId="{2FBCA2E2-88E7-4B2A-A568-A9441E9003F9}" destId="{F24FE81C-AE4E-4E7F-B085-3B0229B1581B}" srcOrd="0" destOrd="0" presId="urn:microsoft.com/office/officeart/2008/layout/HorizontalMultiLevelHierarchy"/>
    <dgm:cxn modelId="{56C18C91-B7BA-4B2C-890C-54EE63833AA5}" type="presParOf" srcId="{F24FE81C-AE4E-4E7F-B085-3B0229B1581B}" destId="{7AB9CF18-9548-4677-8662-BE284A5994AE}" srcOrd="0" destOrd="0" presId="urn:microsoft.com/office/officeart/2008/layout/HorizontalMultiLevelHierarchy"/>
    <dgm:cxn modelId="{E615A3A4-8A5F-49D9-89E4-669F7AD9BB14}" type="presParOf" srcId="{F24FE81C-AE4E-4E7F-B085-3B0229B1581B}" destId="{E5CFA53D-CCD7-4570-87AB-264015C84FE8}" srcOrd="1" destOrd="0" presId="urn:microsoft.com/office/officeart/2008/layout/HorizontalMultiLevelHierarchy"/>
    <dgm:cxn modelId="{8274263C-7B86-46F3-A83F-43727061FAF0}" type="presParOf" srcId="{E5CFA53D-CCD7-4570-87AB-264015C84FE8}" destId="{4E5C6C25-C664-43F5-94C7-3831936C1397}" srcOrd="0" destOrd="0" presId="urn:microsoft.com/office/officeart/2008/layout/HorizontalMultiLevelHierarchy"/>
    <dgm:cxn modelId="{72F32998-79C6-43E2-839B-7E44CDA28C72}" type="presParOf" srcId="{4E5C6C25-C664-43F5-94C7-3831936C1397}" destId="{8304D828-9D71-48D0-9D0D-AA4FFA38F87B}" srcOrd="0" destOrd="0" presId="urn:microsoft.com/office/officeart/2008/layout/HorizontalMultiLevelHierarchy"/>
    <dgm:cxn modelId="{E4F44FC3-3459-4C20-B197-7837F8D94C6C}" type="presParOf" srcId="{E5CFA53D-CCD7-4570-87AB-264015C84FE8}" destId="{7ABD1FCB-42D4-4862-A869-719F9719BFFC}" srcOrd="1" destOrd="0" presId="urn:microsoft.com/office/officeart/2008/layout/HorizontalMultiLevelHierarchy"/>
    <dgm:cxn modelId="{CA6FB5FA-5AFD-4875-A2F8-BDF60485FEB3}" type="presParOf" srcId="{7ABD1FCB-42D4-4862-A869-719F9719BFFC}" destId="{8C6BD3F9-1C65-4BBC-8470-643204390EA0}" srcOrd="0" destOrd="0" presId="urn:microsoft.com/office/officeart/2008/layout/HorizontalMultiLevelHierarchy"/>
    <dgm:cxn modelId="{504DAF20-2FAF-4E85-A326-ABE1584233D1}" type="presParOf" srcId="{7ABD1FCB-42D4-4862-A869-719F9719BFFC}" destId="{1E331133-B9C2-4351-835C-BBE769F9C13C}" srcOrd="1" destOrd="0" presId="urn:microsoft.com/office/officeart/2008/layout/HorizontalMultiLevelHierarchy"/>
    <dgm:cxn modelId="{65AE7FB5-3A7B-44C1-ABAC-7F7D15F5EE83}" type="presParOf" srcId="{E5CFA53D-CCD7-4570-87AB-264015C84FE8}" destId="{250DB038-FF6D-4E53-B13A-383B52C30670}" srcOrd="2" destOrd="0" presId="urn:microsoft.com/office/officeart/2008/layout/HorizontalMultiLevelHierarchy"/>
    <dgm:cxn modelId="{07896750-0D52-4718-B17E-3A8975602A40}" type="presParOf" srcId="{250DB038-FF6D-4E53-B13A-383B52C30670}" destId="{54A3F27C-D4C1-4F66-A90E-AF7F2F13CB81}" srcOrd="0" destOrd="0" presId="urn:microsoft.com/office/officeart/2008/layout/HorizontalMultiLevelHierarchy"/>
    <dgm:cxn modelId="{1F6CB786-AD95-4364-9407-CA4E1E6F76F6}" type="presParOf" srcId="{E5CFA53D-CCD7-4570-87AB-264015C84FE8}" destId="{AD972891-5DC5-4546-BF49-40C7EB699F78}" srcOrd="3" destOrd="0" presId="urn:microsoft.com/office/officeart/2008/layout/HorizontalMultiLevelHierarchy"/>
    <dgm:cxn modelId="{2B46095C-F26D-44BA-9DE2-A531E11D9FEC}" type="presParOf" srcId="{AD972891-5DC5-4546-BF49-40C7EB699F78}" destId="{CBD1F409-4C7D-4DD7-BBC0-3CE258EBCD38}" srcOrd="0" destOrd="0" presId="urn:microsoft.com/office/officeart/2008/layout/HorizontalMultiLevelHierarchy"/>
    <dgm:cxn modelId="{4FE67136-E8B1-4613-BB26-2582E390FC6D}" type="presParOf" srcId="{AD972891-5DC5-4546-BF49-40C7EB699F78}" destId="{4DE3223A-1D70-4C46-BBB8-CD2EB4172832}" srcOrd="1" destOrd="0" presId="urn:microsoft.com/office/officeart/2008/layout/HorizontalMultiLevelHierarchy"/>
    <dgm:cxn modelId="{6128653D-CF91-4756-BC25-C5813518D9E2}" type="presParOf" srcId="{4DE3223A-1D70-4C46-BBB8-CD2EB4172832}" destId="{D2A1F6CD-2155-46B2-AE00-2115E897D977}" srcOrd="0" destOrd="0" presId="urn:microsoft.com/office/officeart/2008/layout/HorizontalMultiLevelHierarchy"/>
    <dgm:cxn modelId="{DD333C78-4473-464D-A4B4-10A5E183B547}" type="presParOf" srcId="{D2A1F6CD-2155-46B2-AE00-2115E897D977}" destId="{0ACD68EF-4336-402B-A88A-078BA54B436F}" srcOrd="0" destOrd="0" presId="urn:microsoft.com/office/officeart/2008/layout/HorizontalMultiLevelHierarchy"/>
    <dgm:cxn modelId="{86FB258E-FCB5-4CA0-85A2-CD7202776AE8}" type="presParOf" srcId="{4DE3223A-1D70-4C46-BBB8-CD2EB4172832}" destId="{0DDE5B02-43A7-4B10-931B-0020D7FC2BFB}" srcOrd="1" destOrd="0" presId="urn:microsoft.com/office/officeart/2008/layout/HorizontalMultiLevelHierarchy"/>
    <dgm:cxn modelId="{31AC55F8-C498-4099-AF44-C98031DE8D61}" type="presParOf" srcId="{0DDE5B02-43A7-4B10-931B-0020D7FC2BFB}" destId="{2C86FFA5-68CB-49B3-A875-5B6FC9D59677}" srcOrd="0" destOrd="0" presId="urn:microsoft.com/office/officeart/2008/layout/HorizontalMultiLevelHierarchy"/>
    <dgm:cxn modelId="{86FE6413-C48F-4724-A4AC-2FD0BFCC56D2}" type="presParOf" srcId="{0DDE5B02-43A7-4B10-931B-0020D7FC2BFB}" destId="{EF98129A-D86F-41F9-9F7F-3F1B4C589D10}" srcOrd="1" destOrd="0" presId="urn:microsoft.com/office/officeart/2008/layout/HorizontalMultiLevelHierarchy"/>
    <dgm:cxn modelId="{36B75A9A-FD00-4B02-9E4C-D09C225968A7}" type="presParOf" srcId="{EF98129A-D86F-41F9-9F7F-3F1B4C589D10}" destId="{D95B5A3E-716B-4B22-A783-64B2BB95CC5B}" srcOrd="0" destOrd="0" presId="urn:microsoft.com/office/officeart/2008/layout/HorizontalMultiLevelHierarchy"/>
    <dgm:cxn modelId="{A26F937F-0FFC-4E34-A8F3-C4AC37E2CC96}" type="presParOf" srcId="{D95B5A3E-716B-4B22-A783-64B2BB95CC5B}" destId="{08D2D1E6-3C58-4119-AC52-5BBAB7D30A7A}" srcOrd="0" destOrd="0" presId="urn:microsoft.com/office/officeart/2008/layout/HorizontalMultiLevelHierarchy"/>
    <dgm:cxn modelId="{E578F776-F921-447E-B348-E91608F98D29}" type="presParOf" srcId="{EF98129A-D86F-41F9-9F7F-3F1B4C589D10}" destId="{08527DFA-31F8-44BC-A4F5-97755028F993}" srcOrd="1" destOrd="0" presId="urn:microsoft.com/office/officeart/2008/layout/HorizontalMultiLevelHierarchy"/>
    <dgm:cxn modelId="{04A89882-5EA6-4378-95E0-62D65D007342}" type="presParOf" srcId="{08527DFA-31F8-44BC-A4F5-97755028F993}" destId="{CF8CA573-94AA-40E5-914B-A17BDDE193EA}" srcOrd="0" destOrd="0" presId="urn:microsoft.com/office/officeart/2008/layout/HorizontalMultiLevelHierarchy"/>
    <dgm:cxn modelId="{B0F98009-AF47-4F8A-91A6-1CF51EEB8A0A}" type="presParOf" srcId="{08527DFA-31F8-44BC-A4F5-97755028F993}" destId="{17860C37-9885-4F21-9710-53A0585299AD}" srcOrd="1" destOrd="0" presId="urn:microsoft.com/office/officeart/2008/layout/HorizontalMultiLevelHierarchy"/>
    <dgm:cxn modelId="{01101E73-E48F-4072-BEB3-02A83B3D5DAD}" type="presParOf" srcId="{17860C37-9885-4F21-9710-53A0585299AD}" destId="{6E6E06C4-6714-4A8E-BB38-C71A0982AEA4}" srcOrd="0" destOrd="0" presId="urn:microsoft.com/office/officeart/2008/layout/HorizontalMultiLevelHierarchy"/>
    <dgm:cxn modelId="{155A0567-E212-4001-87DA-BC69D9432AD6}" type="presParOf" srcId="{6E6E06C4-6714-4A8E-BB38-C71A0982AEA4}" destId="{9D4E154F-531D-4226-9928-47121B3E1CA4}" srcOrd="0" destOrd="0" presId="urn:microsoft.com/office/officeart/2008/layout/HorizontalMultiLevelHierarchy"/>
    <dgm:cxn modelId="{DB77B2E7-C2DF-4212-9A92-CFAFB9AE035C}" type="presParOf" srcId="{17860C37-9885-4F21-9710-53A0585299AD}" destId="{EE2D6834-51A0-4C4C-9F70-C49F7E61507E}" srcOrd="1" destOrd="0" presId="urn:microsoft.com/office/officeart/2008/layout/HorizontalMultiLevelHierarchy"/>
    <dgm:cxn modelId="{C376050E-770D-4733-9ACC-F22EBB047332}" type="presParOf" srcId="{EE2D6834-51A0-4C4C-9F70-C49F7E61507E}" destId="{FA3A6FF2-CE49-4ACF-A916-CA26949ACD09}" srcOrd="0" destOrd="0" presId="urn:microsoft.com/office/officeart/2008/layout/HorizontalMultiLevelHierarchy"/>
    <dgm:cxn modelId="{0D3A4B6A-F19C-4A7F-8F0E-3BB53D3B8615}" type="presParOf" srcId="{EE2D6834-51A0-4C4C-9F70-C49F7E61507E}" destId="{C3650C35-9193-4DA7-AB4E-BEAFCE8D9C54}" srcOrd="1" destOrd="0" presId="urn:microsoft.com/office/officeart/2008/layout/HorizontalMultiLevelHierarchy"/>
    <dgm:cxn modelId="{FAA76966-0898-40BB-9AAC-B062AA59B207}" type="presParOf" srcId="{17860C37-9885-4F21-9710-53A0585299AD}" destId="{04CAEE93-92EA-4492-8DD6-6BC380ADC34B}" srcOrd="2" destOrd="0" presId="urn:microsoft.com/office/officeart/2008/layout/HorizontalMultiLevelHierarchy"/>
    <dgm:cxn modelId="{A5BF9409-699F-4451-9A35-446D837884C8}" type="presParOf" srcId="{04CAEE93-92EA-4492-8DD6-6BC380ADC34B}" destId="{422B1D46-327B-49E3-A1AF-A697340E9D03}" srcOrd="0" destOrd="0" presId="urn:microsoft.com/office/officeart/2008/layout/HorizontalMultiLevelHierarchy"/>
    <dgm:cxn modelId="{BD876328-8244-478D-919E-C505C0FA3757}" type="presParOf" srcId="{17860C37-9885-4F21-9710-53A0585299AD}" destId="{67C66641-BFDA-4933-A371-CBAC97C9DEFB}" srcOrd="3" destOrd="0" presId="urn:microsoft.com/office/officeart/2008/layout/HorizontalMultiLevelHierarchy"/>
    <dgm:cxn modelId="{49810CA1-5868-4CB7-9066-9FFEC0BFD78A}" type="presParOf" srcId="{67C66641-BFDA-4933-A371-CBAC97C9DEFB}" destId="{5DD7149D-BFAF-4177-A14F-E9926E0F35E4}" srcOrd="0" destOrd="0" presId="urn:microsoft.com/office/officeart/2008/layout/HorizontalMultiLevelHierarchy"/>
    <dgm:cxn modelId="{30B5FDE7-A65E-434E-91BF-959680B301AE}" type="presParOf" srcId="{67C66641-BFDA-4933-A371-CBAC97C9DEFB}" destId="{C7012DF8-4EE3-4F71-A8B0-9816D83BC546}" srcOrd="1" destOrd="0" presId="urn:microsoft.com/office/officeart/2008/layout/HorizontalMultiLevelHierarchy"/>
    <dgm:cxn modelId="{C7840AF2-9F68-4FEB-BAC6-F59771DB18F1}" type="presParOf" srcId="{EF98129A-D86F-41F9-9F7F-3F1B4C589D10}" destId="{C2471194-59E3-42F9-B560-036E3A8EAAE5}" srcOrd="2" destOrd="0" presId="urn:microsoft.com/office/officeart/2008/layout/HorizontalMultiLevelHierarchy"/>
    <dgm:cxn modelId="{4476333C-CDEA-4D58-AD87-F2540D8E56CD}" type="presParOf" srcId="{C2471194-59E3-42F9-B560-036E3A8EAAE5}" destId="{A5E9F405-0D0F-47CD-8A8A-21F13E05590A}" srcOrd="0" destOrd="0" presId="urn:microsoft.com/office/officeart/2008/layout/HorizontalMultiLevelHierarchy"/>
    <dgm:cxn modelId="{BB02F2D5-2029-4385-B17D-A962EF4B286D}" type="presParOf" srcId="{EF98129A-D86F-41F9-9F7F-3F1B4C589D10}" destId="{84D1E5F7-12EC-4076-AA26-B820CC847218}" srcOrd="3" destOrd="0" presId="urn:microsoft.com/office/officeart/2008/layout/HorizontalMultiLevelHierarchy"/>
    <dgm:cxn modelId="{DFBBA651-A6E5-401F-918E-B9CA7D393583}" type="presParOf" srcId="{84D1E5F7-12EC-4076-AA26-B820CC847218}" destId="{B5442F4F-386D-4FF3-B1E3-D7FFB8F5B8DC}" srcOrd="0" destOrd="0" presId="urn:microsoft.com/office/officeart/2008/layout/HorizontalMultiLevelHierarchy"/>
    <dgm:cxn modelId="{3851E409-83E7-4F53-8C90-4B2CED984098}" type="presParOf" srcId="{84D1E5F7-12EC-4076-AA26-B820CC847218}" destId="{AADDF905-859E-4F3D-B3F3-99E26A0E64D8}" srcOrd="1" destOrd="0" presId="urn:microsoft.com/office/officeart/2008/layout/HorizontalMultiLevelHierarchy"/>
    <dgm:cxn modelId="{CE409C6E-BFE3-4057-8207-2BCA7C744BEA}" type="presParOf" srcId="{AADDF905-859E-4F3D-B3F3-99E26A0E64D8}" destId="{7F9EA4B3-2747-4104-8F40-D9AD376047BE}" srcOrd="0" destOrd="0" presId="urn:microsoft.com/office/officeart/2008/layout/HorizontalMultiLevelHierarchy"/>
    <dgm:cxn modelId="{E4FC5CB7-4538-4626-B21B-D86D8A4B0025}" type="presParOf" srcId="{7F9EA4B3-2747-4104-8F40-D9AD376047BE}" destId="{7228B2F6-4749-47FA-9C59-50F81CEE6CEF}" srcOrd="0" destOrd="0" presId="urn:microsoft.com/office/officeart/2008/layout/HorizontalMultiLevelHierarchy"/>
    <dgm:cxn modelId="{977078DF-D4C7-4841-B955-59969888496E}" type="presParOf" srcId="{AADDF905-859E-4F3D-B3F3-99E26A0E64D8}" destId="{878C61BF-1A2B-4D47-9276-0605825BCB00}" srcOrd="1" destOrd="0" presId="urn:microsoft.com/office/officeart/2008/layout/HorizontalMultiLevelHierarchy"/>
    <dgm:cxn modelId="{5C502E8F-7C6F-49B4-A7C1-B147422EE7DD}" type="presParOf" srcId="{878C61BF-1A2B-4D47-9276-0605825BCB00}" destId="{D068E955-8442-4D26-BB81-E6020509FB25}" srcOrd="0" destOrd="0" presId="urn:microsoft.com/office/officeart/2008/layout/HorizontalMultiLevelHierarchy"/>
    <dgm:cxn modelId="{F5C96085-11D4-4CB1-AFB7-0D1B7CDFEA31}" type="presParOf" srcId="{878C61BF-1A2B-4D47-9276-0605825BCB00}" destId="{DCB2D632-E136-402C-9D03-62F3B84105FB}" srcOrd="1" destOrd="0" presId="urn:microsoft.com/office/officeart/2008/layout/HorizontalMultiLevelHierarchy"/>
    <dgm:cxn modelId="{9216E3E3-BF7F-41B6-9B5D-96BDA246772F}" type="presParOf" srcId="{AADDF905-859E-4F3D-B3F3-99E26A0E64D8}" destId="{5EF46083-7035-4079-AFE4-21178FC3B1AD}" srcOrd="2" destOrd="0" presId="urn:microsoft.com/office/officeart/2008/layout/HorizontalMultiLevelHierarchy"/>
    <dgm:cxn modelId="{CA38E387-DCF7-4CD6-9EED-129BA658C4A7}" type="presParOf" srcId="{5EF46083-7035-4079-AFE4-21178FC3B1AD}" destId="{63B984B8-B66F-4176-BCEA-7BD1F0442F8F}" srcOrd="0" destOrd="0" presId="urn:microsoft.com/office/officeart/2008/layout/HorizontalMultiLevelHierarchy"/>
    <dgm:cxn modelId="{7904208D-06D6-422C-ACA7-E2D4E35708EC}" type="presParOf" srcId="{AADDF905-859E-4F3D-B3F3-99E26A0E64D8}" destId="{A604DAA7-0322-4534-AA18-1D167D76D20A}" srcOrd="3" destOrd="0" presId="urn:microsoft.com/office/officeart/2008/layout/HorizontalMultiLevelHierarchy"/>
    <dgm:cxn modelId="{A8FF2F41-A6ED-4992-8DEF-62ED0631EAD2}" type="presParOf" srcId="{A604DAA7-0322-4534-AA18-1D167D76D20A}" destId="{AE9B8CDA-6F4F-40F1-83B4-D577CF44DE76}" srcOrd="0" destOrd="0" presId="urn:microsoft.com/office/officeart/2008/layout/HorizontalMultiLevelHierarchy"/>
    <dgm:cxn modelId="{998BF08C-20DE-4DA1-B411-203ED8C0456A}" type="presParOf" srcId="{A604DAA7-0322-4534-AA18-1D167D76D20A}" destId="{C08C56BC-28FD-41BB-BAE1-7C20F8878BB3}" srcOrd="1" destOrd="0" presId="urn:microsoft.com/office/officeart/2008/layout/HorizontalMultiLevelHierarchy"/>
    <dgm:cxn modelId="{0A8FD0BB-F3FE-4BAE-B169-873DF018FFC8}" type="presParOf" srcId="{AADDF905-859E-4F3D-B3F3-99E26A0E64D8}" destId="{CE9249C7-EF17-4DD7-8F11-A13481F0D7C9}" srcOrd="4" destOrd="0" presId="urn:microsoft.com/office/officeart/2008/layout/HorizontalMultiLevelHierarchy"/>
    <dgm:cxn modelId="{E4077BE0-3C40-4D77-915B-87E638241EDC}" type="presParOf" srcId="{CE9249C7-EF17-4DD7-8F11-A13481F0D7C9}" destId="{010F4C43-A3B0-440B-B390-16635E5B8B61}" srcOrd="0" destOrd="0" presId="urn:microsoft.com/office/officeart/2008/layout/HorizontalMultiLevelHierarchy"/>
    <dgm:cxn modelId="{61EAAFD9-F2DD-4B16-A7B9-1504DECE607F}" type="presParOf" srcId="{AADDF905-859E-4F3D-B3F3-99E26A0E64D8}" destId="{EDDA450D-9182-4A67-B31C-6442274D51C7}" srcOrd="5" destOrd="0" presId="urn:microsoft.com/office/officeart/2008/layout/HorizontalMultiLevelHierarchy"/>
    <dgm:cxn modelId="{13176969-5A43-4430-99D6-505953007D3E}" type="presParOf" srcId="{EDDA450D-9182-4A67-B31C-6442274D51C7}" destId="{00210DB9-6FBF-481C-8998-0E21725165A3}" srcOrd="0" destOrd="0" presId="urn:microsoft.com/office/officeart/2008/layout/HorizontalMultiLevelHierarchy"/>
    <dgm:cxn modelId="{D6B1AE24-7574-49DC-BE2C-10AB2146058C}" type="presParOf" srcId="{EDDA450D-9182-4A67-B31C-6442274D51C7}" destId="{7C0A4B0C-A9FA-4D23-A141-9C6D52E47E9F}" srcOrd="1" destOrd="0" presId="urn:microsoft.com/office/officeart/2008/layout/HorizontalMultiLevelHierarchy"/>
    <dgm:cxn modelId="{1A27E8CC-8751-4F60-8C5B-1D2313477C26}" type="presParOf" srcId="{AADDF905-859E-4F3D-B3F3-99E26A0E64D8}" destId="{4395E543-FADA-40D4-B1BE-57A2D74BEF69}" srcOrd="6" destOrd="0" presId="urn:microsoft.com/office/officeart/2008/layout/HorizontalMultiLevelHierarchy"/>
    <dgm:cxn modelId="{CCDA4B14-5F80-4F8E-A30A-E58C82A54E62}" type="presParOf" srcId="{4395E543-FADA-40D4-B1BE-57A2D74BEF69}" destId="{7D197B16-C5F9-478A-A483-22E2010DA04C}" srcOrd="0" destOrd="0" presId="urn:microsoft.com/office/officeart/2008/layout/HorizontalMultiLevelHierarchy"/>
    <dgm:cxn modelId="{15AE3884-ABD1-46BF-99CD-BA2F57EB76B2}" type="presParOf" srcId="{AADDF905-859E-4F3D-B3F3-99E26A0E64D8}" destId="{147D0345-A797-4AC0-81A3-D4F0F20430AC}" srcOrd="7" destOrd="0" presId="urn:microsoft.com/office/officeart/2008/layout/HorizontalMultiLevelHierarchy"/>
    <dgm:cxn modelId="{A7D979F2-1349-4254-AF12-9A7B4E1B41A1}" type="presParOf" srcId="{147D0345-A797-4AC0-81A3-D4F0F20430AC}" destId="{169F4241-BAAA-4F29-9704-E5D58D2654D2}" srcOrd="0" destOrd="0" presId="urn:microsoft.com/office/officeart/2008/layout/HorizontalMultiLevelHierarchy"/>
    <dgm:cxn modelId="{333024C6-6993-4467-98FB-A97F734227BE}" type="presParOf" srcId="{147D0345-A797-4AC0-81A3-D4F0F20430AC}" destId="{FEC499DE-BD63-4809-92A4-1B5D2D2A04B2}" srcOrd="1" destOrd="0" presId="urn:microsoft.com/office/officeart/2008/layout/HorizontalMultiLevelHierarchy"/>
    <dgm:cxn modelId="{FF3F1F42-D586-4969-88B0-BD3CD41654EF}" type="presParOf" srcId="{AADDF905-859E-4F3D-B3F3-99E26A0E64D8}" destId="{F5001165-E6F7-4A40-9990-6CE887B1C6B3}" srcOrd="8" destOrd="0" presId="urn:microsoft.com/office/officeart/2008/layout/HorizontalMultiLevelHierarchy"/>
    <dgm:cxn modelId="{A20A3376-FCEC-465D-AF7E-5CB474AB6AE7}" type="presParOf" srcId="{F5001165-E6F7-4A40-9990-6CE887B1C6B3}" destId="{C541BD75-2F15-4003-8EF3-377F71FA8FC6}" srcOrd="0" destOrd="0" presId="urn:microsoft.com/office/officeart/2008/layout/HorizontalMultiLevelHierarchy"/>
    <dgm:cxn modelId="{3859D10B-F4A9-4C3B-BB01-0F0AEA74DC43}" type="presParOf" srcId="{AADDF905-859E-4F3D-B3F3-99E26A0E64D8}" destId="{BBD562D4-607F-416F-8AF5-63D579E35CA6}" srcOrd="9" destOrd="0" presId="urn:microsoft.com/office/officeart/2008/layout/HorizontalMultiLevelHierarchy"/>
    <dgm:cxn modelId="{73F7048A-4189-47A6-BA61-5D50CBA9DFD3}" type="presParOf" srcId="{BBD562D4-607F-416F-8AF5-63D579E35CA6}" destId="{5E15869D-7CCA-4EF6-84C4-74A2F29D3FC2}" srcOrd="0" destOrd="0" presId="urn:microsoft.com/office/officeart/2008/layout/HorizontalMultiLevelHierarchy"/>
    <dgm:cxn modelId="{E4302DAE-CC77-48C1-BCCB-388A514D06D3}" type="presParOf" srcId="{BBD562D4-607F-416F-8AF5-63D579E35CA6}" destId="{51D9B411-410F-4274-B046-9778F5C4740D}" srcOrd="1" destOrd="0" presId="urn:microsoft.com/office/officeart/2008/layout/HorizontalMultiLevelHierarchy"/>
    <dgm:cxn modelId="{8BA70745-D53F-4A90-BB31-254C0821C8C8}" type="presParOf" srcId="{AADDF905-859E-4F3D-B3F3-99E26A0E64D8}" destId="{581092F8-8A77-4DC3-BE5A-7B57E4A64A8E}" srcOrd="10" destOrd="0" presId="urn:microsoft.com/office/officeart/2008/layout/HorizontalMultiLevelHierarchy"/>
    <dgm:cxn modelId="{B69928E1-1438-46F8-BE46-400E17B25DBF}" type="presParOf" srcId="{581092F8-8A77-4DC3-BE5A-7B57E4A64A8E}" destId="{B0B5B05A-0CD5-40B3-98E7-6EE0B2A02FBF}" srcOrd="0" destOrd="0" presId="urn:microsoft.com/office/officeart/2008/layout/HorizontalMultiLevelHierarchy"/>
    <dgm:cxn modelId="{2F956A01-3A9C-417E-AFD4-B77733F27A02}" type="presParOf" srcId="{AADDF905-859E-4F3D-B3F3-99E26A0E64D8}" destId="{07D8B655-B763-4661-8E5D-00E38D584050}" srcOrd="11" destOrd="0" presId="urn:microsoft.com/office/officeart/2008/layout/HorizontalMultiLevelHierarchy"/>
    <dgm:cxn modelId="{1EDA3B0F-2B84-423E-B181-B71224245113}" type="presParOf" srcId="{07D8B655-B763-4661-8E5D-00E38D584050}" destId="{4DD20737-80A4-4E09-80F4-4B94F2EE3696}" srcOrd="0" destOrd="0" presId="urn:microsoft.com/office/officeart/2008/layout/HorizontalMultiLevelHierarchy"/>
    <dgm:cxn modelId="{536E3CF7-D44B-4F5E-9661-937D5C4B9D69}" type="presParOf" srcId="{07D8B655-B763-4661-8E5D-00E38D584050}" destId="{F24F082E-1B73-453F-8C0B-9860A2F7DBEA}" srcOrd="1" destOrd="0" presId="urn:microsoft.com/office/officeart/2008/layout/HorizontalMultiLevelHierarchy"/>
    <dgm:cxn modelId="{D9398324-B76A-4831-9923-C83787EAB5D9}" type="presParOf" srcId="{E5CFA53D-CCD7-4570-87AB-264015C84FE8}" destId="{4EAFFC1A-64B7-438F-9D13-A82D72A72940}" srcOrd="4" destOrd="0" presId="urn:microsoft.com/office/officeart/2008/layout/HorizontalMultiLevelHierarchy"/>
    <dgm:cxn modelId="{A0E23532-3CA4-4054-96A0-F01968F0CE1D}" type="presParOf" srcId="{4EAFFC1A-64B7-438F-9D13-A82D72A72940}" destId="{9D00D615-C169-4D47-81AD-DBBF77E140A6}" srcOrd="0" destOrd="0" presId="urn:microsoft.com/office/officeart/2008/layout/HorizontalMultiLevelHierarchy"/>
    <dgm:cxn modelId="{20D7A26E-238C-481E-A917-757506D09234}" type="presParOf" srcId="{E5CFA53D-CCD7-4570-87AB-264015C84FE8}" destId="{F9EA5012-E78B-4E79-B29C-4790EA6707A1}" srcOrd="5" destOrd="0" presId="urn:microsoft.com/office/officeart/2008/layout/HorizontalMultiLevelHierarchy"/>
    <dgm:cxn modelId="{B281EE2E-5A7B-428A-A4D6-AE699CA9B3D8}" type="presParOf" srcId="{F9EA5012-E78B-4E79-B29C-4790EA6707A1}" destId="{ADA556E2-A961-4172-845E-5EDA6AED3FC4}" srcOrd="0" destOrd="0" presId="urn:microsoft.com/office/officeart/2008/layout/HorizontalMultiLevelHierarchy"/>
    <dgm:cxn modelId="{96A1CA94-472D-4C15-99F0-8B083F8E9FF0}" type="presParOf" srcId="{F9EA5012-E78B-4E79-B29C-4790EA6707A1}" destId="{FADD6A8A-1C89-488B-9F5B-02D479A5C37E}" srcOrd="1" destOrd="0" presId="urn:microsoft.com/office/officeart/2008/layout/HorizontalMultiLevelHierarchy"/>
    <dgm:cxn modelId="{13A283FA-3BAB-4950-BAE9-C0B0A68D82A1}" type="presParOf" srcId="{E5CFA53D-CCD7-4570-87AB-264015C84FE8}" destId="{19CB78F1-D561-4202-9B49-ECBD5DB552EB}" srcOrd="6" destOrd="0" presId="urn:microsoft.com/office/officeart/2008/layout/HorizontalMultiLevelHierarchy"/>
    <dgm:cxn modelId="{78A90051-DDA3-4DF6-8BAB-D770DE9DE696}" type="presParOf" srcId="{19CB78F1-D561-4202-9B49-ECBD5DB552EB}" destId="{941F860F-7251-4A20-A4A9-3A2DED2CD33A}" srcOrd="0" destOrd="0" presId="urn:microsoft.com/office/officeart/2008/layout/HorizontalMultiLevelHierarchy"/>
    <dgm:cxn modelId="{973F7DE7-21B0-479D-8723-8A5746AAB487}" type="presParOf" srcId="{E5CFA53D-CCD7-4570-87AB-264015C84FE8}" destId="{0AE20CD7-E9EF-4019-B966-2B260AA91C5E}" srcOrd="7" destOrd="0" presId="urn:microsoft.com/office/officeart/2008/layout/HorizontalMultiLevelHierarchy"/>
    <dgm:cxn modelId="{17049F7F-EE3D-471F-B446-4271D2A422B1}" type="presParOf" srcId="{0AE20CD7-E9EF-4019-B966-2B260AA91C5E}" destId="{2C5E3F65-97E1-43BC-832B-084365E4415F}" srcOrd="0" destOrd="0" presId="urn:microsoft.com/office/officeart/2008/layout/HorizontalMultiLevelHierarchy"/>
    <dgm:cxn modelId="{395D7F1B-9402-408C-BC69-3D32E53ED38E}" type="presParOf" srcId="{0AE20CD7-E9EF-4019-B966-2B260AA91C5E}" destId="{585BA4C3-72BF-4A8F-A437-5287D11E521E}" srcOrd="1" destOrd="0" presId="urn:microsoft.com/office/officeart/2008/layout/HorizontalMultiLevelHierarchy"/>
    <dgm:cxn modelId="{D60B59A0-EC44-4876-A94C-6F2A815346C2}" type="presParOf" srcId="{E5CFA53D-CCD7-4570-87AB-264015C84FE8}" destId="{8CE0C0D0-C5B4-4A0C-BE8A-14ED3F796E67}" srcOrd="8" destOrd="0" presId="urn:microsoft.com/office/officeart/2008/layout/HorizontalMultiLevelHierarchy"/>
    <dgm:cxn modelId="{8F4D2572-54DC-4238-A7CB-93C80E486AE9}" type="presParOf" srcId="{8CE0C0D0-C5B4-4A0C-BE8A-14ED3F796E67}" destId="{88C59EEB-D9B3-4190-82EC-EAFDA52D8DAB}" srcOrd="0" destOrd="0" presId="urn:microsoft.com/office/officeart/2008/layout/HorizontalMultiLevelHierarchy"/>
    <dgm:cxn modelId="{58246807-F863-416F-807A-F2522BEB5454}" type="presParOf" srcId="{E5CFA53D-CCD7-4570-87AB-264015C84FE8}" destId="{980F5473-5A11-4AB6-911A-769E942F81B8}" srcOrd="9" destOrd="0" presId="urn:microsoft.com/office/officeart/2008/layout/HorizontalMultiLevelHierarchy"/>
    <dgm:cxn modelId="{B9D54F97-AF24-45AC-BDC3-E1671FD576F7}" type="presParOf" srcId="{980F5473-5A11-4AB6-911A-769E942F81B8}" destId="{51F72D14-5841-4913-A96B-878F5EB7E7EA}" srcOrd="0" destOrd="0" presId="urn:microsoft.com/office/officeart/2008/layout/HorizontalMultiLevelHierarchy"/>
    <dgm:cxn modelId="{49AD5AD0-1C83-4A47-BCE9-A799CC0221D1}" type="presParOf" srcId="{980F5473-5A11-4AB6-911A-769E942F81B8}" destId="{6BA2A821-016F-4B95-B28D-1FE18EE0D825}" srcOrd="1" destOrd="0" presId="urn:microsoft.com/office/officeart/2008/layout/HorizontalMultiLevelHierarchy"/>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E0C0D0-C5B4-4A0C-BE8A-14ED3F796E67}">
      <dsp:nvSpPr>
        <dsp:cNvPr id="0" name=""/>
        <dsp:cNvSpPr/>
      </dsp:nvSpPr>
      <dsp:spPr>
        <a:xfrm>
          <a:off x="725903" y="1109662"/>
          <a:ext cx="148968" cy="567713"/>
        </a:xfrm>
        <a:custGeom>
          <a:avLst/>
          <a:gdLst/>
          <a:ahLst/>
          <a:cxnLst/>
          <a:rect l="0" t="0" r="0" b="0"/>
          <a:pathLst>
            <a:path>
              <a:moveTo>
                <a:pt x="0" y="0"/>
              </a:moveTo>
              <a:lnTo>
                <a:pt x="74484" y="0"/>
              </a:lnTo>
              <a:lnTo>
                <a:pt x="74484" y="567713"/>
              </a:lnTo>
              <a:lnTo>
                <a:pt x="148968" y="5677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785713" y="1378845"/>
        <a:ext cx="29346" cy="29346"/>
      </dsp:txXfrm>
    </dsp:sp>
    <dsp:sp modelId="{19CB78F1-D561-4202-9B49-ECBD5DB552EB}">
      <dsp:nvSpPr>
        <dsp:cNvPr id="0" name=""/>
        <dsp:cNvSpPr/>
      </dsp:nvSpPr>
      <dsp:spPr>
        <a:xfrm>
          <a:off x="725903" y="1109662"/>
          <a:ext cx="148968" cy="283856"/>
        </a:xfrm>
        <a:custGeom>
          <a:avLst/>
          <a:gdLst/>
          <a:ahLst/>
          <a:cxnLst/>
          <a:rect l="0" t="0" r="0" b="0"/>
          <a:pathLst>
            <a:path>
              <a:moveTo>
                <a:pt x="0" y="0"/>
              </a:moveTo>
              <a:lnTo>
                <a:pt x="74484" y="0"/>
              </a:lnTo>
              <a:lnTo>
                <a:pt x="74484" y="283856"/>
              </a:lnTo>
              <a:lnTo>
                <a:pt x="148968" y="2838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792372" y="1243576"/>
        <a:ext cx="16028" cy="16028"/>
      </dsp:txXfrm>
    </dsp:sp>
    <dsp:sp modelId="{4EAFFC1A-64B7-438F-9D13-A82D72A72940}">
      <dsp:nvSpPr>
        <dsp:cNvPr id="0" name=""/>
        <dsp:cNvSpPr/>
      </dsp:nvSpPr>
      <dsp:spPr>
        <a:xfrm>
          <a:off x="725903" y="1063942"/>
          <a:ext cx="148968" cy="91440"/>
        </a:xfrm>
        <a:custGeom>
          <a:avLst/>
          <a:gdLst/>
          <a:ahLst/>
          <a:cxnLst/>
          <a:rect l="0" t="0" r="0" b="0"/>
          <a:pathLst>
            <a:path>
              <a:moveTo>
                <a:pt x="0" y="45720"/>
              </a:moveTo>
              <a:lnTo>
                <a:pt x="148968" y="45720"/>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796663" y="1105938"/>
        <a:ext cx="7448" cy="7448"/>
      </dsp:txXfrm>
    </dsp:sp>
    <dsp:sp modelId="{581092F8-8A77-4DC3-BE5A-7B57E4A64A8E}">
      <dsp:nvSpPr>
        <dsp:cNvPr id="0" name=""/>
        <dsp:cNvSpPr/>
      </dsp:nvSpPr>
      <dsp:spPr>
        <a:xfrm>
          <a:off x="3922489" y="1393519"/>
          <a:ext cx="148968" cy="709642"/>
        </a:xfrm>
        <a:custGeom>
          <a:avLst/>
          <a:gdLst/>
          <a:ahLst/>
          <a:cxnLst/>
          <a:rect l="0" t="0" r="0" b="0"/>
          <a:pathLst>
            <a:path>
              <a:moveTo>
                <a:pt x="0" y="0"/>
              </a:moveTo>
              <a:lnTo>
                <a:pt x="74484" y="0"/>
              </a:lnTo>
              <a:lnTo>
                <a:pt x="74484" y="709642"/>
              </a:lnTo>
              <a:lnTo>
                <a:pt x="148968" y="709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3978845" y="1730212"/>
        <a:ext cx="36255" cy="36255"/>
      </dsp:txXfrm>
    </dsp:sp>
    <dsp:sp modelId="{F5001165-E6F7-4A40-9990-6CE887B1C6B3}">
      <dsp:nvSpPr>
        <dsp:cNvPr id="0" name=""/>
        <dsp:cNvSpPr/>
      </dsp:nvSpPr>
      <dsp:spPr>
        <a:xfrm>
          <a:off x="3922489" y="1393519"/>
          <a:ext cx="148968" cy="425785"/>
        </a:xfrm>
        <a:custGeom>
          <a:avLst/>
          <a:gdLst/>
          <a:ahLst/>
          <a:cxnLst/>
          <a:rect l="0" t="0" r="0" b="0"/>
          <a:pathLst>
            <a:path>
              <a:moveTo>
                <a:pt x="0" y="0"/>
              </a:moveTo>
              <a:lnTo>
                <a:pt x="74484" y="0"/>
              </a:lnTo>
              <a:lnTo>
                <a:pt x="74484" y="425785"/>
              </a:lnTo>
              <a:lnTo>
                <a:pt x="148968" y="4257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3985696" y="1595134"/>
        <a:ext cx="22554" cy="22554"/>
      </dsp:txXfrm>
    </dsp:sp>
    <dsp:sp modelId="{4395E543-FADA-40D4-B1BE-57A2D74BEF69}">
      <dsp:nvSpPr>
        <dsp:cNvPr id="0" name=""/>
        <dsp:cNvSpPr/>
      </dsp:nvSpPr>
      <dsp:spPr>
        <a:xfrm>
          <a:off x="3922489" y="1393519"/>
          <a:ext cx="148968" cy="141928"/>
        </a:xfrm>
        <a:custGeom>
          <a:avLst/>
          <a:gdLst/>
          <a:ahLst/>
          <a:cxnLst/>
          <a:rect l="0" t="0" r="0" b="0"/>
          <a:pathLst>
            <a:path>
              <a:moveTo>
                <a:pt x="0" y="0"/>
              </a:moveTo>
              <a:lnTo>
                <a:pt x="74484" y="0"/>
              </a:lnTo>
              <a:lnTo>
                <a:pt x="74484" y="141928"/>
              </a:lnTo>
              <a:lnTo>
                <a:pt x="148968" y="1419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3991829" y="1459339"/>
        <a:ext cx="10287" cy="10287"/>
      </dsp:txXfrm>
    </dsp:sp>
    <dsp:sp modelId="{CE9249C7-EF17-4DD7-8F11-A13481F0D7C9}">
      <dsp:nvSpPr>
        <dsp:cNvPr id="0" name=""/>
        <dsp:cNvSpPr/>
      </dsp:nvSpPr>
      <dsp:spPr>
        <a:xfrm>
          <a:off x="3922489" y="1251590"/>
          <a:ext cx="148968" cy="141928"/>
        </a:xfrm>
        <a:custGeom>
          <a:avLst/>
          <a:gdLst/>
          <a:ahLst/>
          <a:cxnLst/>
          <a:rect l="0" t="0" r="0" b="0"/>
          <a:pathLst>
            <a:path>
              <a:moveTo>
                <a:pt x="0" y="141928"/>
              </a:moveTo>
              <a:lnTo>
                <a:pt x="74484" y="141928"/>
              </a:lnTo>
              <a:lnTo>
                <a:pt x="74484" y="0"/>
              </a:lnTo>
              <a:lnTo>
                <a:pt x="148968"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3991829" y="1317411"/>
        <a:ext cx="10287" cy="10287"/>
      </dsp:txXfrm>
    </dsp:sp>
    <dsp:sp modelId="{5EF46083-7035-4079-AFE4-21178FC3B1AD}">
      <dsp:nvSpPr>
        <dsp:cNvPr id="0" name=""/>
        <dsp:cNvSpPr/>
      </dsp:nvSpPr>
      <dsp:spPr>
        <a:xfrm>
          <a:off x="3922489" y="967734"/>
          <a:ext cx="148968" cy="425785"/>
        </a:xfrm>
        <a:custGeom>
          <a:avLst/>
          <a:gdLst/>
          <a:ahLst/>
          <a:cxnLst/>
          <a:rect l="0" t="0" r="0" b="0"/>
          <a:pathLst>
            <a:path>
              <a:moveTo>
                <a:pt x="0" y="425785"/>
              </a:moveTo>
              <a:lnTo>
                <a:pt x="74484" y="425785"/>
              </a:lnTo>
              <a:lnTo>
                <a:pt x="74484" y="0"/>
              </a:lnTo>
              <a:lnTo>
                <a:pt x="148968"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3985696" y="1169349"/>
        <a:ext cx="22554" cy="22554"/>
      </dsp:txXfrm>
    </dsp:sp>
    <dsp:sp modelId="{7F9EA4B3-2747-4104-8F40-D9AD376047BE}">
      <dsp:nvSpPr>
        <dsp:cNvPr id="0" name=""/>
        <dsp:cNvSpPr/>
      </dsp:nvSpPr>
      <dsp:spPr>
        <a:xfrm>
          <a:off x="3922489" y="683877"/>
          <a:ext cx="148968" cy="709642"/>
        </a:xfrm>
        <a:custGeom>
          <a:avLst/>
          <a:gdLst/>
          <a:ahLst/>
          <a:cxnLst/>
          <a:rect l="0" t="0" r="0" b="0"/>
          <a:pathLst>
            <a:path>
              <a:moveTo>
                <a:pt x="0" y="709642"/>
              </a:moveTo>
              <a:lnTo>
                <a:pt x="74484" y="709642"/>
              </a:lnTo>
              <a:lnTo>
                <a:pt x="74484" y="0"/>
              </a:lnTo>
              <a:lnTo>
                <a:pt x="148968"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3978845" y="1020570"/>
        <a:ext cx="36255" cy="36255"/>
      </dsp:txXfrm>
    </dsp:sp>
    <dsp:sp modelId="{C2471194-59E3-42F9-B560-036E3A8EAAE5}">
      <dsp:nvSpPr>
        <dsp:cNvPr id="0" name=""/>
        <dsp:cNvSpPr/>
      </dsp:nvSpPr>
      <dsp:spPr>
        <a:xfrm>
          <a:off x="3028681" y="825805"/>
          <a:ext cx="148968" cy="567713"/>
        </a:xfrm>
        <a:custGeom>
          <a:avLst/>
          <a:gdLst/>
          <a:ahLst/>
          <a:cxnLst/>
          <a:rect l="0" t="0" r="0" b="0"/>
          <a:pathLst>
            <a:path>
              <a:moveTo>
                <a:pt x="0" y="0"/>
              </a:moveTo>
              <a:lnTo>
                <a:pt x="74484" y="0"/>
              </a:lnTo>
              <a:lnTo>
                <a:pt x="74484" y="567713"/>
              </a:lnTo>
              <a:lnTo>
                <a:pt x="148968" y="5677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3088491" y="1094989"/>
        <a:ext cx="29346" cy="29346"/>
      </dsp:txXfrm>
    </dsp:sp>
    <dsp:sp modelId="{04CAEE93-92EA-4492-8DD6-6BC380ADC34B}">
      <dsp:nvSpPr>
        <dsp:cNvPr id="0" name=""/>
        <dsp:cNvSpPr/>
      </dsp:nvSpPr>
      <dsp:spPr>
        <a:xfrm>
          <a:off x="3922489" y="258092"/>
          <a:ext cx="148968" cy="141928"/>
        </a:xfrm>
        <a:custGeom>
          <a:avLst/>
          <a:gdLst/>
          <a:ahLst/>
          <a:cxnLst/>
          <a:rect l="0" t="0" r="0" b="0"/>
          <a:pathLst>
            <a:path>
              <a:moveTo>
                <a:pt x="0" y="0"/>
              </a:moveTo>
              <a:lnTo>
                <a:pt x="74484" y="0"/>
              </a:lnTo>
              <a:lnTo>
                <a:pt x="74484" y="141928"/>
              </a:lnTo>
              <a:lnTo>
                <a:pt x="148968" y="1419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3991829" y="323912"/>
        <a:ext cx="10287" cy="10287"/>
      </dsp:txXfrm>
    </dsp:sp>
    <dsp:sp modelId="{6E6E06C4-6714-4A8E-BB38-C71A0982AEA4}">
      <dsp:nvSpPr>
        <dsp:cNvPr id="0" name=""/>
        <dsp:cNvSpPr/>
      </dsp:nvSpPr>
      <dsp:spPr>
        <a:xfrm>
          <a:off x="3922489" y="116163"/>
          <a:ext cx="148968" cy="141928"/>
        </a:xfrm>
        <a:custGeom>
          <a:avLst/>
          <a:gdLst/>
          <a:ahLst/>
          <a:cxnLst/>
          <a:rect l="0" t="0" r="0" b="0"/>
          <a:pathLst>
            <a:path>
              <a:moveTo>
                <a:pt x="0" y="141928"/>
              </a:moveTo>
              <a:lnTo>
                <a:pt x="74484" y="141928"/>
              </a:lnTo>
              <a:lnTo>
                <a:pt x="74484" y="0"/>
              </a:lnTo>
              <a:lnTo>
                <a:pt x="148968"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3991829" y="181983"/>
        <a:ext cx="10287" cy="10287"/>
      </dsp:txXfrm>
    </dsp:sp>
    <dsp:sp modelId="{D95B5A3E-716B-4B22-A783-64B2BB95CC5B}">
      <dsp:nvSpPr>
        <dsp:cNvPr id="0" name=""/>
        <dsp:cNvSpPr/>
      </dsp:nvSpPr>
      <dsp:spPr>
        <a:xfrm>
          <a:off x="3028681" y="258092"/>
          <a:ext cx="148968" cy="567713"/>
        </a:xfrm>
        <a:custGeom>
          <a:avLst/>
          <a:gdLst/>
          <a:ahLst/>
          <a:cxnLst/>
          <a:rect l="0" t="0" r="0" b="0"/>
          <a:pathLst>
            <a:path>
              <a:moveTo>
                <a:pt x="0" y="567713"/>
              </a:moveTo>
              <a:lnTo>
                <a:pt x="74484" y="567713"/>
              </a:lnTo>
              <a:lnTo>
                <a:pt x="74484" y="0"/>
              </a:lnTo>
              <a:lnTo>
                <a:pt x="148968"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3088491" y="527275"/>
        <a:ext cx="29346" cy="29346"/>
      </dsp:txXfrm>
    </dsp:sp>
    <dsp:sp modelId="{D2A1F6CD-2155-46B2-AE00-2115E897D977}">
      <dsp:nvSpPr>
        <dsp:cNvPr id="0" name=""/>
        <dsp:cNvSpPr/>
      </dsp:nvSpPr>
      <dsp:spPr>
        <a:xfrm>
          <a:off x="2134872" y="780085"/>
          <a:ext cx="148968" cy="91440"/>
        </a:xfrm>
        <a:custGeom>
          <a:avLst/>
          <a:gdLst/>
          <a:ahLst/>
          <a:cxnLst/>
          <a:rect l="0" t="0" r="0" b="0"/>
          <a:pathLst>
            <a:path>
              <a:moveTo>
                <a:pt x="0" y="45720"/>
              </a:moveTo>
              <a:lnTo>
                <a:pt x="148968"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2205632" y="822081"/>
        <a:ext cx="7448" cy="7448"/>
      </dsp:txXfrm>
    </dsp:sp>
    <dsp:sp modelId="{250DB038-FF6D-4E53-B13A-383B52C30670}">
      <dsp:nvSpPr>
        <dsp:cNvPr id="0" name=""/>
        <dsp:cNvSpPr/>
      </dsp:nvSpPr>
      <dsp:spPr>
        <a:xfrm>
          <a:off x="725903" y="825805"/>
          <a:ext cx="148968" cy="283856"/>
        </a:xfrm>
        <a:custGeom>
          <a:avLst/>
          <a:gdLst/>
          <a:ahLst/>
          <a:cxnLst/>
          <a:rect l="0" t="0" r="0" b="0"/>
          <a:pathLst>
            <a:path>
              <a:moveTo>
                <a:pt x="0" y="283856"/>
              </a:moveTo>
              <a:lnTo>
                <a:pt x="74484" y="283856"/>
              </a:lnTo>
              <a:lnTo>
                <a:pt x="74484" y="0"/>
              </a:lnTo>
              <a:lnTo>
                <a:pt x="14896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792372" y="959719"/>
        <a:ext cx="16028" cy="16028"/>
      </dsp:txXfrm>
    </dsp:sp>
    <dsp:sp modelId="{4E5C6C25-C664-43F5-94C7-3831936C1397}">
      <dsp:nvSpPr>
        <dsp:cNvPr id="0" name=""/>
        <dsp:cNvSpPr/>
      </dsp:nvSpPr>
      <dsp:spPr>
        <a:xfrm>
          <a:off x="725903" y="541948"/>
          <a:ext cx="148968" cy="567713"/>
        </a:xfrm>
        <a:custGeom>
          <a:avLst/>
          <a:gdLst/>
          <a:ahLst/>
          <a:cxnLst/>
          <a:rect l="0" t="0" r="0" b="0"/>
          <a:pathLst>
            <a:path>
              <a:moveTo>
                <a:pt x="0" y="567713"/>
              </a:moveTo>
              <a:lnTo>
                <a:pt x="74484" y="567713"/>
              </a:lnTo>
              <a:lnTo>
                <a:pt x="74484" y="0"/>
              </a:lnTo>
              <a:lnTo>
                <a:pt x="14896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785713" y="811132"/>
        <a:ext cx="29346" cy="29346"/>
      </dsp:txXfrm>
    </dsp:sp>
    <dsp:sp modelId="{7AB9CF18-9548-4677-8662-BE284A5994AE}">
      <dsp:nvSpPr>
        <dsp:cNvPr id="0" name=""/>
        <dsp:cNvSpPr/>
      </dsp:nvSpPr>
      <dsp:spPr>
        <a:xfrm rot="16200000">
          <a:off x="14767" y="996119"/>
          <a:ext cx="1195186" cy="2270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Example Region</a:t>
          </a:r>
        </a:p>
      </dsp:txBody>
      <dsp:txXfrm>
        <a:off x="14767" y="996119"/>
        <a:ext cx="1195186" cy="227085"/>
      </dsp:txXfrm>
    </dsp:sp>
    <dsp:sp modelId="{8C6BD3F9-1C65-4BBC-8470-643204390EA0}">
      <dsp:nvSpPr>
        <dsp:cNvPr id="0" name=""/>
        <dsp:cNvSpPr/>
      </dsp:nvSpPr>
      <dsp:spPr>
        <a:xfrm>
          <a:off x="874871" y="428406"/>
          <a:ext cx="1260001" cy="2270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Bauxite Mining</a:t>
          </a:r>
        </a:p>
      </dsp:txBody>
      <dsp:txXfrm>
        <a:off x="874871" y="428406"/>
        <a:ext cx="1260001" cy="227085"/>
      </dsp:txXfrm>
    </dsp:sp>
    <dsp:sp modelId="{CBD1F409-4C7D-4DD7-BBC0-3CE258EBCD38}">
      <dsp:nvSpPr>
        <dsp:cNvPr id="0" name=""/>
        <dsp:cNvSpPr/>
      </dsp:nvSpPr>
      <dsp:spPr>
        <a:xfrm>
          <a:off x="874871" y="712262"/>
          <a:ext cx="1260001" cy="2270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Alumina Production</a:t>
          </a:r>
        </a:p>
      </dsp:txBody>
      <dsp:txXfrm>
        <a:off x="874871" y="712262"/>
        <a:ext cx="1260001" cy="227085"/>
      </dsp:txXfrm>
    </dsp:sp>
    <dsp:sp modelId="{2C86FFA5-68CB-49B3-A875-5B6FC9D59677}">
      <dsp:nvSpPr>
        <dsp:cNvPr id="0" name=""/>
        <dsp:cNvSpPr/>
      </dsp:nvSpPr>
      <dsp:spPr>
        <a:xfrm>
          <a:off x="2283840" y="712262"/>
          <a:ext cx="744840" cy="227085"/>
        </a:xfrm>
        <a:prstGeom prst="rect">
          <a:avLst/>
        </a:prstGeom>
        <a:solidFill>
          <a:schemeClr val="tx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dirty="0"/>
            <a:t>WSFP</a:t>
          </a:r>
        </a:p>
      </dsp:txBody>
      <dsp:txXfrm>
        <a:off x="2283840" y="712262"/>
        <a:ext cx="744840" cy="227085"/>
      </dsp:txXfrm>
    </dsp:sp>
    <dsp:sp modelId="{CF8CA573-94AA-40E5-914B-A17BDDE193EA}">
      <dsp:nvSpPr>
        <dsp:cNvPr id="0" name=""/>
        <dsp:cNvSpPr/>
      </dsp:nvSpPr>
      <dsp:spPr>
        <a:xfrm>
          <a:off x="3177649" y="144549"/>
          <a:ext cx="744840" cy="227085"/>
        </a:xfrm>
        <a:prstGeom prst="rect">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dirty="0"/>
            <a:t>Direct</a:t>
          </a:r>
        </a:p>
      </dsp:txBody>
      <dsp:txXfrm>
        <a:off x="3177649" y="144549"/>
        <a:ext cx="744840" cy="227085"/>
      </dsp:txXfrm>
    </dsp:sp>
    <dsp:sp modelId="{FA3A6FF2-CE49-4ACF-A916-CA26949ACD09}">
      <dsp:nvSpPr>
        <dsp:cNvPr id="0" name=""/>
        <dsp:cNvSpPr/>
      </dsp:nvSpPr>
      <dsp:spPr>
        <a:xfrm>
          <a:off x="4071457" y="2620"/>
          <a:ext cx="1439999" cy="227085"/>
        </a:xfrm>
        <a:prstGeom prst="rect">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dirty="0"/>
            <a:t>AWaRe</a:t>
          </a:r>
        </a:p>
      </dsp:txBody>
      <dsp:txXfrm>
        <a:off x="4071457" y="2620"/>
        <a:ext cx="1439999" cy="227085"/>
      </dsp:txXfrm>
    </dsp:sp>
    <dsp:sp modelId="{5DD7149D-BFAF-4177-A14F-E9926E0F35E4}">
      <dsp:nvSpPr>
        <dsp:cNvPr id="0" name=""/>
        <dsp:cNvSpPr/>
      </dsp:nvSpPr>
      <dsp:spPr>
        <a:xfrm>
          <a:off x="4071457" y="286477"/>
          <a:ext cx="1439999" cy="227085"/>
        </a:xfrm>
        <a:prstGeom prst="rect">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dirty="0"/>
            <a:t>Water consumption</a:t>
          </a:r>
        </a:p>
      </dsp:txBody>
      <dsp:txXfrm>
        <a:off x="4071457" y="286477"/>
        <a:ext cx="1439999" cy="227085"/>
      </dsp:txXfrm>
    </dsp:sp>
    <dsp:sp modelId="{B5442F4F-386D-4FF3-B1E3-D7FFB8F5B8DC}">
      <dsp:nvSpPr>
        <dsp:cNvPr id="0" name=""/>
        <dsp:cNvSpPr/>
      </dsp:nvSpPr>
      <dsp:spPr>
        <a:xfrm>
          <a:off x="3177649" y="1279976"/>
          <a:ext cx="744840" cy="227085"/>
        </a:xfrm>
        <a:prstGeom prst="rect">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dirty="0"/>
            <a:t>Indirect</a:t>
          </a:r>
        </a:p>
      </dsp:txBody>
      <dsp:txXfrm>
        <a:off x="3177649" y="1279976"/>
        <a:ext cx="744840" cy="227085"/>
      </dsp:txXfrm>
    </dsp:sp>
    <dsp:sp modelId="{D068E955-8442-4D26-BB81-E6020509FB25}">
      <dsp:nvSpPr>
        <dsp:cNvPr id="0" name=""/>
        <dsp:cNvSpPr/>
      </dsp:nvSpPr>
      <dsp:spPr>
        <a:xfrm>
          <a:off x="4071457" y="570334"/>
          <a:ext cx="1439999" cy="227085"/>
        </a:xfrm>
        <a:prstGeom prst="rect">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AWaRe</a:t>
          </a:r>
          <a:endParaRPr lang="en-US" sz="1100" kern="1200"/>
        </a:p>
      </dsp:txBody>
      <dsp:txXfrm>
        <a:off x="4071457" y="570334"/>
        <a:ext cx="1439999" cy="227085"/>
      </dsp:txXfrm>
    </dsp:sp>
    <dsp:sp modelId="{AE9B8CDA-6F4F-40F1-83B4-D577CF44DE76}">
      <dsp:nvSpPr>
        <dsp:cNvPr id="0" name=""/>
        <dsp:cNvSpPr/>
      </dsp:nvSpPr>
      <dsp:spPr>
        <a:xfrm>
          <a:off x="4071457" y="854191"/>
          <a:ext cx="1439999" cy="227085"/>
        </a:xfrm>
        <a:prstGeom prst="rect">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dirty="0"/>
            <a:t>Ancillary </a:t>
          </a:r>
        </a:p>
      </dsp:txBody>
      <dsp:txXfrm>
        <a:off x="4071457" y="854191"/>
        <a:ext cx="1439999" cy="227085"/>
      </dsp:txXfrm>
    </dsp:sp>
    <dsp:sp modelId="{00210DB9-6FBF-481C-8998-0E21725165A3}">
      <dsp:nvSpPr>
        <dsp:cNvPr id="0" name=""/>
        <dsp:cNvSpPr/>
      </dsp:nvSpPr>
      <dsp:spPr>
        <a:xfrm>
          <a:off x="4071457" y="1138048"/>
          <a:ext cx="1439999" cy="227085"/>
        </a:xfrm>
        <a:prstGeom prst="rect">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AWaRe</a:t>
          </a:r>
          <a:endParaRPr lang="en-US" sz="1100" kern="1200"/>
        </a:p>
      </dsp:txBody>
      <dsp:txXfrm>
        <a:off x="4071457" y="1138048"/>
        <a:ext cx="1439999" cy="227085"/>
      </dsp:txXfrm>
    </dsp:sp>
    <dsp:sp modelId="{169F4241-BAAA-4F29-9704-E5D58D2654D2}">
      <dsp:nvSpPr>
        <dsp:cNvPr id="0" name=""/>
        <dsp:cNvSpPr/>
      </dsp:nvSpPr>
      <dsp:spPr>
        <a:xfrm>
          <a:off x="4071457" y="1421904"/>
          <a:ext cx="1439999" cy="227085"/>
        </a:xfrm>
        <a:prstGeom prst="rect">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dirty="0"/>
            <a:t>Electricity</a:t>
          </a:r>
        </a:p>
      </dsp:txBody>
      <dsp:txXfrm>
        <a:off x="4071457" y="1421904"/>
        <a:ext cx="1439999" cy="227085"/>
      </dsp:txXfrm>
    </dsp:sp>
    <dsp:sp modelId="{5E15869D-7CCA-4EF6-84C4-74A2F29D3FC2}">
      <dsp:nvSpPr>
        <dsp:cNvPr id="0" name=""/>
        <dsp:cNvSpPr/>
      </dsp:nvSpPr>
      <dsp:spPr>
        <a:xfrm>
          <a:off x="4071457" y="1705761"/>
          <a:ext cx="1439999" cy="227085"/>
        </a:xfrm>
        <a:prstGeom prst="rect">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AWaRe</a:t>
          </a:r>
          <a:endParaRPr lang="en-US" sz="1100" kern="1200"/>
        </a:p>
      </dsp:txBody>
      <dsp:txXfrm>
        <a:off x="4071457" y="1705761"/>
        <a:ext cx="1439999" cy="227085"/>
      </dsp:txXfrm>
    </dsp:sp>
    <dsp:sp modelId="{4DD20737-80A4-4E09-80F4-4B94F2EE3696}">
      <dsp:nvSpPr>
        <dsp:cNvPr id="0" name=""/>
        <dsp:cNvSpPr/>
      </dsp:nvSpPr>
      <dsp:spPr>
        <a:xfrm>
          <a:off x="4071457" y="1989618"/>
          <a:ext cx="1439999" cy="227085"/>
        </a:xfrm>
        <a:prstGeom prst="rect">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dirty="0"/>
            <a:t>Fuel</a:t>
          </a:r>
        </a:p>
      </dsp:txBody>
      <dsp:txXfrm>
        <a:off x="4071457" y="1989618"/>
        <a:ext cx="1439999" cy="227085"/>
      </dsp:txXfrm>
    </dsp:sp>
    <dsp:sp modelId="{ADA556E2-A961-4172-845E-5EDA6AED3FC4}">
      <dsp:nvSpPr>
        <dsp:cNvPr id="0" name=""/>
        <dsp:cNvSpPr/>
      </dsp:nvSpPr>
      <dsp:spPr>
        <a:xfrm>
          <a:off x="874871" y="996119"/>
          <a:ext cx="1260001" cy="2270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Anode/Paste Producion </a:t>
          </a:r>
        </a:p>
      </dsp:txBody>
      <dsp:txXfrm>
        <a:off x="874871" y="996119"/>
        <a:ext cx="1260001" cy="227085"/>
      </dsp:txXfrm>
    </dsp:sp>
    <dsp:sp modelId="{2C5E3F65-97E1-43BC-832B-084365E4415F}">
      <dsp:nvSpPr>
        <dsp:cNvPr id="0" name=""/>
        <dsp:cNvSpPr/>
      </dsp:nvSpPr>
      <dsp:spPr>
        <a:xfrm>
          <a:off x="874871" y="1279976"/>
          <a:ext cx="1260001" cy="2270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Electrolysis</a:t>
          </a:r>
        </a:p>
      </dsp:txBody>
      <dsp:txXfrm>
        <a:off x="874871" y="1279976"/>
        <a:ext cx="1260001" cy="227085"/>
      </dsp:txXfrm>
    </dsp:sp>
    <dsp:sp modelId="{51F72D14-5841-4913-A96B-878F5EB7E7EA}">
      <dsp:nvSpPr>
        <dsp:cNvPr id="0" name=""/>
        <dsp:cNvSpPr/>
      </dsp:nvSpPr>
      <dsp:spPr>
        <a:xfrm>
          <a:off x="874871" y="1563833"/>
          <a:ext cx="1260001" cy="2270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Ingot Casting</a:t>
          </a:r>
        </a:p>
      </dsp:txBody>
      <dsp:txXfrm>
        <a:off x="874871" y="1563833"/>
        <a:ext cx="1260001" cy="22708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0.15097</cdr:x>
      <cdr:y>0.66773</cdr:y>
    </cdr:from>
    <cdr:to>
      <cdr:x>0.24513</cdr:x>
      <cdr:y>0.77316</cdr:y>
    </cdr:to>
    <cdr:sp macro="" textlink="">
      <cdr:nvSpPr>
        <cdr:cNvPr id="2" name="TextBox 1">
          <a:extLst xmlns:a="http://schemas.openxmlformats.org/drawingml/2006/main">
            <a:ext uri="{FF2B5EF4-FFF2-40B4-BE49-F238E27FC236}">
              <a16:creationId xmlns:a16="http://schemas.microsoft.com/office/drawing/2014/main" id="{5262EF97-00F3-B0A3-A819-FE3F59E08CF3}"/>
            </a:ext>
          </a:extLst>
        </cdr:cNvPr>
        <cdr:cNvSpPr txBox="1"/>
      </cdr:nvSpPr>
      <cdr:spPr>
        <a:xfrm xmlns:a="http://schemas.openxmlformats.org/drawingml/2006/main">
          <a:off x="885825" y="1990724"/>
          <a:ext cx="552450" cy="3143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0.04</a:t>
          </a:r>
        </a:p>
      </cdr:txBody>
    </cdr:sp>
  </cdr:relSizeAnchor>
  <cdr:relSizeAnchor xmlns:cdr="http://schemas.openxmlformats.org/drawingml/2006/chartDrawing">
    <cdr:from>
      <cdr:x>0.85444</cdr:x>
      <cdr:y>0.67519</cdr:y>
    </cdr:from>
    <cdr:to>
      <cdr:x>0.94859</cdr:x>
      <cdr:y>0.78062</cdr:y>
    </cdr:to>
    <cdr:sp macro="" textlink="">
      <cdr:nvSpPr>
        <cdr:cNvPr id="3" name="TextBox 1">
          <a:extLst xmlns:a="http://schemas.openxmlformats.org/drawingml/2006/main">
            <a:ext uri="{FF2B5EF4-FFF2-40B4-BE49-F238E27FC236}">
              <a16:creationId xmlns:a16="http://schemas.microsoft.com/office/drawing/2014/main" id="{0C43FFEE-F087-60E3-4FC6-4032BE7EA90E}"/>
            </a:ext>
          </a:extLst>
        </cdr:cNvPr>
        <cdr:cNvSpPr txBox="1"/>
      </cdr:nvSpPr>
      <cdr:spPr>
        <a:xfrm xmlns:a="http://schemas.openxmlformats.org/drawingml/2006/main">
          <a:off x="5013325" y="2012950"/>
          <a:ext cx="552450" cy="3143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100"/>
            <a:t>0.1</a:t>
          </a:r>
        </a:p>
      </cdr:txBody>
    </cdr:sp>
  </cdr:relSizeAnchor>
  <cdr:relSizeAnchor xmlns:cdr="http://schemas.openxmlformats.org/drawingml/2006/chartDrawing">
    <cdr:from>
      <cdr:x>0.50866</cdr:x>
      <cdr:y>0.64004</cdr:y>
    </cdr:from>
    <cdr:to>
      <cdr:x>0.60281</cdr:x>
      <cdr:y>0.74547</cdr:y>
    </cdr:to>
    <cdr:sp macro="" textlink="">
      <cdr:nvSpPr>
        <cdr:cNvPr id="4" name="TextBox 1">
          <a:extLst xmlns:a="http://schemas.openxmlformats.org/drawingml/2006/main">
            <a:ext uri="{FF2B5EF4-FFF2-40B4-BE49-F238E27FC236}">
              <a16:creationId xmlns:a16="http://schemas.microsoft.com/office/drawing/2014/main" id="{0C43FFEE-F087-60E3-4FC6-4032BE7EA90E}"/>
            </a:ext>
          </a:extLst>
        </cdr:cNvPr>
        <cdr:cNvSpPr txBox="1"/>
      </cdr:nvSpPr>
      <cdr:spPr>
        <a:xfrm xmlns:a="http://schemas.openxmlformats.org/drawingml/2006/main">
          <a:off x="2984500" y="1908175"/>
          <a:ext cx="552450" cy="3143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100"/>
            <a:t>0.9</a:t>
          </a:r>
        </a:p>
      </cdr:txBody>
    </cdr:sp>
  </cdr:relSizeAnchor>
  <cdr:relSizeAnchor xmlns:cdr="http://schemas.openxmlformats.org/drawingml/2006/chartDrawing">
    <cdr:from>
      <cdr:x>0.33171</cdr:x>
      <cdr:y>0.57934</cdr:y>
    </cdr:from>
    <cdr:to>
      <cdr:x>0.42587</cdr:x>
      <cdr:y>0.68477</cdr:y>
    </cdr:to>
    <cdr:sp macro="" textlink="">
      <cdr:nvSpPr>
        <cdr:cNvPr id="5" name="TextBox 1">
          <a:extLst xmlns:a="http://schemas.openxmlformats.org/drawingml/2006/main">
            <a:ext uri="{FF2B5EF4-FFF2-40B4-BE49-F238E27FC236}">
              <a16:creationId xmlns:a16="http://schemas.microsoft.com/office/drawing/2014/main" id="{0C43FFEE-F087-60E3-4FC6-4032BE7EA90E}"/>
            </a:ext>
          </a:extLst>
        </cdr:cNvPr>
        <cdr:cNvSpPr txBox="1"/>
      </cdr:nvSpPr>
      <cdr:spPr>
        <a:xfrm xmlns:a="http://schemas.openxmlformats.org/drawingml/2006/main">
          <a:off x="1946275" y="1727200"/>
          <a:ext cx="552450" cy="3143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100"/>
            <a:t>2.7</a:t>
          </a:r>
        </a:p>
      </cdr:txBody>
    </cdr:sp>
  </cdr:relSizeAnchor>
  <cdr:relSizeAnchor xmlns:cdr="http://schemas.openxmlformats.org/drawingml/2006/chartDrawing">
    <cdr:from>
      <cdr:x>0.67587</cdr:x>
      <cdr:y>0.11928</cdr:y>
    </cdr:from>
    <cdr:to>
      <cdr:x>0.77002</cdr:x>
      <cdr:y>0.22471</cdr:y>
    </cdr:to>
    <cdr:sp macro="" textlink="">
      <cdr:nvSpPr>
        <cdr:cNvPr id="6" name="TextBox 1">
          <a:extLst xmlns:a="http://schemas.openxmlformats.org/drawingml/2006/main">
            <a:ext uri="{FF2B5EF4-FFF2-40B4-BE49-F238E27FC236}">
              <a16:creationId xmlns:a16="http://schemas.microsoft.com/office/drawing/2014/main" id="{E12DFA6F-1120-1482-541C-42154C8DBA59}"/>
            </a:ext>
          </a:extLst>
        </cdr:cNvPr>
        <cdr:cNvSpPr txBox="1"/>
      </cdr:nvSpPr>
      <cdr:spPr>
        <a:xfrm xmlns:a="http://schemas.openxmlformats.org/drawingml/2006/main">
          <a:off x="3965598" y="355598"/>
          <a:ext cx="552416" cy="31432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100"/>
            <a:t>13.1</a:t>
          </a:r>
        </a:p>
      </cdr:txBody>
    </cdr:sp>
  </cdr:relSizeAnchor>
</c:userShapes>
</file>

<file path=word/theme/theme1.xml><?xml version="1.0" encoding="utf-8"?>
<a:theme xmlns:a="http://schemas.openxmlformats.org/drawingml/2006/main" name="Office Theme">
  <a:themeElements>
    <a:clrScheme name="World Aluminium">
      <a:dk1>
        <a:srgbClr val="454545"/>
      </a:dk1>
      <a:lt1>
        <a:srgbClr val="FFFFFF"/>
      </a:lt1>
      <a:dk2>
        <a:srgbClr val="AECCCD"/>
      </a:dk2>
      <a:lt2>
        <a:srgbClr val="FFFFFF"/>
      </a:lt2>
      <a:accent1>
        <a:srgbClr val="739FAA"/>
      </a:accent1>
      <a:accent2>
        <a:srgbClr val="C6D997"/>
      </a:accent2>
      <a:accent3>
        <a:srgbClr val="D3741F"/>
      </a:accent3>
      <a:accent4>
        <a:srgbClr val="454545"/>
      </a:accent4>
      <a:accent5>
        <a:srgbClr val="DFB521"/>
      </a:accent5>
      <a:accent6>
        <a:srgbClr val="90421B"/>
      </a:accent6>
      <a:hlink>
        <a:srgbClr val="97A475"/>
      </a:hlink>
      <a:folHlink>
        <a:srgbClr val="E4DD5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8C9E103A683CE442909C869E3E291ADB" ma:contentTypeVersion="20" ma:contentTypeDescription="Create a new document." ma:contentTypeScope="" ma:versionID="a4b10bbb96fdc4022e4ab22de067dadc">
  <xsd:schema xmlns:xsd="http://www.w3.org/2001/XMLSchema" xmlns:xs="http://www.w3.org/2001/XMLSchema" xmlns:p="http://schemas.microsoft.com/office/2006/metadata/properties" xmlns:ns2="29cdf569-9d8c-4421-86e0-32b985bc86bf" xmlns:ns3="2f2abda8-0a71-4944-838e-07c8725f8563" targetNamespace="http://schemas.microsoft.com/office/2006/metadata/properties" ma:root="true" ma:fieldsID="3d96f40013feab8f536c731302f3d317" ns2:_="" ns3:_="">
    <xsd:import namespace="29cdf569-9d8c-4421-86e0-32b985bc86bf"/>
    <xsd:import namespace="2f2abda8-0a71-4944-838e-07c8725f856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cdf569-9d8c-4421-86e0-32b985bc86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3a22b3ad-301a-47ad-8f2d-1c1eede6acb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f2abda8-0a71-4944-838e-07c8725f856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6de949c-0a47-4ee5-8601-11c78d09e0a2}" ma:internalName="TaxCatchAll" ma:showField="CatchAllData" ma:web="2f2abda8-0a71-4944-838e-07c8725f85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9cdf569-9d8c-4421-86e0-32b985bc86bf">
      <Terms xmlns="http://schemas.microsoft.com/office/infopath/2007/PartnerControls"/>
    </lcf76f155ced4ddcb4097134ff3c332f>
    <TaxCatchAll xmlns="2f2abda8-0a71-4944-838e-07c8725f8563" xsi:nil="true"/>
  </documentManagement>
</p:properties>
</file>

<file path=customXml/itemProps1.xml><?xml version="1.0" encoding="utf-8"?>
<ds:datastoreItem xmlns:ds="http://schemas.openxmlformats.org/officeDocument/2006/customXml" ds:itemID="{239F4CA5-4C54-473C-957D-222F6542B378}">
  <ds:schemaRefs>
    <ds:schemaRef ds:uri="http://schemas.openxmlformats.org/officeDocument/2006/bibliography"/>
  </ds:schemaRefs>
</ds:datastoreItem>
</file>

<file path=customXml/itemProps2.xml><?xml version="1.0" encoding="utf-8"?>
<ds:datastoreItem xmlns:ds="http://schemas.openxmlformats.org/officeDocument/2006/customXml" ds:itemID="{7E7E9FEE-ABF1-484C-8A02-6EAA92B43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cdf569-9d8c-4421-86e0-32b985bc86bf"/>
    <ds:schemaRef ds:uri="2f2abda8-0a71-4944-838e-07c8725f8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048B5E-DA30-4755-A51D-86959286AFD5}">
  <ds:schemaRefs>
    <ds:schemaRef ds:uri="http://schemas.microsoft.com/sharepoint/v3/contenttype/forms"/>
  </ds:schemaRefs>
</ds:datastoreItem>
</file>

<file path=customXml/itemProps4.xml><?xml version="1.0" encoding="utf-8"?>
<ds:datastoreItem xmlns:ds="http://schemas.openxmlformats.org/officeDocument/2006/customXml" ds:itemID="{6E793876-B819-4392-9640-F8CD5393BF4A}">
  <ds:schemaRefs>
    <ds:schemaRef ds:uri="http://schemas.microsoft.com/office/2006/metadata/properties"/>
    <ds:schemaRef ds:uri="http://schemas.microsoft.com/office/infopath/2007/PartnerControls"/>
    <ds:schemaRef ds:uri="29cdf569-9d8c-4421-86e0-32b985bc86bf"/>
    <ds:schemaRef ds:uri="2f2abda8-0a71-4944-838e-07c8725f8563"/>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46</Pages>
  <Words>11035</Words>
  <Characters>64167</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U-Dox</Company>
  <LinksUpToDate>false</LinksUpToDate>
  <CharactersWithSpaces>75052</CharactersWithSpaces>
  <SharedDoc>false</SharedDoc>
  <HLinks>
    <vt:vector size="120" baseType="variant">
      <vt:variant>
        <vt:i4>4784145</vt:i4>
      </vt:variant>
      <vt:variant>
        <vt:i4>168</vt:i4>
      </vt:variant>
      <vt:variant>
        <vt:i4>0</vt:i4>
      </vt:variant>
      <vt:variant>
        <vt:i4>5</vt:i4>
      </vt:variant>
      <vt:variant>
        <vt:lpwstr>http://www.springerlink.com/content/106870q6x016q028/?p=9bfb9e06ab70491492db9bf25fde3d7d&amp;pi=0&amp;MUD=MP</vt:lpwstr>
      </vt:variant>
      <vt:variant>
        <vt:lpwstr/>
      </vt:variant>
      <vt:variant>
        <vt:i4>3866680</vt:i4>
      </vt:variant>
      <vt:variant>
        <vt:i4>165</vt:i4>
      </vt:variant>
      <vt:variant>
        <vt:i4>0</vt:i4>
      </vt:variant>
      <vt:variant>
        <vt:i4>5</vt:i4>
      </vt:variant>
      <vt:variant>
        <vt:lpwstr>http://www.world-aluminium.org/</vt:lpwstr>
      </vt:variant>
      <vt:variant>
        <vt:lpwstr/>
      </vt:variant>
      <vt:variant>
        <vt:i4>655360</vt:i4>
      </vt:variant>
      <vt:variant>
        <vt:i4>162</vt:i4>
      </vt:variant>
      <vt:variant>
        <vt:i4>0</vt:i4>
      </vt:variant>
      <vt:variant>
        <vt:i4>5</vt:i4>
      </vt:variant>
      <vt:variant>
        <vt:lpwstr>http://www.alueurope.eu/</vt:lpwstr>
      </vt:variant>
      <vt:variant>
        <vt:lpwstr/>
      </vt:variant>
      <vt:variant>
        <vt:i4>3604510</vt:i4>
      </vt:variant>
      <vt:variant>
        <vt:i4>159</vt:i4>
      </vt:variant>
      <vt:variant>
        <vt:i4>0</vt:i4>
      </vt:variant>
      <vt:variant>
        <vt:i4>5</vt:i4>
      </vt:variant>
      <vt:variant>
        <vt:lpwstr>http://www.alueurope.eu/wp-content/uploads/2011/08/EAA_Environmental_profile_report-May081.pdf</vt:lpwstr>
      </vt:variant>
      <vt:variant>
        <vt:lpwstr/>
      </vt:variant>
      <vt:variant>
        <vt:i4>852050</vt:i4>
      </vt:variant>
      <vt:variant>
        <vt:i4>156</vt:i4>
      </vt:variant>
      <vt:variant>
        <vt:i4>0</vt:i4>
      </vt:variant>
      <vt:variant>
        <vt:i4>5</vt:i4>
      </vt:variant>
      <vt:variant>
        <vt:lpwstr>http://www.springerlink.com/content/41t2g6616n371qp1/?MUD=MP</vt:lpwstr>
      </vt:variant>
      <vt:variant>
        <vt:lpwstr/>
      </vt:variant>
      <vt:variant>
        <vt:i4>5242970</vt:i4>
      </vt:variant>
      <vt:variant>
        <vt:i4>153</vt:i4>
      </vt:variant>
      <vt:variant>
        <vt:i4>0</vt:i4>
      </vt:variant>
      <vt:variant>
        <vt:i4>5</vt:i4>
      </vt:variant>
      <vt:variant>
        <vt:lpwstr>http://www.aluminum.org/</vt:lpwstr>
      </vt:variant>
      <vt:variant>
        <vt:lpwstr/>
      </vt:variant>
      <vt:variant>
        <vt:i4>3801122</vt:i4>
      </vt:variant>
      <vt:variant>
        <vt:i4>150</vt:i4>
      </vt:variant>
      <vt:variant>
        <vt:i4>0</vt:i4>
      </vt:variant>
      <vt:variant>
        <vt:i4>5</vt:i4>
      </vt:variant>
      <vt:variant>
        <vt:lpwstr>http://primary.world-aluminium.org/</vt:lpwstr>
      </vt:variant>
      <vt:variant>
        <vt:lpwstr/>
      </vt:variant>
      <vt:variant>
        <vt:i4>3801122</vt:i4>
      </vt:variant>
      <vt:variant>
        <vt:i4>147</vt:i4>
      </vt:variant>
      <vt:variant>
        <vt:i4>0</vt:i4>
      </vt:variant>
      <vt:variant>
        <vt:i4>5</vt:i4>
      </vt:variant>
      <vt:variant>
        <vt:lpwstr>http://primary.world-aluminium.org/</vt:lpwstr>
      </vt:variant>
      <vt:variant>
        <vt:lpwstr/>
      </vt:variant>
      <vt:variant>
        <vt:i4>3801122</vt:i4>
      </vt:variant>
      <vt:variant>
        <vt:i4>144</vt:i4>
      </vt:variant>
      <vt:variant>
        <vt:i4>0</vt:i4>
      </vt:variant>
      <vt:variant>
        <vt:i4>5</vt:i4>
      </vt:variant>
      <vt:variant>
        <vt:lpwstr>http://primary.world-aluminium.org/</vt:lpwstr>
      </vt:variant>
      <vt:variant>
        <vt:lpwstr/>
      </vt:variant>
      <vt:variant>
        <vt:i4>2097186</vt:i4>
      </vt:variant>
      <vt:variant>
        <vt:i4>141</vt:i4>
      </vt:variant>
      <vt:variant>
        <vt:i4>0</vt:i4>
      </vt:variant>
      <vt:variant>
        <vt:i4>5</vt:i4>
      </vt:variant>
      <vt:variant>
        <vt:lpwstr>http://bauxite.world-aluminium.org/</vt:lpwstr>
      </vt:variant>
      <vt:variant>
        <vt:lpwstr/>
      </vt:variant>
      <vt:variant>
        <vt:i4>2097186</vt:i4>
      </vt:variant>
      <vt:variant>
        <vt:i4>138</vt:i4>
      </vt:variant>
      <vt:variant>
        <vt:i4>0</vt:i4>
      </vt:variant>
      <vt:variant>
        <vt:i4>5</vt:i4>
      </vt:variant>
      <vt:variant>
        <vt:lpwstr>http://bauxite.world-aluminium.org/</vt:lpwstr>
      </vt:variant>
      <vt:variant>
        <vt:lpwstr/>
      </vt:variant>
      <vt:variant>
        <vt:i4>7864419</vt:i4>
      </vt:variant>
      <vt:variant>
        <vt:i4>135</vt:i4>
      </vt:variant>
      <vt:variant>
        <vt:i4>0</vt:i4>
      </vt:variant>
      <vt:variant>
        <vt:i4>5</vt:i4>
      </vt:variant>
      <vt:variant>
        <vt:lpwstr>http://world-aluminium.org/publications/tagged/PFC/</vt:lpwstr>
      </vt:variant>
      <vt:variant>
        <vt:lpwstr/>
      </vt:variant>
      <vt:variant>
        <vt:i4>6881313</vt:i4>
      </vt:variant>
      <vt:variant>
        <vt:i4>129</vt:i4>
      </vt:variant>
      <vt:variant>
        <vt:i4>0</vt:i4>
      </vt:variant>
      <vt:variant>
        <vt:i4>5</vt:i4>
      </vt:variant>
      <vt:variant>
        <vt:lpwstr>http://www.world-aluminium.org/statistics/primary-aluminium-smelting-energy-intensity/</vt:lpwstr>
      </vt:variant>
      <vt:variant>
        <vt:lpwstr/>
      </vt:variant>
      <vt:variant>
        <vt:i4>4128848</vt:i4>
      </vt:variant>
      <vt:variant>
        <vt:i4>93</vt:i4>
      </vt:variant>
      <vt:variant>
        <vt:i4>0</vt:i4>
      </vt:variant>
      <vt:variant>
        <vt:i4>5</vt:i4>
      </vt:variant>
      <vt:variant>
        <vt:lpwstr>http://world-aluminium.org/media/filer_public/2013/01/15/pfc001.pdf</vt:lpwstr>
      </vt:variant>
      <vt:variant>
        <vt:lpwstr/>
      </vt:variant>
      <vt:variant>
        <vt:i4>2883669</vt:i4>
      </vt:variant>
      <vt:variant>
        <vt:i4>90</vt:i4>
      </vt:variant>
      <vt:variant>
        <vt:i4>0</vt:i4>
      </vt:variant>
      <vt:variant>
        <vt:i4>5</vt:i4>
      </vt:variant>
      <vt:variant>
        <vt:lpwstr>http://world-aluminium.org/media/filer_public/2013/01/15/iai_form_es001d.pdf</vt:lpwstr>
      </vt:variant>
      <vt:variant>
        <vt:lpwstr/>
      </vt:variant>
      <vt:variant>
        <vt:i4>2687061</vt:i4>
      </vt:variant>
      <vt:variant>
        <vt:i4>87</vt:i4>
      </vt:variant>
      <vt:variant>
        <vt:i4>0</vt:i4>
      </vt:variant>
      <vt:variant>
        <vt:i4>5</vt:i4>
      </vt:variant>
      <vt:variant>
        <vt:lpwstr>http://world-aluminium.org/media/filer_public/2013/01/15/iai_form_es001a.pdf</vt:lpwstr>
      </vt:variant>
      <vt:variant>
        <vt:lpwstr/>
      </vt:variant>
      <vt:variant>
        <vt:i4>1310831</vt:i4>
      </vt:variant>
      <vt:variant>
        <vt:i4>84</vt:i4>
      </vt:variant>
      <vt:variant>
        <vt:i4>0</vt:i4>
      </vt:variant>
      <vt:variant>
        <vt:i4>5</vt:i4>
      </vt:variant>
      <vt:variant>
        <vt:lpwstr>http://world-aluminium.org/media/filer_public/2013/01/15/iai_form_es001.pdf</vt:lpwstr>
      </vt:variant>
      <vt:variant>
        <vt:lpwstr/>
      </vt:variant>
      <vt:variant>
        <vt:i4>1376367</vt:i4>
      </vt:variant>
      <vt:variant>
        <vt:i4>81</vt:i4>
      </vt:variant>
      <vt:variant>
        <vt:i4>0</vt:i4>
      </vt:variant>
      <vt:variant>
        <vt:i4>5</vt:i4>
      </vt:variant>
      <vt:variant>
        <vt:lpwstr>http://world-aluminium.org/media/filer_public/2013/01/15/iai_form_es011.pdf</vt:lpwstr>
      </vt:variant>
      <vt:variant>
        <vt:lpwstr/>
      </vt:variant>
      <vt:variant>
        <vt:i4>2752553</vt:i4>
      </vt:variant>
      <vt:variant>
        <vt:i4>78</vt:i4>
      </vt:variant>
      <vt:variant>
        <vt:i4>0</vt:i4>
      </vt:variant>
      <vt:variant>
        <vt:i4>5</vt:i4>
      </vt:variant>
      <vt:variant>
        <vt:lpwstr>http://world-aluminium.org/media/filer_public/2013/01/15/2010_lci_survey_questionnaire.xls</vt:lpwstr>
      </vt:variant>
      <vt:variant>
        <vt:lpwstr/>
      </vt:variant>
      <vt:variant>
        <vt:i4>5701645</vt:i4>
      </vt:variant>
      <vt:variant>
        <vt:i4>75</vt:i4>
      </vt:variant>
      <vt:variant>
        <vt:i4>0</vt:i4>
      </vt:variant>
      <vt:variant>
        <vt:i4>5</vt:i4>
      </vt:variant>
      <vt:variant>
        <vt:lpwstr>http://www.world-aluminium.org/statistics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Hearne</dc:creator>
  <cp:keywords/>
  <dc:description/>
  <cp:lastModifiedBy>Linlin Wu</cp:lastModifiedBy>
  <cp:revision>23</cp:revision>
  <cp:lastPrinted>2012-04-11T10:00:00Z</cp:lastPrinted>
  <dcterms:created xsi:type="dcterms:W3CDTF">2022-11-23T14:13:00Z</dcterms:created>
  <dcterms:modified xsi:type="dcterms:W3CDTF">2022-11-23T16:25:00Z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0x0101008C9E103A683CE442909C869E3E291ADB</vt:lpwstr>
  </property>
  <property fmtid="{D5CDD505-2E9C-101B-9397-08002B2CF9AE}" pid="3" name="MediaServiceImageTags">
    <vt:lpwstr/>
  </property>
</Properties>
</file>