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70A" w:rsidRDefault="00DE170A"/>
    <w:p w:rsidR="00DE170A" w:rsidRDefault="00DE170A"/>
    <w:p w:rsidR="00DE170A" w:rsidRDefault="00DE170A"/>
    <w:p w:rsidR="00DE170A" w:rsidRDefault="00DE170A"/>
    <w:p w:rsidR="00DE170A" w:rsidRDefault="00000000">
      <w:pPr>
        <w:spacing w:after="120"/>
        <w:jc w:val="center"/>
      </w:pPr>
      <w:r>
        <w:rPr>
          <w:b/>
          <w:bCs/>
          <w:color w:val="1F4E79"/>
          <w:sz w:val="40"/>
          <w:szCs w:val="40"/>
        </w:rPr>
        <w:t>PUBLIC DIGITAL PLATFORM RISK ASSESSMENT</w:t>
      </w:r>
    </w:p>
    <w:p w:rsidR="00DE170A" w:rsidRDefault="00000000">
      <w:pPr>
        <w:spacing w:after="80"/>
        <w:jc w:val="center"/>
      </w:pPr>
      <w:r>
        <w:rPr>
          <w:color w:val="2E75B6"/>
          <w:sz w:val="28"/>
          <w:szCs w:val="28"/>
        </w:rPr>
        <w:t>National Payments Corporation of India (NPCI)</w:t>
      </w:r>
    </w:p>
    <w:p w:rsidR="00DE170A" w:rsidRDefault="00000000">
      <w:pPr>
        <w:spacing w:after="60"/>
        <w:jc w:val="center"/>
      </w:pPr>
      <w:r>
        <w:rPr>
          <w:i/>
          <w:iCs/>
          <w:color w:val="888888"/>
          <w:sz w:val="24"/>
          <w:szCs w:val="24"/>
        </w:rPr>
        <w:t>npci.org.in</w:t>
      </w:r>
    </w:p>
    <w:p w:rsidR="00DE170A" w:rsidRDefault="00DE170A"/>
    <w:p w:rsidR="00DE170A" w:rsidRDefault="00000000">
      <w:pPr>
        <w:pBdr>
          <w:top w:val="single" w:sz="8" w:space="4" w:color="2E75B6"/>
          <w:bottom w:val="single" w:sz="8" w:space="4" w:color="2E75B6"/>
        </w:pBdr>
        <w:spacing w:before="80" w:after="80"/>
        <w:jc w:val="center"/>
      </w:pPr>
      <w:r>
        <w:rPr>
          <w:b/>
          <w:bCs/>
          <w:color w:val="2E75B6"/>
          <w:sz w:val="22"/>
          <w:szCs w:val="22"/>
        </w:rPr>
        <w:t>Qualitative  —  Non-Intrusive  —  Self-Driven</w:t>
      </w:r>
    </w:p>
    <w:p w:rsidR="00DE170A" w:rsidRDefault="00DE170A"/>
    <w:p w:rsidR="00DE170A" w:rsidRDefault="00DE170A"/>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3230"/>
      </w:tblGrid>
      <w:tr w:rsidR="00DE170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rsidR="00DE170A" w:rsidRDefault="00000000">
            <w:r>
              <w:rPr>
                <w:b/>
                <w:bCs/>
                <w:color w:val="1F4E79"/>
                <w:sz w:val="18"/>
                <w:szCs w:val="18"/>
              </w:rPr>
              <w:t>Date</w:t>
            </w:r>
          </w:p>
        </w:tc>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rsidR="00DE170A" w:rsidRDefault="00000000">
            <w:r>
              <w:rPr>
                <w:sz w:val="18"/>
                <w:szCs w:val="18"/>
              </w:rPr>
              <w:t>April 4, 2026</w:t>
            </w:r>
          </w:p>
        </w:tc>
      </w:tr>
      <w:tr w:rsidR="00DE170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rsidR="00DE170A" w:rsidRDefault="00000000">
            <w:r>
              <w:rPr>
                <w:b/>
                <w:bCs/>
                <w:color w:val="1F4E79"/>
                <w:sz w:val="18"/>
                <w:szCs w:val="18"/>
              </w:rPr>
              <w:t>Target</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rsidR="00DE170A" w:rsidRDefault="00000000">
            <w:r>
              <w:rPr>
                <w:sz w:val="18"/>
                <w:szCs w:val="18"/>
              </w:rPr>
              <w:t>npci.org.in</w:t>
            </w:r>
          </w:p>
        </w:tc>
      </w:tr>
      <w:tr w:rsidR="00DE170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rsidR="00DE170A" w:rsidRDefault="00000000">
            <w:r>
              <w:rPr>
                <w:b/>
                <w:bCs/>
                <w:color w:val="1F4E79"/>
                <w:sz w:val="18"/>
                <w:szCs w:val="18"/>
              </w:rPr>
              <w:t>Type</w:t>
            </w:r>
          </w:p>
        </w:tc>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rsidR="00DE170A" w:rsidRDefault="00000000">
            <w:r>
              <w:rPr>
                <w:sz w:val="18"/>
                <w:szCs w:val="18"/>
              </w:rPr>
              <w:t>Qualitative, Non-Intrusive</w:t>
            </w:r>
          </w:p>
        </w:tc>
      </w:tr>
      <w:tr w:rsidR="00DE170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rsidR="00DE170A" w:rsidRDefault="00000000">
            <w:r>
              <w:rPr>
                <w:b/>
                <w:bCs/>
                <w:color w:val="1F4E79"/>
                <w:sz w:val="18"/>
                <w:szCs w:val="18"/>
              </w:rPr>
              <w:t>Frameworks</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rsidR="00DE170A" w:rsidRDefault="00000000">
            <w:r>
              <w:rPr>
                <w:sz w:val="18"/>
                <w:szCs w:val="18"/>
              </w:rPr>
              <w:t>ISO 27001, NIST CSF</w:t>
            </w:r>
          </w:p>
        </w:tc>
      </w:tr>
      <w:tr w:rsidR="00DE170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rsidR="00DE170A" w:rsidRDefault="00000000">
            <w:r>
              <w:rPr>
                <w:b/>
                <w:bCs/>
                <w:color w:val="1F4E79"/>
                <w:sz w:val="18"/>
                <w:szCs w:val="18"/>
              </w:rPr>
              <w:t>Classification</w:t>
            </w:r>
          </w:p>
        </w:tc>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rsidR="00DE170A" w:rsidRDefault="00000000">
            <w:r>
              <w:rPr>
                <w:sz w:val="18"/>
                <w:szCs w:val="18"/>
              </w:rPr>
              <w:t>Self-Driven Academic Project</w:t>
            </w:r>
          </w:p>
        </w:tc>
      </w:tr>
    </w:tbl>
    <w:p w:rsidR="00DE170A" w:rsidRDefault="00000000">
      <w:r>
        <w:br w:type="page"/>
      </w:r>
    </w:p>
    <w:p w:rsidR="00DE170A" w:rsidRDefault="00000000">
      <w:pPr>
        <w:pStyle w:val="Heading1"/>
      </w:pPr>
      <w:r>
        <w:lastRenderedPageBreak/>
        <w:t>1. Executive Summary</w:t>
      </w:r>
    </w:p>
    <w:p w:rsidR="00DE170A" w:rsidRDefault="00000000">
      <w:pPr>
        <w:spacing w:before="60" w:after="60"/>
        <w:jc w:val="both"/>
      </w:pPr>
      <w:r>
        <w:rPr>
          <w:color w:val="000000"/>
        </w:rPr>
        <w:t xml:space="preserve">This report presents the findings of a qualitative, non-intrusive risk assessment conducted on the National Payments Corporation of India (NPCI) public-facing website at npci.org.in. NPCI is the backbone of India's digital payment infrastructure, operating systems such as UPI, BHIM, </w:t>
      </w:r>
      <w:proofErr w:type="spellStart"/>
      <w:r>
        <w:rPr>
          <w:color w:val="000000"/>
        </w:rPr>
        <w:t>RuPay</w:t>
      </w:r>
      <w:proofErr w:type="spellEnd"/>
      <w:r>
        <w:rPr>
          <w:color w:val="000000"/>
        </w:rPr>
        <w:t xml:space="preserve">, IMPS, and </w:t>
      </w:r>
      <w:proofErr w:type="spellStart"/>
      <w:r>
        <w:rPr>
          <w:color w:val="000000"/>
        </w:rPr>
        <w:t>FASTag</w:t>
      </w:r>
      <w:proofErr w:type="spellEnd"/>
      <w:r>
        <w:rPr>
          <w:color w:val="000000"/>
        </w:rPr>
        <w:t>, making its web security posture a matter of national interest.</w:t>
      </w:r>
    </w:p>
    <w:p w:rsidR="00DE170A" w:rsidRDefault="00DE170A"/>
    <w:p w:rsidR="00DE170A" w:rsidRDefault="00000000">
      <w:pPr>
        <w:spacing w:before="60" w:after="60"/>
        <w:jc w:val="both"/>
      </w:pPr>
      <w:r>
        <w:rPr>
          <w:color w:val="000000"/>
        </w:rPr>
        <w:t>The assessment was conducted entirely using publicly observable information and industry-standard passive reconnaissance tools. No login credentials were used, no traffic was injected, and no vulnerabilities were exploited. All findings are based on data voluntarily broadcast by the platform to any standard web browser or DNS resolver.</w:t>
      </w:r>
    </w:p>
    <w:p w:rsidR="00DE170A" w:rsidRDefault="00DE170A"/>
    <w:p w:rsidR="00DE170A" w:rsidRDefault="00000000">
      <w:pPr>
        <w:spacing w:before="60" w:after="60"/>
        <w:jc w:val="both"/>
      </w:pPr>
      <w:r>
        <w:rPr>
          <w:color w:val="000000"/>
        </w:rPr>
        <w:t xml:space="preserve">The assessment identified </w:t>
      </w:r>
      <w:r w:rsidR="00766253">
        <w:rPr>
          <w:color w:val="000000"/>
        </w:rPr>
        <w:t>9</w:t>
      </w:r>
      <w:r>
        <w:rPr>
          <w:color w:val="000000"/>
        </w:rPr>
        <w:t xml:space="preserve"> risks across security header configuration, email authentication, session management, and disclosure practices. Two findings are classified as Critical, </w:t>
      </w:r>
      <w:r w:rsidR="00766253">
        <w:rPr>
          <w:color w:val="000000"/>
        </w:rPr>
        <w:t>3</w:t>
      </w:r>
      <w:r>
        <w:rPr>
          <w:color w:val="000000"/>
        </w:rPr>
        <w:t xml:space="preserve"> as Medium, and </w:t>
      </w:r>
      <w:r w:rsidR="00766253">
        <w:rPr>
          <w:color w:val="000000"/>
        </w:rPr>
        <w:t>four</w:t>
      </w:r>
      <w:r>
        <w:rPr>
          <w:color w:val="000000"/>
        </w:rPr>
        <w:t xml:space="preserve"> as Low. Simultaneously, seven security controls were found to be properly implemented, including a strong TLS/SSL configuration, enforced HSTS, and a strict DMARC policy.</w:t>
      </w:r>
    </w:p>
    <w:p w:rsidR="00DE170A" w:rsidRDefault="00DE170A"/>
    <w:p w:rsidR="00DE170A" w:rsidRDefault="00000000">
      <w:pPr>
        <w:spacing w:before="60" w:after="60"/>
        <w:jc w:val="both"/>
      </w:pPr>
      <w:r>
        <w:rPr>
          <w:color w:val="000000"/>
        </w:rPr>
        <w:t xml:space="preserve">Overall, NPCI's infrastructure demonstrates a mature baseline in transport-layer security but has notable gaps in browser-level </w:t>
      </w:r>
      <w:proofErr w:type="spellStart"/>
      <w:r>
        <w:rPr>
          <w:color w:val="000000"/>
        </w:rPr>
        <w:t>defense</w:t>
      </w:r>
      <w:proofErr w:type="spellEnd"/>
      <w:r>
        <w:rPr>
          <w:color w:val="000000"/>
        </w:rPr>
        <w:t xml:space="preserve"> mechanisms that are straightforward to remediate.</w:t>
      </w:r>
    </w:p>
    <w:p w:rsidR="00DE170A" w:rsidRDefault="00000000">
      <w:pPr>
        <w:pStyle w:val="Heading1"/>
      </w:pPr>
      <w:r>
        <w:t>2. Scope and Methodology</w:t>
      </w:r>
    </w:p>
    <w:p w:rsidR="00DE170A" w:rsidRDefault="00000000">
      <w:pPr>
        <w:pStyle w:val="Heading2"/>
        <w:pBdr>
          <w:bottom w:val="single" w:sz="4" w:space="4" w:color="2E75B6"/>
        </w:pBdr>
      </w:pPr>
      <w:r>
        <w:t>2.1 Scope</w:t>
      </w:r>
    </w:p>
    <w:p w:rsidR="00DE170A" w:rsidRDefault="00000000">
      <w:pPr>
        <w:spacing w:before="60" w:after="60"/>
        <w:jc w:val="both"/>
      </w:pPr>
      <w:r>
        <w:rPr>
          <w:color w:val="000000"/>
        </w:rPr>
        <w:t>The scope of this assessment is limited to the publicly accessible surface of npci.org.in. This includes HTTP response headers, DNS records, TLS configuration, cookie attributes, and publicly available metadata. Internal systems, authenticated pages, APIs, and backend infrastructure were out of scope.</w:t>
      </w:r>
    </w:p>
    <w:p w:rsidR="00DE170A" w:rsidRDefault="00000000">
      <w:pPr>
        <w:pStyle w:val="Heading2"/>
        <w:pBdr>
          <w:bottom w:val="single" w:sz="4" w:space="4" w:color="2E75B6"/>
        </w:pBdr>
      </w:pPr>
      <w:r>
        <w:t>2.2 Methodology</w:t>
      </w:r>
    </w:p>
    <w:p w:rsidR="00DE170A" w:rsidRDefault="00000000">
      <w:pPr>
        <w:spacing w:before="60" w:after="60"/>
      </w:pPr>
      <w:r>
        <w:rPr>
          <w:color w:val="000000"/>
        </w:rPr>
        <w:t>The assessment followed a structured passive reconnaissance methodology using the following tools and techniques:</w:t>
      </w:r>
    </w:p>
    <w:p w:rsidR="00DE170A" w:rsidRDefault="00DE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3339"/>
        <w:gridCol w:w="3842"/>
      </w:tblGrid>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Check Performed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What It Reveals</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Security Headers (</w:t>
            </w:r>
            <w:proofErr w:type="spellStart"/>
            <w:r>
              <w:rPr>
                <w:color w:val="000000"/>
                <w:sz w:val="18"/>
                <w:szCs w:val="18"/>
              </w:rPr>
              <w:t>Snyk</w:t>
            </w:r>
            <w:proofErr w:type="spellEnd"/>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HTTP response header scan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Missing browser-level security headers</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Qualys SSL Labs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TLS/SSL configuration 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Certificate validity, cipher suites, server grade</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roofErr w:type="spellStart"/>
            <w:r>
              <w:rPr>
                <w:color w:val="000000"/>
                <w:sz w:val="18"/>
                <w:szCs w:val="18"/>
              </w:rPr>
              <w:t>MXToolbox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SPF, DMARC, HTTPS, blacklist lookup</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Email spoofing exposure, IP reputation</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 xml:space="preserve">Browser </w:t>
            </w:r>
            <w:proofErr w:type="spellStart"/>
            <w:r>
              <w:rPr>
                <w:color w:val="000000"/>
                <w:sz w:val="18"/>
                <w:szCs w:val="18"/>
              </w:rPr>
              <w:t>DevTools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Cookie attribute inspection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 xml:space="preserve">Missing </w:t>
            </w:r>
            <w:proofErr w:type="spellStart"/>
            <w:r>
              <w:rPr>
                <w:color w:val="000000"/>
                <w:sz w:val="18"/>
                <w:szCs w:val="18"/>
              </w:rPr>
              <w:t>HttpOnly</w:t>
            </w:r>
            <w:proofErr w:type="spellEnd"/>
            <w:r>
              <w:rPr>
                <w:color w:val="000000"/>
                <w:sz w:val="18"/>
                <w:szCs w:val="18"/>
              </w:rPr>
              <w:t xml:space="preserve">, Secure, </w:t>
            </w:r>
            <w:proofErr w:type="spellStart"/>
            <w:r>
              <w:rPr>
                <w:color w:val="000000"/>
                <w:sz w:val="18"/>
                <w:szCs w:val="18"/>
              </w:rPr>
              <w:t>SameSite</w:t>
            </w:r>
            <w:proofErr w:type="spellEnd"/>
            <w:r>
              <w:rPr>
                <w:color w:val="000000"/>
                <w:sz w:val="18"/>
                <w:szCs w:val="18"/>
              </w:rPr>
              <w:t xml:space="preserve"> flags</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Manual navigation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robots.txt and security.txt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Path disclosure and disclosure policy gaps</w:t>
            </w:r>
          </w:p>
        </w:tc>
      </w:tr>
    </w:tbl>
    <w:p w:rsidR="00DE170A" w:rsidRDefault="00DE170A"/>
    <w:p w:rsidR="00DE170A" w:rsidRDefault="00000000">
      <w:pPr>
        <w:spacing w:before="60" w:after="60"/>
        <w:jc w:val="both"/>
      </w:pPr>
      <w:r>
        <w:rPr>
          <w:color w:val="000000"/>
        </w:rPr>
        <w:t>Risk scoring follows the Likelihood x Impact matrix approach recommended by ISO/IEC 27001:2013. Likelihood and Impact are each assessed as Low, Medium, or High based on the nature of the finding and the platform context. The combined rating produces an overall Risk Level of Low, Medium, or Critical. This approach was selected over DREAD scoring, which was formally abandoned by Microsoft due to its inherent subjectivity and poor reproducibility across assessors.</w:t>
      </w:r>
    </w:p>
    <w:p w:rsidR="00DE170A" w:rsidRDefault="00000000">
      <w:pPr>
        <w:pStyle w:val="Heading2"/>
        <w:pBdr>
          <w:bottom w:val="single" w:sz="4" w:space="4" w:color="2E75B6"/>
        </w:pBdr>
      </w:pPr>
      <w:r>
        <w:t>2.3 Legal and Ethical Basis</w:t>
      </w:r>
    </w:p>
    <w:p w:rsidR="00DE170A" w:rsidRDefault="00000000">
      <w:pPr>
        <w:spacing w:before="60" w:after="60"/>
        <w:jc w:val="both"/>
      </w:pPr>
      <w:r>
        <w:rPr>
          <w:color w:val="000000"/>
        </w:rPr>
        <w:lastRenderedPageBreak/>
        <w:t>This assessment is conducted solely using publicly available information. All tools used query data that web servers voluntarily transmit to any connecting client. This methodology is consistent with standard third-party risk assessment practices and does not constitute unauthorized access under any applicable legislation.</w:t>
      </w:r>
    </w:p>
    <w:p w:rsidR="00DE170A" w:rsidRDefault="00000000">
      <w:pPr>
        <w:pStyle w:val="Heading1"/>
      </w:pPr>
      <w:r>
        <w:t>3. Platform Overview</w:t>
      </w:r>
    </w:p>
    <w:p w:rsidR="00DE170A" w:rsidRDefault="00000000">
      <w:pPr>
        <w:spacing w:before="60" w:after="60"/>
        <w:jc w:val="both"/>
      </w:pPr>
      <w:r>
        <w:rPr>
          <w:color w:val="000000"/>
        </w:rPr>
        <w:t xml:space="preserve">The National Payments Corporation of India is a not-for-profit organisation promoted by the Reserve Bank of India and Indian Banks Association. It operates core payment infrastructure serving over 800 million users and processes billions of transactions annually through systems including UPI, </w:t>
      </w:r>
      <w:proofErr w:type="spellStart"/>
      <w:r>
        <w:rPr>
          <w:color w:val="000000"/>
        </w:rPr>
        <w:t>RuPay</w:t>
      </w:r>
      <w:proofErr w:type="spellEnd"/>
      <w:r>
        <w:rPr>
          <w:color w:val="000000"/>
        </w:rPr>
        <w:t xml:space="preserve">, IMPS, NACH, BBPS, and </w:t>
      </w:r>
      <w:proofErr w:type="spellStart"/>
      <w:r>
        <w:rPr>
          <w:color w:val="000000"/>
        </w:rPr>
        <w:t>FASTag</w:t>
      </w:r>
      <w:proofErr w:type="spellEnd"/>
      <w:r>
        <w:rPr>
          <w:color w:val="000000"/>
        </w:rPr>
        <w:t>.</w:t>
      </w:r>
    </w:p>
    <w:p w:rsidR="00DE170A" w:rsidRDefault="00DE170A"/>
    <w:p w:rsidR="00DE170A" w:rsidRDefault="00000000">
      <w:pPr>
        <w:spacing w:before="60" w:after="60"/>
        <w:jc w:val="both"/>
      </w:pPr>
      <w:r>
        <w:rPr>
          <w:color w:val="000000"/>
        </w:rPr>
        <w:t>The npci.org.in domain serves as NPCI's primary public web presence. It provides informational content, product documentation, regulatory disclosures, and serves as a trust anchor for the NPCI brand. The platform is hosted on Akamai's content delivery network and uses cloud-based load balancing infrastructure.</w:t>
      </w:r>
    </w:p>
    <w:p w:rsidR="00DE170A" w:rsidRDefault="00000000">
      <w:r>
        <w:br w:type="page"/>
      </w:r>
    </w:p>
    <w:p w:rsidR="00DE170A" w:rsidRDefault="00000000">
      <w:pPr>
        <w:pStyle w:val="Heading1"/>
      </w:pPr>
      <w:r>
        <w:lastRenderedPageBreak/>
        <w:t>4. Risk Register</w:t>
      </w:r>
    </w:p>
    <w:p w:rsidR="00DE170A" w:rsidRDefault="00000000">
      <w:pPr>
        <w:spacing w:before="60" w:after="60"/>
      </w:pPr>
      <w:r>
        <w:rPr>
          <w:color w:val="000000"/>
        </w:rPr>
        <w:t>The following table presents all identified risks, scored using the DREAD methodology and mapped to ISO 27001 and NIST CSF controls.</w:t>
      </w:r>
    </w:p>
    <w:p w:rsidR="00DE170A" w:rsidRDefault="00DE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3899"/>
        <w:gridCol w:w="1140"/>
        <w:gridCol w:w="881"/>
        <w:gridCol w:w="1062"/>
        <w:gridCol w:w="1039"/>
        <w:gridCol w:w="998"/>
      </w:tblGrid>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Risk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Likelihood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Risk Level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ISO 27001</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DE170A" w:rsidRDefault="00000000">
            <w:pPr>
              <w:jc w:val="center"/>
            </w:pPr>
            <w:r>
              <w:rPr>
                <w:b/>
                <w:bCs/>
                <w:color w:val="FFFFFF"/>
                <w:sz w:val="18"/>
                <w:szCs w:val="18"/>
              </w:rPr>
              <w:t>NIST CSF</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Missing Content-Security-Policy — XSS attack surface 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C7CE"/>
            <w:tcMar>
              <w:top w:w="80" w:type="dxa"/>
              <w:left w:w="120" w:type="dxa"/>
              <w:bottom w:w="80" w:type="dxa"/>
              <w:right w:w="120" w:type="dxa"/>
            </w:tcMar>
            <w:vAlign w:val="center"/>
          </w:tcPr>
          <w:p w:rsidR="00DE170A" w:rsidRDefault="00000000">
            <w:pPr>
              <w:jc w:val="center"/>
            </w:pPr>
            <w:r>
              <w:rPr>
                <w:b/>
                <w:bCs/>
                <w:color w:val="C00000"/>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PR.PT-3</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Missing X-Frame-Options — Clickjacking exposure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C7CE"/>
            <w:tcMar>
              <w:top w:w="80" w:type="dxa"/>
              <w:left w:w="120" w:type="dxa"/>
              <w:bottom w:w="80" w:type="dxa"/>
              <w:right w:w="120" w:type="dxa"/>
            </w:tcMar>
            <w:vAlign w:val="center"/>
          </w:tcPr>
          <w:p w:rsidR="00DE170A" w:rsidRDefault="00000000">
            <w:pPr>
              <w:jc w:val="center"/>
            </w:pPr>
            <w:r>
              <w:rPr>
                <w:b/>
                <w:bCs/>
                <w:color w:val="C00000"/>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A.14.1.2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PR.PT-3</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Missing X-Content-Type-Options — MIME sniffing possible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rsidR="00DE170A" w:rsidRDefault="00000000">
            <w:pPr>
              <w:jc w:val="center"/>
            </w:pPr>
            <w:r>
              <w:rPr>
                <w:b/>
                <w:bCs/>
                <w:color w:val="7F4F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PR.PT-3</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Missing Referrer-Policy — URL data leakage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rsidR="00DE170A" w:rsidRDefault="00000000">
            <w:pPr>
              <w:jc w:val="center"/>
            </w:pPr>
            <w:r>
              <w:rPr>
                <w:b/>
                <w:bCs/>
                <w:color w:val="7F4F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A.18.1.4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PR.DS-5</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Missing Permissions-Policy — browser features uncontrolled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E170A" w:rsidRDefault="00000000">
            <w:pPr>
              <w:jc w:val="center"/>
            </w:pPr>
            <w:r>
              <w:rPr>
                <w:b/>
                <w:bCs/>
                <w:color w:val="375623"/>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PR.PT-3</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 xml:space="preserve">SPF </w:t>
            </w:r>
            <w:proofErr w:type="spellStart"/>
            <w:r>
              <w:rPr>
                <w:color w:val="000000"/>
                <w:sz w:val="18"/>
                <w:szCs w:val="18"/>
              </w:rPr>
              <w:t>SoftFail</w:t>
            </w:r>
            <w:proofErr w:type="spellEnd"/>
            <w:r>
              <w:rPr>
                <w:color w:val="000000"/>
                <w:sz w:val="18"/>
                <w:szCs w:val="18"/>
              </w:rPr>
              <w:t xml:space="preserve"> (~all) — spoofed emails reach spam not rejected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rsidR="00DE170A" w:rsidRDefault="00000000">
            <w:pPr>
              <w:jc w:val="center"/>
            </w:pPr>
            <w:r>
              <w:rPr>
                <w:b/>
                <w:bCs/>
                <w:color w:val="7F4F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A.13.2.3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PR.PT-1</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 xml:space="preserve">Load balancer cookies missing </w:t>
            </w:r>
            <w:proofErr w:type="spellStart"/>
            <w:r>
              <w:rPr>
                <w:color w:val="000000"/>
                <w:sz w:val="18"/>
                <w:szCs w:val="18"/>
              </w:rPr>
              <w:t>HttpOnly</w:t>
            </w:r>
            <w:proofErr w:type="spellEnd"/>
            <w:r>
              <w:rPr>
                <w:color w:val="000000"/>
                <w:sz w:val="18"/>
                <w:szCs w:val="18"/>
              </w:rPr>
              <w:t xml:space="preserve"> flag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E170A" w:rsidRDefault="00000000">
            <w:pPr>
              <w:jc w:val="center"/>
            </w:pPr>
            <w:r>
              <w:rPr>
                <w:b/>
                <w:bCs/>
                <w:color w:val="375623"/>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PR.DS-5</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 xml:space="preserve">Load balancer cookies missing </w:t>
            </w:r>
            <w:proofErr w:type="spellStart"/>
            <w:r>
              <w:rPr>
                <w:color w:val="000000"/>
                <w:sz w:val="18"/>
                <w:szCs w:val="18"/>
              </w:rPr>
              <w:t>SameSite</w:t>
            </w:r>
            <w:proofErr w:type="spellEnd"/>
            <w:r>
              <w:rPr>
                <w:color w:val="000000"/>
                <w:sz w:val="18"/>
                <w:szCs w:val="18"/>
              </w:rPr>
              <w:t xml:space="preserve"> flag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E170A" w:rsidRDefault="00000000">
            <w:pPr>
              <w:jc w:val="center"/>
            </w:pPr>
            <w:r>
              <w:rPr>
                <w:b/>
                <w:bCs/>
                <w:color w:val="375623"/>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A.14.1.2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PR.PT-3</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b/>
                <w:bCs/>
                <w:color w:val="000000"/>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No security.txt — no responsible disclosure channel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E170A" w:rsidRDefault="00000000">
            <w:pPr>
              <w:jc w:val="center"/>
            </w:pPr>
            <w:r>
              <w:rPr>
                <w:b/>
                <w:bCs/>
                <w:color w:val="375623"/>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A.6.1.1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RS.CO-1</w:t>
            </w:r>
          </w:p>
        </w:tc>
      </w:tr>
    </w:tbl>
    <w:p w:rsidR="00DE170A" w:rsidRDefault="00000000">
      <w:r>
        <w:br w:type="page"/>
      </w:r>
    </w:p>
    <w:p w:rsidR="00DE170A" w:rsidRDefault="00000000">
      <w:pPr>
        <w:pStyle w:val="Heading1"/>
      </w:pPr>
      <w:r>
        <w:lastRenderedPageBreak/>
        <w:t>5. Detailed Findings</w:t>
      </w:r>
    </w:p>
    <w:p w:rsidR="00DE170A" w:rsidRDefault="00000000">
      <w:pPr>
        <w:pStyle w:val="Heading2"/>
        <w:pBdr>
          <w:bottom w:val="single" w:sz="4" w:space="4" w:color="2E75B6"/>
        </w:pBdr>
      </w:pPr>
      <w:r>
        <w:t>5.1 Missing Content-Security-Policy (Critical)</w:t>
      </w:r>
    </w:p>
    <w:p w:rsidR="00DE170A" w:rsidRDefault="00000000">
      <w:pPr>
        <w:spacing w:before="60" w:after="60"/>
        <w:jc w:val="both"/>
      </w:pPr>
      <w:r>
        <w:rPr>
          <w:color w:val="000000"/>
        </w:rPr>
        <w:t>The npci.org.in domain does not serve a Content-Security-Policy (CSP) header. CSP is a browser security mechanism that restricts which scripts, stylesheets, images, and other resources a page is permitted to load. In the absence of this control, the browser applies no restrictions on resource loading, leaving the platform exposed to Cross-Site Scripting (XSS) attacks.</w:t>
      </w:r>
    </w:p>
    <w:p w:rsidR="00DE170A" w:rsidRDefault="00DE170A"/>
    <w:p w:rsidR="00DE170A" w:rsidRDefault="00000000">
      <w:pPr>
        <w:spacing w:before="60" w:after="60"/>
        <w:jc w:val="both"/>
      </w:pPr>
      <w:r>
        <w:rPr>
          <w:color w:val="000000"/>
        </w:rPr>
        <w:t>This is the highest-priority finding because its absence has a compounding effect. Without CSP, any successful script injection — whether through a compromised third-party dependency or a future vulnerability — would execute without restriction in the user's browser.</w:t>
      </w:r>
    </w:p>
    <w:p w:rsidR="00DE170A" w:rsidRDefault="00000000">
      <w:pPr>
        <w:pStyle w:val="ListParagraph"/>
        <w:numPr>
          <w:ilvl w:val="0"/>
          <w:numId w:val="2"/>
        </w:numPr>
        <w:spacing w:before="40" w:after="40"/>
      </w:pPr>
      <w:r>
        <w:t>ISO 27001 mapping: A.14.2.5 — Secure System Engineering Principles</w:t>
      </w:r>
    </w:p>
    <w:p w:rsidR="00DE170A" w:rsidRDefault="00000000">
      <w:pPr>
        <w:pStyle w:val="ListParagraph"/>
        <w:numPr>
          <w:ilvl w:val="0"/>
          <w:numId w:val="2"/>
        </w:numPr>
        <w:spacing w:before="40" w:after="40"/>
      </w:pPr>
      <w:r>
        <w:t>NIST CSF mapping: PR.PT-3 — Least Functionality</w:t>
      </w:r>
    </w:p>
    <w:p w:rsidR="00DE170A" w:rsidRDefault="00000000">
      <w:pPr>
        <w:pStyle w:val="ListParagraph"/>
        <w:numPr>
          <w:ilvl w:val="0"/>
          <w:numId w:val="2"/>
        </w:numPr>
        <w:spacing w:before="40" w:after="40"/>
      </w:pPr>
      <w:r>
        <w:t>Recommendation: Define and deploy a strict CSP header specifying allowed sources for scripts, styles, fonts, and media. Begin with a report-only policy to identify violations before enforcement.</w:t>
      </w:r>
    </w:p>
    <w:bookmarkStart w:id="0" w:name="_MON_1836814502"/>
    <w:bookmarkEnd w:id="0"/>
    <w:p w:rsidR="003A6D7D" w:rsidRDefault="00CC355C" w:rsidP="003A6D7D">
      <w:pPr>
        <w:spacing w:before="40" w:after="40"/>
      </w:pPr>
      <w:r>
        <w:rPr>
          <w:noProof/>
        </w:rPr>
        <w:object w:dxaOrig="152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Artifact" style="width:76.2pt;height:48.25pt;mso-width-percent:0;mso-height-percent:0;mso-width-percent:0;mso-height-percent:0" o:ole="">
            <v:imagedata r:id="rId7" o:title=""/>
          </v:shape>
          <o:OLEObject Type="Embed" ProgID="Word.Document.12" ShapeID="_x0000_i1028" DrawAspect="Icon" ObjectID="_1836823636" r:id="rId8">
            <o:FieldCodes>\s</o:FieldCodes>
          </o:OLEObject>
        </w:object>
      </w:r>
    </w:p>
    <w:p w:rsidR="00DE170A" w:rsidRDefault="00000000">
      <w:pPr>
        <w:pStyle w:val="Heading2"/>
        <w:pBdr>
          <w:bottom w:val="single" w:sz="4" w:space="4" w:color="2E75B6"/>
        </w:pBdr>
      </w:pPr>
      <w:r>
        <w:t>5.2 Missing X-Frame-Options (Critical)</w:t>
      </w:r>
    </w:p>
    <w:p w:rsidR="00DE170A" w:rsidRDefault="00000000">
      <w:pPr>
        <w:spacing w:before="60" w:after="60"/>
        <w:jc w:val="both"/>
      </w:pPr>
      <w:r>
        <w:rPr>
          <w:color w:val="000000"/>
        </w:rPr>
        <w:t xml:space="preserve">The platform does not set the X-Frame-Options response header. This omission allows the website to be embedded within an </w:t>
      </w:r>
      <w:proofErr w:type="spellStart"/>
      <w:r>
        <w:rPr>
          <w:color w:val="000000"/>
        </w:rPr>
        <w:t>iframe</w:t>
      </w:r>
      <w:proofErr w:type="spellEnd"/>
      <w:r>
        <w:rPr>
          <w:color w:val="000000"/>
        </w:rPr>
        <w:t xml:space="preserve"> on any third-party domain. Attackers can exploit this to construct invisible overlays on top of the legitimate NPCI interface, tricking users into clicking on UI elements they cannot see — a technique known as clickjacking.</w:t>
      </w:r>
    </w:p>
    <w:p w:rsidR="003A6D7D" w:rsidRDefault="00000000" w:rsidP="003A6D7D">
      <w:pPr>
        <w:pStyle w:val="ListParagraph"/>
        <w:numPr>
          <w:ilvl w:val="0"/>
          <w:numId w:val="2"/>
        </w:numPr>
        <w:spacing w:before="40" w:after="40"/>
      </w:pPr>
      <w:r>
        <w:t>Recommendation: Set X-Frame-Options: SAMEORIGIN or implement frame-ancestors in the CSP header.</w:t>
      </w:r>
    </w:p>
    <w:p w:rsidR="00DE170A" w:rsidRDefault="00000000">
      <w:pPr>
        <w:pStyle w:val="Heading2"/>
        <w:pBdr>
          <w:bottom w:val="single" w:sz="4" w:space="4" w:color="2E75B6"/>
        </w:pBdr>
      </w:pPr>
      <w:r>
        <w:t>5.3 Missing X-Content-Type-Options, Referrer-Policy, and Permissions-Policy (Medium)</w:t>
      </w:r>
    </w:p>
    <w:p w:rsidR="00DE170A" w:rsidRDefault="00000000">
      <w:pPr>
        <w:spacing w:before="60" w:after="60"/>
        <w:jc w:val="both"/>
      </w:pPr>
      <w:r>
        <w:rPr>
          <w:color w:val="000000"/>
        </w:rPr>
        <w:t xml:space="preserve">Three additional browser security headers are absent. X-Content-Type-Options: </w:t>
      </w:r>
      <w:proofErr w:type="spellStart"/>
      <w:r>
        <w:rPr>
          <w:color w:val="000000"/>
        </w:rPr>
        <w:t>nosniff</w:t>
      </w:r>
      <w:proofErr w:type="spellEnd"/>
      <w:r>
        <w:rPr>
          <w:color w:val="000000"/>
        </w:rPr>
        <w:t xml:space="preserve"> prevents browsers from guessing content types, which can lead to script execution from non-script resources. Referrer-Policy controls how much URL information is shared with third-party resources, preventing leakage of sensitive path data. Permissions-Policy defines which browser features such as camera, microphone, and geolocation the page is permitted to access.</w:t>
      </w:r>
    </w:p>
    <w:p w:rsidR="00DE170A" w:rsidRDefault="00000000">
      <w:pPr>
        <w:pStyle w:val="ListParagraph"/>
        <w:numPr>
          <w:ilvl w:val="0"/>
          <w:numId w:val="2"/>
        </w:numPr>
        <w:spacing w:before="40" w:after="40"/>
      </w:pPr>
      <w:r>
        <w:t>Recommendation: Implement all three headers as part of a consolidated security header policy update. These are low-effort, high-impact controls.</w:t>
      </w:r>
    </w:p>
    <w:p w:rsidR="00DE170A" w:rsidRDefault="00000000">
      <w:pPr>
        <w:pStyle w:val="Heading2"/>
        <w:pBdr>
          <w:bottom w:val="single" w:sz="4" w:space="4" w:color="2E75B6"/>
        </w:pBdr>
      </w:pPr>
      <w:r>
        <w:t xml:space="preserve">5.4 SPF </w:t>
      </w:r>
      <w:proofErr w:type="spellStart"/>
      <w:r>
        <w:t>SoftFail</w:t>
      </w:r>
      <w:proofErr w:type="spellEnd"/>
      <w:r>
        <w:t xml:space="preserve"> (~all) — Email Spoofing Exposure (Medium)</w:t>
      </w:r>
    </w:p>
    <w:p w:rsidR="00DE170A" w:rsidRDefault="00000000">
      <w:pPr>
        <w:spacing w:before="60" w:after="60"/>
        <w:jc w:val="both"/>
      </w:pPr>
      <w:r>
        <w:rPr>
          <w:color w:val="000000"/>
        </w:rPr>
        <w:t xml:space="preserve">The SPF record for npci.org.in ends with the ~all qualifier, which instructs receiving mail servers to treat unauthenticated emails as a </w:t>
      </w:r>
      <w:proofErr w:type="spellStart"/>
      <w:r>
        <w:rPr>
          <w:color w:val="000000"/>
        </w:rPr>
        <w:t>SoftFail</w:t>
      </w:r>
      <w:proofErr w:type="spellEnd"/>
      <w:r>
        <w:rPr>
          <w:color w:val="000000"/>
        </w:rPr>
        <w:t xml:space="preserve"> — typically delivering them to the spam folder rather than rejecting them outright. This means spoofed emails purportedly from NPCI domains may reach end users, creating a phishing risk.</w:t>
      </w:r>
    </w:p>
    <w:p w:rsidR="00DE170A" w:rsidRDefault="00000000">
      <w:pPr>
        <w:spacing w:before="60" w:after="60"/>
        <w:jc w:val="both"/>
      </w:pPr>
      <w:r>
        <w:rPr>
          <w:color w:val="000000"/>
        </w:rPr>
        <w:t>It is noted that NPCI's DMARC record is properly configured with p=reject and pct=100, which provides an additional layer of enforcement. However, the SPF record itself should be hardened to be consistent.</w:t>
      </w:r>
    </w:p>
    <w:p w:rsidR="00DE170A" w:rsidRDefault="00000000">
      <w:pPr>
        <w:pStyle w:val="ListParagraph"/>
        <w:numPr>
          <w:ilvl w:val="0"/>
          <w:numId w:val="2"/>
        </w:numPr>
        <w:spacing w:before="40" w:after="40"/>
      </w:pPr>
      <w:r>
        <w:t>Recommendation: Change the SPF record's all qualifier from ~all (</w:t>
      </w:r>
      <w:proofErr w:type="spellStart"/>
      <w:r>
        <w:t>SoftFail</w:t>
      </w:r>
      <w:proofErr w:type="spellEnd"/>
      <w:r>
        <w:t>) to -all (</w:t>
      </w:r>
      <w:proofErr w:type="spellStart"/>
      <w:r>
        <w:t>HardFail</w:t>
      </w:r>
      <w:proofErr w:type="spellEnd"/>
      <w:r>
        <w:t>) to enforce outright rejection of unauthorized senders.</w:t>
      </w:r>
    </w:p>
    <w:bookmarkStart w:id="1" w:name="_MON_1836814882"/>
    <w:bookmarkEnd w:id="1"/>
    <w:p w:rsidR="009B4452" w:rsidRDefault="00CC355C" w:rsidP="009B4452">
      <w:pPr>
        <w:spacing w:before="40" w:after="40"/>
      </w:pPr>
      <w:r>
        <w:rPr>
          <w:noProof/>
        </w:rPr>
        <w:object w:dxaOrig="1520" w:dyaOrig="960">
          <v:shape id="_x0000_i1027" type="#_x0000_t75" alt="" style="width:76.2pt;height:48.25pt;mso-width-percent:0;mso-height-percent:0;mso-width-percent:0;mso-height-percent:0" o:ole="">
            <v:imagedata r:id="rId9" o:title=""/>
          </v:shape>
          <o:OLEObject Type="Embed" ProgID="Word.Document.12" ShapeID="_x0000_i1027" DrawAspect="Icon" ObjectID="_1836823637" r:id="rId10">
            <o:FieldCodes>\s</o:FieldCodes>
          </o:OLEObject>
        </w:object>
      </w:r>
    </w:p>
    <w:p w:rsidR="00DE170A" w:rsidRDefault="00000000">
      <w:pPr>
        <w:pStyle w:val="Heading2"/>
        <w:pBdr>
          <w:bottom w:val="single" w:sz="4" w:space="4" w:color="2E75B6"/>
        </w:pBdr>
      </w:pPr>
      <w:r>
        <w:lastRenderedPageBreak/>
        <w:t>5.5 Load Balancer Cookie Security Flags (Low)</w:t>
      </w:r>
    </w:p>
    <w:p w:rsidR="00DE170A" w:rsidRDefault="00000000">
      <w:pPr>
        <w:spacing w:before="60" w:after="60"/>
        <w:jc w:val="both"/>
      </w:pPr>
      <w:r>
        <w:rPr>
          <w:color w:val="000000"/>
        </w:rPr>
        <w:t xml:space="preserve">Four session-scoped cookies prefixed with TS are set by NPCI's F5/Akamai load balancing infrastructure. These cookies store an encoded reference to the backend server handling the session, and do not contain authentication tokens or personal data. However, they are missing the </w:t>
      </w:r>
      <w:proofErr w:type="spellStart"/>
      <w:r>
        <w:rPr>
          <w:color w:val="000000"/>
        </w:rPr>
        <w:t>HttpOnly</w:t>
      </w:r>
      <w:proofErr w:type="spellEnd"/>
      <w:r>
        <w:rPr>
          <w:color w:val="000000"/>
        </w:rPr>
        <w:t xml:space="preserve"> and </w:t>
      </w:r>
      <w:proofErr w:type="spellStart"/>
      <w:r>
        <w:rPr>
          <w:color w:val="000000"/>
        </w:rPr>
        <w:t>SameSite</w:t>
      </w:r>
      <w:proofErr w:type="spellEnd"/>
      <w:r>
        <w:rPr>
          <w:color w:val="000000"/>
        </w:rPr>
        <w:t xml:space="preserve"> security attributes.</w:t>
      </w:r>
    </w:p>
    <w:p w:rsidR="00DE170A" w:rsidRDefault="00000000">
      <w:pPr>
        <w:spacing w:before="60" w:after="60"/>
        <w:jc w:val="both"/>
      </w:pPr>
      <w:r>
        <w:rPr>
          <w:color w:val="000000"/>
        </w:rPr>
        <w:t xml:space="preserve">Without </w:t>
      </w:r>
      <w:proofErr w:type="spellStart"/>
      <w:r>
        <w:rPr>
          <w:color w:val="000000"/>
        </w:rPr>
        <w:t>HttpOnly</w:t>
      </w:r>
      <w:proofErr w:type="spellEnd"/>
      <w:r>
        <w:rPr>
          <w:color w:val="000000"/>
        </w:rPr>
        <w:t xml:space="preserve">, JavaScript running on the page can read the cookie values, exposing the backend server identifier. Without </w:t>
      </w:r>
      <w:proofErr w:type="spellStart"/>
      <w:r>
        <w:rPr>
          <w:color w:val="000000"/>
        </w:rPr>
        <w:t>SameSite</w:t>
      </w:r>
      <w:proofErr w:type="spellEnd"/>
      <w:r>
        <w:rPr>
          <w:color w:val="000000"/>
        </w:rPr>
        <w:t>, cross-origin requests will include these cookies, which could theoretically be used to pin a victim to a specific backend server in targeted attacks. The impact is assessed as Low given the nature of the data stored.</w:t>
      </w:r>
    </w:p>
    <w:p w:rsidR="00DE170A" w:rsidRDefault="00000000">
      <w:pPr>
        <w:pStyle w:val="ListParagraph"/>
        <w:numPr>
          <w:ilvl w:val="0"/>
          <w:numId w:val="2"/>
        </w:numPr>
        <w:spacing w:before="40" w:after="40"/>
      </w:pPr>
      <w:r>
        <w:t xml:space="preserve">Recommendation: Configure </w:t>
      </w:r>
      <w:proofErr w:type="spellStart"/>
      <w:r>
        <w:t>HttpOnly</w:t>
      </w:r>
      <w:proofErr w:type="spellEnd"/>
      <w:r>
        <w:t xml:space="preserve"> and </w:t>
      </w:r>
      <w:proofErr w:type="spellStart"/>
      <w:r>
        <w:t>SameSite</w:t>
      </w:r>
      <w:proofErr w:type="spellEnd"/>
      <w:r>
        <w:t>=Strict on all TS* cookies at the load balancer configuration level. This is a low-effort infrastructure change.</w:t>
      </w:r>
    </w:p>
    <w:bookmarkStart w:id="2" w:name="_MON_1836815144"/>
    <w:bookmarkEnd w:id="2"/>
    <w:p w:rsidR="009B4452" w:rsidRDefault="00CC355C" w:rsidP="009B4452">
      <w:pPr>
        <w:spacing w:before="40" w:after="40"/>
      </w:pPr>
      <w:r>
        <w:rPr>
          <w:noProof/>
        </w:rPr>
        <w:object w:dxaOrig="1520" w:dyaOrig="960">
          <v:shape id="_x0000_i1026" type="#_x0000_t75" alt="" style="width:76.2pt;height:48.25pt;mso-width-percent:0;mso-height-percent:0;mso-width-percent:0;mso-height-percent:0" o:ole="">
            <v:imagedata r:id="rId11" o:title=""/>
          </v:shape>
          <o:OLEObject Type="Embed" ProgID="Word.Document.12" ShapeID="_x0000_i1026" DrawAspect="Icon" ObjectID="_1836823638" r:id="rId12">
            <o:FieldCodes>\s</o:FieldCodes>
          </o:OLEObject>
        </w:object>
      </w:r>
    </w:p>
    <w:p w:rsidR="00DE170A" w:rsidRDefault="00000000">
      <w:pPr>
        <w:pStyle w:val="Heading2"/>
        <w:pBdr>
          <w:bottom w:val="single" w:sz="4" w:space="4" w:color="2E75B6"/>
        </w:pBdr>
      </w:pPr>
      <w:r>
        <w:t>5.6 Absent Responsible Disclosure Policy (Medium)</w:t>
      </w:r>
    </w:p>
    <w:p w:rsidR="00DE170A" w:rsidRDefault="00000000">
      <w:pPr>
        <w:spacing w:before="60" w:after="60"/>
        <w:jc w:val="both"/>
      </w:pPr>
      <w:r>
        <w:rPr>
          <w:color w:val="000000"/>
        </w:rPr>
        <w:t>The path /.well-known/security.txt returned a 404 error, indicating that NPCI has not published a responsible disclosure policy. Security researchers who discover vulnerabilities in the platform have no official channel through which to report them. This increases the risk that vulnerabilities are disclosed publicly or exploited before NPCI is aware of them.</w:t>
      </w:r>
    </w:p>
    <w:p w:rsidR="00DE170A" w:rsidRDefault="00000000">
      <w:pPr>
        <w:pStyle w:val="ListParagraph"/>
        <w:numPr>
          <w:ilvl w:val="0"/>
          <w:numId w:val="2"/>
        </w:numPr>
        <w:spacing w:before="40" w:after="40"/>
      </w:pPr>
      <w:r>
        <w:t>Recommendation: Publish a security.txt file conforming to RFC 9116, specifying a contact email address and optionally a disclosure policy URL and encryption key.</w:t>
      </w:r>
    </w:p>
    <w:bookmarkStart w:id="3" w:name="_MON_1836815208"/>
    <w:bookmarkEnd w:id="3"/>
    <w:p w:rsidR="00DE170A" w:rsidRDefault="00CC355C" w:rsidP="00D550DF">
      <w:pPr>
        <w:spacing w:before="40" w:after="40"/>
      </w:pPr>
      <w:r>
        <w:rPr>
          <w:noProof/>
        </w:rPr>
        <w:object w:dxaOrig="1520" w:dyaOrig="960">
          <v:shape id="_x0000_i1025" type="#_x0000_t75" alt="" style="width:76.2pt;height:48.25pt;mso-width-percent:0;mso-height-percent:0;mso-width-percent:0;mso-height-percent:0" o:ole="">
            <v:imagedata r:id="rId13" o:title=""/>
          </v:shape>
          <o:OLEObject Type="Embed" ProgID="Word.Document.12" ShapeID="_x0000_i1025" DrawAspect="Icon" ObjectID="_1836823639" r:id="rId14">
            <o:FieldCodes>\s</o:FieldCodes>
          </o:OLEObject>
        </w:object>
      </w:r>
      <w:r w:rsidR="00000000">
        <w:br w:type="page"/>
      </w:r>
    </w:p>
    <w:p w:rsidR="00DE170A" w:rsidRDefault="00000000">
      <w:pPr>
        <w:pStyle w:val="Heading1"/>
      </w:pPr>
      <w:r>
        <w:lastRenderedPageBreak/>
        <w:t>6. Security Controls Confirmed Passing</w:t>
      </w:r>
    </w:p>
    <w:p w:rsidR="00DE170A" w:rsidRDefault="00000000">
      <w:pPr>
        <w:spacing w:before="60" w:after="60"/>
      </w:pPr>
      <w:r>
        <w:rPr>
          <w:color w:val="000000"/>
        </w:rPr>
        <w:t>The following controls were found to be properly implemented and functioning effectively at the time of assessment.</w:t>
      </w:r>
    </w:p>
    <w:p w:rsidR="00DE170A" w:rsidRDefault="00DE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2840"/>
        <w:gridCol w:w="1508"/>
        <w:gridCol w:w="1032"/>
        <w:gridCol w:w="995"/>
      </w:tblGrid>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76221"/>
            <w:tcMar>
              <w:top w:w="80" w:type="dxa"/>
              <w:left w:w="120" w:type="dxa"/>
              <w:bottom w:w="80" w:type="dxa"/>
              <w:right w:w="120" w:type="dxa"/>
            </w:tcMar>
            <w:vAlign w:val="center"/>
          </w:tcPr>
          <w:p w:rsidR="00DE170A" w:rsidRDefault="00000000">
            <w:pPr>
              <w:jc w:val="center"/>
            </w:pPr>
            <w:r>
              <w:rPr>
                <w:b/>
                <w:bCs/>
                <w:color w:val="FFFFFF"/>
                <w:sz w:val="18"/>
                <w:szCs w:val="18"/>
              </w:rPr>
              <w:t>Control</w:t>
            </w:r>
          </w:p>
        </w:tc>
        <w:tc>
          <w:tcPr>
            <w:tcW w:w="0" w:type="auto"/>
            <w:tcBorders>
              <w:top w:val="single" w:sz="1" w:space="0" w:color="CCCCCC"/>
              <w:left w:val="single" w:sz="1" w:space="0" w:color="CCCCCC"/>
              <w:bottom w:val="single" w:sz="1" w:space="0" w:color="CCCCCC"/>
              <w:right w:val="single" w:sz="1" w:space="0" w:color="CCCCCC"/>
            </w:tcBorders>
            <w:shd w:val="clear" w:color="auto" w:fill="276221"/>
            <w:tcMar>
              <w:top w:w="80" w:type="dxa"/>
              <w:left w:w="120" w:type="dxa"/>
              <w:bottom w:w="80" w:type="dxa"/>
              <w:right w:w="120" w:type="dxa"/>
            </w:tcMar>
            <w:vAlign w:val="center"/>
          </w:tcPr>
          <w:p w:rsidR="00DE170A" w:rsidRDefault="00000000">
            <w:pPr>
              <w:jc w:val="center"/>
            </w:pPr>
            <w:r>
              <w:rPr>
                <w:b/>
                <w:bCs/>
                <w:color w:val="FFFFFF"/>
                <w:sz w:val="18"/>
                <w:szCs w:val="18"/>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276221"/>
            <w:tcMar>
              <w:top w:w="80" w:type="dxa"/>
              <w:left w:w="120" w:type="dxa"/>
              <w:bottom w:w="80" w:type="dxa"/>
              <w:right w:w="120" w:type="dxa"/>
            </w:tcMar>
            <w:vAlign w:val="center"/>
          </w:tcPr>
          <w:p w:rsidR="00DE170A" w:rsidRDefault="00000000">
            <w:pPr>
              <w:jc w:val="center"/>
            </w:pPr>
            <w:r>
              <w:rPr>
                <w:b/>
                <w:bCs/>
                <w:color w:val="FFFFFF"/>
                <w:sz w:val="18"/>
                <w:szCs w:val="18"/>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276221"/>
            <w:tcMar>
              <w:top w:w="80" w:type="dxa"/>
              <w:left w:w="120" w:type="dxa"/>
              <w:bottom w:w="80" w:type="dxa"/>
              <w:right w:w="120" w:type="dxa"/>
            </w:tcMar>
            <w:vAlign w:val="center"/>
          </w:tcPr>
          <w:p w:rsidR="00DE170A" w:rsidRDefault="00000000">
            <w:pPr>
              <w:jc w:val="center"/>
            </w:pPr>
            <w:r>
              <w:rPr>
                <w:b/>
                <w:bCs/>
                <w:color w:val="FFFFFF"/>
                <w:sz w:val="18"/>
                <w:szCs w:val="18"/>
              </w:rPr>
              <w:t>ISO 27001</w:t>
            </w:r>
          </w:p>
        </w:tc>
        <w:tc>
          <w:tcPr>
            <w:tcW w:w="0" w:type="auto"/>
            <w:tcBorders>
              <w:top w:val="single" w:sz="1" w:space="0" w:color="CCCCCC"/>
              <w:left w:val="single" w:sz="1" w:space="0" w:color="CCCCCC"/>
              <w:bottom w:val="single" w:sz="1" w:space="0" w:color="CCCCCC"/>
              <w:right w:val="single" w:sz="1" w:space="0" w:color="CCCCCC"/>
            </w:tcBorders>
            <w:shd w:val="clear" w:color="auto" w:fill="276221"/>
            <w:tcMar>
              <w:top w:w="80" w:type="dxa"/>
              <w:left w:w="120" w:type="dxa"/>
              <w:bottom w:w="80" w:type="dxa"/>
              <w:right w:w="120" w:type="dxa"/>
            </w:tcMar>
            <w:vAlign w:val="center"/>
          </w:tcPr>
          <w:p w:rsidR="00DE170A" w:rsidRDefault="00000000">
            <w:pPr>
              <w:jc w:val="center"/>
            </w:pPr>
            <w:r>
              <w:rPr>
                <w:b/>
                <w:bCs/>
                <w:color w:val="FFFFFF"/>
                <w:sz w:val="18"/>
                <w:szCs w:val="18"/>
              </w:rPr>
              <w:t>NIST CSF</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TLS/SSL Grade A across all servers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All 4 servers scored A — Akamai hosted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SSL Labs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PR.DS-2</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r>
              <w:rPr>
                <w:b/>
                <w:bCs/>
                <w:color w:val="000000"/>
                <w:sz w:val="18"/>
                <w:szCs w:val="18"/>
              </w:rPr>
              <w:t>DMARC p=reject, pct=100</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r>
              <w:rPr>
                <w:color w:val="000000"/>
                <w:sz w:val="18"/>
                <w:szCs w:val="18"/>
              </w:rPr>
              <w:t>Full reject policy, 100% message coverage</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proofErr w:type="spellStart"/>
            <w:r>
              <w:rPr>
                <w:color w:val="000000"/>
                <w:sz w:val="18"/>
                <w:szCs w:val="18"/>
              </w:rPr>
              <w:t>MXToolbox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r>
              <w:rPr>
                <w:color w:val="000000"/>
                <w:sz w:val="18"/>
                <w:szCs w:val="18"/>
              </w:rPr>
              <w:t>A.13.2.3</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r>
              <w:rPr>
                <w:color w:val="000000"/>
                <w:sz w:val="18"/>
                <w:szCs w:val="18"/>
              </w:rPr>
              <w:t>PR.PT-1</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HSTS enforced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Strict-Transport-Security header present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Security Headers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PR.DS-2</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r>
              <w:rPr>
                <w:b/>
                <w:bCs/>
                <w:color w:val="000000"/>
                <w:sz w:val="18"/>
                <w:szCs w:val="18"/>
              </w:rPr>
              <w:t>Valid DigiCert certificate — sha384ECDSA</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r>
              <w:rPr>
                <w:color w:val="000000"/>
                <w:sz w:val="18"/>
                <w:szCs w:val="18"/>
              </w:rPr>
              <w:t>Valid until Dec 2026, strong cipher suite</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proofErr w:type="spellStart"/>
            <w:r>
              <w:rPr>
                <w:color w:val="000000"/>
                <w:sz w:val="18"/>
                <w:szCs w:val="18"/>
              </w:rPr>
              <w:t>MXToolbox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r>
              <w:rPr>
                <w:color w:val="000000"/>
                <w:sz w:val="18"/>
                <w:szCs w:val="18"/>
              </w:rPr>
              <w:t>A.10.1.1</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r>
              <w:rPr>
                <w:color w:val="000000"/>
                <w:sz w:val="18"/>
                <w:szCs w:val="18"/>
              </w:rPr>
              <w:t>PR.DS-2</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Akamai CDN/WAF deployed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Edge protection and DDoS mitigation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SSL Labs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A.17.2.1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PR.IP-1</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r>
              <w:rPr>
                <w:b/>
                <w:bCs/>
                <w:color w:val="000000"/>
                <w:sz w:val="18"/>
                <w:szCs w:val="18"/>
              </w:rPr>
              <w:t>IP not blacklisted</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r>
              <w:rPr>
                <w:color w:val="000000"/>
                <w:sz w:val="18"/>
                <w:szCs w:val="18"/>
              </w:rPr>
              <w:t>23.72.36.208 clean across all blacklists</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proofErr w:type="spellStart"/>
            <w:r>
              <w:rPr>
                <w:color w:val="000000"/>
                <w:sz w:val="18"/>
                <w:szCs w:val="18"/>
              </w:rPr>
              <w:t>MXToolbox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r>
              <w:rPr>
                <w:color w:val="000000"/>
                <w:sz w:val="18"/>
                <w:szCs w:val="18"/>
              </w:rPr>
              <w:t>A.13.1.1</w:t>
            </w:r>
          </w:p>
        </w:tc>
        <w:tc>
          <w:tcPr>
            <w:tcW w:w="0" w:type="auto"/>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vAlign w:val="center"/>
          </w:tcPr>
          <w:p w:rsidR="00DE170A" w:rsidRDefault="00000000">
            <w:pPr>
              <w:jc w:val="center"/>
            </w:pPr>
            <w:r>
              <w:rPr>
                <w:color w:val="000000"/>
                <w:sz w:val="18"/>
                <w:szCs w:val="18"/>
              </w:rPr>
              <w:t>DE.CM-1</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AKA_A2 cookie correctly secured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roofErr w:type="spellStart"/>
            <w:r>
              <w:rPr>
                <w:color w:val="000000"/>
                <w:sz w:val="18"/>
                <w:szCs w:val="18"/>
              </w:rPr>
              <w:t>HttpOnly</w:t>
            </w:r>
            <w:proofErr w:type="spellEnd"/>
            <w:r>
              <w:rPr>
                <w:color w:val="000000"/>
                <w:sz w:val="18"/>
                <w:szCs w:val="18"/>
              </w:rPr>
              <w:t xml:space="preserve"> and Secure flags both present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 xml:space="preserve">Browser </w:t>
            </w:r>
            <w:proofErr w:type="spellStart"/>
            <w:r>
              <w:rPr>
                <w:color w:val="000000"/>
                <w:sz w:val="18"/>
                <w:szCs w:val="18"/>
              </w:rPr>
              <w:t>DevTools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A.14.1.2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PR.DS-5</w:t>
            </w:r>
          </w:p>
        </w:tc>
      </w:tr>
    </w:tbl>
    <w:p w:rsidR="00DE170A" w:rsidRDefault="00000000">
      <w:r>
        <w:br w:type="page"/>
      </w:r>
    </w:p>
    <w:p w:rsidR="00DE170A" w:rsidRDefault="00000000">
      <w:pPr>
        <w:pStyle w:val="Heading1"/>
      </w:pPr>
      <w:r>
        <w:lastRenderedPageBreak/>
        <w:t>7. Recommendations Summary</w:t>
      </w:r>
    </w:p>
    <w:p w:rsidR="00DE170A" w:rsidRDefault="00000000">
      <w:pPr>
        <w:spacing w:before="60" w:after="60"/>
      </w:pPr>
      <w:r>
        <w:rPr>
          <w:color w:val="000000"/>
        </w:rPr>
        <w:t>Recommendations are prioritized by severity and ease of implementation. Items marked Immediate represent low-effort, high-impact changes that should be addressed within 30 days.</w:t>
      </w:r>
    </w:p>
    <w:p w:rsidR="00DE170A" w:rsidRDefault="00DE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009"/>
        <w:gridCol w:w="5052"/>
        <w:gridCol w:w="881"/>
      </w:tblGrid>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DE170A" w:rsidRDefault="00000000">
            <w:pPr>
              <w:jc w:val="center"/>
            </w:pPr>
            <w:r>
              <w:rPr>
                <w:b/>
                <w:bCs/>
                <w:color w:val="FFFFFF"/>
                <w:sz w:val="18"/>
                <w:szCs w:val="18"/>
              </w:rPr>
              <w:t>Priority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DE170A" w:rsidRDefault="00000000">
            <w:pPr>
              <w:jc w:val="center"/>
            </w:pPr>
            <w:r>
              <w:rPr>
                <w:b/>
                <w:bCs/>
                <w:color w:val="FFFFFF"/>
                <w:sz w:val="18"/>
                <w:szCs w:val="18"/>
              </w:rPr>
              <w:t>Finding</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DE170A" w:rsidRDefault="00000000">
            <w:pPr>
              <w:jc w:val="center"/>
            </w:pPr>
            <w:r>
              <w:rPr>
                <w:b/>
                <w:bCs/>
                <w:color w:val="FFFFFF"/>
                <w:sz w:val="18"/>
                <w:szCs w:val="18"/>
              </w:rPr>
              <w:t>Recommendation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DE170A" w:rsidRDefault="00000000">
            <w:pPr>
              <w:jc w:val="center"/>
            </w:pPr>
            <w:r>
              <w:rPr>
                <w:b/>
                <w:bCs/>
                <w:color w:val="FFFFFF"/>
                <w:sz w:val="18"/>
                <w:szCs w:val="18"/>
              </w:rPr>
              <w:t>Effort</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1 — Immediate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Missing CSP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Define and deploy a strict Content-Security-Policy header restricting allowed script, style, and media sources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b/>
                <w:bCs/>
                <w:color w:val="000000"/>
                <w:sz w:val="18"/>
                <w:szCs w:val="18"/>
              </w:rPr>
              <w:t>2 — Immediate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Missing X-Frame-Options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 xml:space="preserve">Set X-Frame-Options: SAMEORIGIN or use CSP frame-ancestors to prevent </w:t>
            </w:r>
            <w:proofErr w:type="spellStart"/>
            <w:r>
              <w:rPr>
                <w:color w:val="000000"/>
                <w:sz w:val="18"/>
                <w:szCs w:val="18"/>
              </w:rPr>
              <w:t>iframe</w:t>
            </w:r>
            <w:proofErr w:type="spellEnd"/>
            <w:r>
              <w:rPr>
                <w:color w:val="000000"/>
                <w:sz w:val="18"/>
                <w:szCs w:val="18"/>
              </w:rPr>
              <w:t xml:space="preserve"> embedding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Low</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3 — Short-term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 xml:space="preserve">SPF </w:t>
            </w:r>
            <w:proofErr w:type="spellStart"/>
            <w:r>
              <w:rPr>
                <w:color w:val="000000"/>
                <w:sz w:val="18"/>
                <w:szCs w:val="18"/>
              </w:rPr>
              <w:t>SoftFail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Change SPF record from ~all to -all to enforce hard rejection of spoofed emails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b/>
                <w:bCs/>
                <w:color w:val="000000"/>
                <w:sz w:val="18"/>
                <w:szCs w:val="18"/>
              </w:rPr>
              <w:t>4 — Short-term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Missing X-Content-Type-Options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 xml:space="preserve">Add </w:t>
            </w:r>
            <w:proofErr w:type="spellStart"/>
            <w:r>
              <w:rPr>
                <w:color w:val="000000"/>
                <w:sz w:val="18"/>
                <w:szCs w:val="18"/>
              </w:rPr>
              <w:t>nosniff</w:t>
            </w:r>
            <w:proofErr w:type="spellEnd"/>
            <w:r>
              <w:rPr>
                <w:color w:val="000000"/>
                <w:sz w:val="18"/>
                <w:szCs w:val="18"/>
              </w:rPr>
              <w:t xml:space="preserve"> directive to prevent MIME-type guessing by browsers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Low</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5 — Short-term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Missing Referrer-Policy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Set Referrer-Policy: strict-origin-when-cross-origin to prevent URL leakage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Low</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b/>
                <w:bCs/>
                <w:color w:val="000000"/>
                <w:sz w:val="18"/>
                <w:szCs w:val="18"/>
              </w:rPr>
              <w:t>6 — Short-term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Missing Permissions-Policy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Define a Permissions-Policy header restricting camera, microphone, and geolocation access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Low</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b/>
                <w:bCs/>
                <w:color w:val="000000"/>
                <w:sz w:val="18"/>
                <w:szCs w:val="18"/>
              </w:rPr>
              <w:t>7 — Medium-term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Cookie security flags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r>
              <w:rPr>
                <w:color w:val="000000"/>
                <w:sz w:val="18"/>
                <w:szCs w:val="18"/>
              </w:rPr>
              <w:t xml:space="preserve">Configure </w:t>
            </w:r>
            <w:proofErr w:type="spellStart"/>
            <w:r>
              <w:rPr>
                <w:color w:val="000000"/>
                <w:sz w:val="18"/>
                <w:szCs w:val="18"/>
              </w:rPr>
              <w:t>HttpOnly</w:t>
            </w:r>
            <w:proofErr w:type="spellEnd"/>
            <w:r>
              <w:rPr>
                <w:color w:val="000000"/>
                <w:sz w:val="18"/>
                <w:szCs w:val="18"/>
              </w:rPr>
              <w:t xml:space="preserve"> and </w:t>
            </w:r>
            <w:proofErr w:type="spellStart"/>
            <w:r>
              <w:rPr>
                <w:color w:val="000000"/>
                <w:sz w:val="18"/>
                <w:szCs w:val="18"/>
              </w:rPr>
              <w:t>SameSite</w:t>
            </w:r>
            <w:proofErr w:type="spellEnd"/>
            <w:r>
              <w:rPr>
                <w:color w:val="000000"/>
                <w:sz w:val="18"/>
                <w:szCs w:val="18"/>
              </w:rPr>
              <w:t>=Strict on all TS* load balancer cookies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E170A" w:rsidRDefault="00000000">
            <w:pPr>
              <w:jc w:val="center"/>
            </w:pPr>
            <w:r>
              <w:rPr>
                <w:color w:val="000000"/>
                <w:sz w:val="18"/>
                <w:szCs w:val="18"/>
              </w:rPr>
              <w:t>Medium</w:t>
            </w:r>
          </w:p>
        </w:tc>
      </w:tr>
      <w:tr w:rsidR="00DE170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b/>
                <w:bCs/>
                <w:color w:val="000000"/>
                <w:sz w:val="18"/>
                <w:szCs w:val="18"/>
              </w:rPr>
              <w:t>8 — Medium-term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No security.txt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r>
              <w:rPr>
                <w:color w:val="000000"/>
                <w:sz w:val="18"/>
                <w:szCs w:val="18"/>
              </w:rPr>
              <w:t>Publish a security.txt file at /.well-known/security.txt with a responsible disclosure contact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DE170A" w:rsidRDefault="00000000">
            <w:pPr>
              <w:jc w:val="center"/>
            </w:pPr>
            <w:r>
              <w:rPr>
                <w:color w:val="000000"/>
                <w:sz w:val="18"/>
                <w:szCs w:val="18"/>
              </w:rPr>
              <w:t>Low</w:t>
            </w:r>
          </w:p>
        </w:tc>
      </w:tr>
    </w:tbl>
    <w:p w:rsidR="00DE170A" w:rsidRDefault="00000000">
      <w:pPr>
        <w:pStyle w:val="Heading1"/>
      </w:pPr>
      <w:r>
        <w:t>8. Conclusion</w:t>
      </w:r>
    </w:p>
    <w:p w:rsidR="00DE170A" w:rsidRDefault="00000000">
      <w:pPr>
        <w:spacing w:before="60" w:after="60"/>
        <w:jc w:val="both"/>
      </w:pPr>
      <w:r>
        <w:rPr>
          <w:color w:val="000000"/>
        </w:rPr>
        <w:t>NPCI's npci.org.in demonstrates a strong foundation in transport-layer security. Its TLS/SSL configuration achieved a Grade A rating across all servers, DMARC is strictly enforced with a full-reject policy, and HSTS ensures encrypted communication is enforced. The deployment of Akamai's CDN and WAF further reflects a mature approach to availability and edge security.</w:t>
      </w:r>
    </w:p>
    <w:p w:rsidR="00DE170A" w:rsidRDefault="00DE170A"/>
    <w:p w:rsidR="00DE170A" w:rsidRDefault="00000000">
      <w:pPr>
        <w:spacing w:before="60" w:after="60"/>
        <w:jc w:val="both"/>
      </w:pPr>
      <w:r>
        <w:rPr>
          <w:color w:val="000000"/>
        </w:rPr>
        <w:t>However, significant gaps exist at the browser-level security layer. The absence of a Content-Security-Policy and X-Frame-Options header are the most consequential findings. Both are well-understood, widely adopted controls whose implementation requires no architectural changes — only header configuration at the web server or CDN layer.</w:t>
      </w:r>
    </w:p>
    <w:p w:rsidR="00DE170A" w:rsidRDefault="00DE170A"/>
    <w:p w:rsidR="00DE170A" w:rsidRDefault="00000000">
      <w:pPr>
        <w:spacing w:before="60" w:after="60"/>
        <w:jc w:val="both"/>
      </w:pPr>
      <w:r>
        <w:rPr>
          <w:color w:val="000000"/>
        </w:rPr>
        <w:t>Given NPCI's role as critical national payments infrastructure, these gaps warrant prompt attention. The recommendations in this report are ordered by impact and implementation effort, with the majority classified as low-effort changes that can be deployed rapidly.</w:t>
      </w:r>
    </w:p>
    <w:p w:rsidR="00DE170A" w:rsidRDefault="00DE170A"/>
    <w:p w:rsidR="00DE170A" w:rsidRDefault="00000000">
      <w:pPr>
        <w:spacing w:before="60" w:after="60"/>
        <w:jc w:val="both"/>
      </w:pPr>
      <w:r>
        <w:rPr>
          <w:color w:val="000000"/>
        </w:rPr>
        <w:t>This assessment reflects a point-in-time observation based solely on publicly available data. It does not account for controls that may exist at layers not observable from the public internet.</w:t>
      </w:r>
    </w:p>
    <w:p w:rsidR="00DE170A" w:rsidRDefault="00DE170A"/>
    <w:p w:rsidR="00DE170A" w:rsidRDefault="00DE170A"/>
    <w:p w:rsidR="00DE170A" w:rsidRDefault="00000000">
      <w:pPr>
        <w:pBdr>
          <w:top w:val="single" w:sz="4" w:space="4" w:color="CCCCCC"/>
        </w:pBdr>
        <w:spacing w:before="120" w:after="60"/>
      </w:pPr>
      <w:r>
        <w:rPr>
          <w:b/>
          <w:bCs/>
          <w:color w:val="888888"/>
          <w:sz w:val="18"/>
          <w:szCs w:val="18"/>
        </w:rPr>
        <w:t>Disclaimer</w:t>
      </w:r>
    </w:p>
    <w:p w:rsidR="00DE170A" w:rsidRDefault="00000000">
      <w:r>
        <w:rPr>
          <w:i/>
          <w:iCs/>
          <w:color w:val="888888"/>
          <w:sz w:val="16"/>
          <w:szCs w:val="16"/>
        </w:rPr>
        <w:t>This report was prepared as a self-driven academic exercise using exclusively public-domain tools and publicly observable information. No systems were accessed, tested, or probed beyond standard browser interactions. This report does not constitute professional security advice and should not be used as a substitute for a formal penetration test or security audit conducted by a qualified professional.</w:t>
      </w:r>
    </w:p>
    <w:sectPr w:rsidR="00DE170A">
      <w:headerReference w:type="default" r:id="rId15"/>
      <w:footerReference w:type="default" r:id="rId16"/>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355C" w:rsidRDefault="00CC355C">
      <w:r>
        <w:separator/>
      </w:r>
    </w:p>
  </w:endnote>
  <w:endnote w:type="continuationSeparator" w:id="0">
    <w:p w:rsidR="00CC355C" w:rsidRDefault="00CC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70A" w:rsidRDefault="00000000">
    <w:pPr>
      <w:pBdr>
        <w:top w:val="single" w:sz="6" w:space="4" w:color="2E75B6"/>
      </w:pBdr>
      <w:tabs>
        <w:tab w:val="right" w:pos="9360"/>
      </w:tabs>
    </w:pPr>
    <w:r>
      <w:rPr>
        <w:color w:val="888888"/>
        <w:sz w:val="16"/>
        <w:szCs w:val="16"/>
      </w:rPr>
      <w:t>Confidential  |  Self-Driven Academic Project</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355C" w:rsidRDefault="00CC355C">
      <w:r>
        <w:separator/>
      </w:r>
    </w:p>
  </w:footnote>
  <w:footnote w:type="continuationSeparator" w:id="0">
    <w:p w:rsidR="00CC355C" w:rsidRDefault="00CC3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70A" w:rsidRDefault="00000000">
    <w:pPr>
      <w:pBdr>
        <w:bottom w:val="single" w:sz="6" w:space="4" w:color="2E75B6"/>
      </w:pBdr>
    </w:pPr>
    <w:r>
      <w:rPr>
        <w:color w:val="888888"/>
        <w:sz w:val="16"/>
        <w:szCs w:val="16"/>
      </w:rPr>
      <w:t>NPCI Security Assessment Report  |  Qualitative Non-Intrusive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43D87"/>
    <w:multiLevelType w:val="hybridMultilevel"/>
    <w:tmpl w:val="466872F0"/>
    <w:lvl w:ilvl="0" w:tplc="F58A3F48">
      <w:start w:val="1"/>
      <w:numFmt w:val="bullet"/>
      <w:lvlText w:val="•"/>
      <w:lvlJc w:val="left"/>
      <w:pPr>
        <w:ind w:left="720" w:hanging="360"/>
      </w:pPr>
    </w:lvl>
    <w:lvl w:ilvl="1" w:tplc="2A94D0EE">
      <w:numFmt w:val="decimal"/>
      <w:lvlText w:val=""/>
      <w:lvlJc w:val="left"/>
    </w:lvl>
    <w:lvl w:ilvl="2" w:tplc="E626E1CC">
      <w:numFmt w:val="decimal"/>
      <w:lvlText w:val=""/>
      <w:lvlJc w:val="left"/>
    </w:lvl>
    <w:lvl w:ilvl="3" w:tplc="F6C23B44">
      <w:numFmt w:val="decimal"/>
      <w:lvlText w:val=""/>
      <w:lvlJc w:val="left"/>
    </w:lvl>
    <w:lvl w:ilvl="4" w:tplc="07DAAD12">
      <w:numFmt w:val="decimal"/>
      <w:lvlText w:val=""/>
      <w:lvlJc w:val="left"/>
    </w:lvl>
    <w:lvl w:ilvl="5" w:tplc="2F52BC92">
      <w:numFmt w:val="decimal"/>
      <w:lvlText w:val=""/>
      <w:lvlJc w:val="left"/>
    </w:lvl>
    <w:lvl w:ilvl="6" w:tplc="BD6E9642">
      <w:numFmt w:val="decimal"/>
      <w:lvlText w:val=""/>
      <w:lvlJc w:val="left"/>
    </w:lvl>
    <w:lvl w:ilvl="7" w:tplc="0792BE00">
      <w:numFmt w:val="decimal"/>
      <w:lvlText w:val=""/>
      <w:lvlJc w:val="left"/>
    </w:lvl>
    <w:lvl w:ilvl="8" w:tplc="B38A3068">
      <w:numFmt w:val="decimal"/>
      <w:lvlText w:val=""/>
      <w:lvlJc w:val="left"/>
    </w:lvl>
  </w:abstractNum>
  <w:abstractNum w:abstractNumId="1" w15:restartNumberingAfterBreak="0">
    <w:nsid w:val="1CF46BC6"/>
    <w:multiLevelType w:val="hybridMultilevel"/>
    <w:tmpl w:val="C3B232C6"/>
    <w:lvl w:ilvl="0" w:tplc="51F474D4">
      <w:start w:val="1"/>
      <w:numFmt w:val="bullet"/>
      <w:lvlText w:val="●"/>
      <w:lvlJc w:val="left"/>
      <w:pPr>
        <w:ind w:left="720" w:hanging="360"/>
      </w:pPr>
    </w:lvl>
    <w:lvl w:ilvl="1" w:tplc="6184A2C8">
      <w:start w:val="1"/>
      <w:numFmt w:val="bullet"/>
      <w:lvlText w:val="○"/>
      <w:lvlJc w:val="left"/>
      <w:pPr>
        <w:ind w:left="1440" w:hanging="360"/>
      </w:pPr>
    </w:lvl>
    <w:lvl w:ilvl="2" w:tplc="62886F26">
      <w:start w:val="1"/>
      <w:numFmt w:val="bullet"/>
      <w:lvlText w:val="■"/>
      <w:lvlJc w:val="left"/>
      <w:pPr>
        <w:ind w:left="2160" w:hanging="360"/>
      </w:pPr>
    </w:lvl>
    <w:lvl w:ilvl="3" w:tplc="6FC200E8">
      <w:start w:val="1"/>
      <w:numFmt w:val="bullet"/>
      <w:lvlText w:val="●"/>
      <w:lvlJc w:val="left"/>
      <w:pPr>
        <w:ind w:left="2880" w:hanging="360"/>
      </w:pPr>
    </w:lvl>
    <w:lvl w:ilvl="4" w:tplc="286CFA36">
      <w:start w:val="1"/>
      <w:numFmt w:val="bullet"/>
      <w:lvlText w:val="○"/>
      <w:lvlJc w:val="left"/>
      <w:pPr>
        <w:ind w:left="3600" w:hanging="360"/>
      </w:pPr>
    </w:lvl>
    <w:lvl w:ilvl="5" w:tplc="8BB65E0A">
      <w:start w:val="1"/>
      <w:numFmt w:val="bullet"/>
      <w:lvlText w:val="■"/>
      <w:lvlJc w:val="left"/>
      <w:pPr>
        <w:ind w:left="4320" w:hanging="360"/>
      </w:pPr>
    </w:lvl>
    <w:lvl w:ilvl="6" w:tplc="F9F84D7A">
      <w:start w:val="1"/>
      <w:numFmt w:val="bullet"/>
      <w:lvlText w:val="●"/>
      <w:lvlJc w:val="left"/>
      <w:pPr>
        <w:ind w:left="5040" w:hanging="360"/>
      </w:pPr>
    </w:lvl>
    <w:lvl w:ilvl="7" w:tplc="AB989096">
      <w:start w:val="1"/>
      <w:numFmt w:val="bullet"/>
      <w:lvlText w:val="●"/>
      <w:lvlJc w:val="left"/>
      <w:pPr>
        <w:ind w:left="5760" w:hanging="360"/>
      </w:pPr>
    </w:lvl>
    <w:lvl w:ilvl="8" w:tplc="3E04831C">
      <w:start w:val="1"/>
      <w:numFmt w:val="bullet"/>
      <w:lvlText w:val="●"/>
      <w:lvlJc w:val="left"/>
      <w:pPr>
        <w:ind w:left="6480" w:hanging="360"/>
      </w:pPr>
    </w:lvl>
  </w:abstractNum>
  <w:num w:numId="1" w16cid:durableId="643197445">
    <w:abstractNumId w:val="1"/>
    <w:lvlOverride w:ilvl="0">
      <w:startOverride w:val="1"/>
    </w:lvlOverride>
  </w:num>
  <w:num w:numId="2" w16cid:durableId="342442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70A"/>
    <w:rsid w:val="00394039"/>
    <w:rsid w:val="003A6D7D"/>
    <w:rsid w:val="005C5823"/>
    <w:rsid w:val="00766253"/>
    <w:rsid w:val="009B4452"/>
    <w:rsid w:val="00CC355C"/>
    <w:rsid w:val="00D550DF"/>
    <w:rsid w:val="00DE1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64FA"/>
  <w15:docId w15:val="{86CE5D1A-D35B-CB45-A629-74617082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6D7D"/>
    <w:rPr>
      <w:color w:val="605E5C"/>
      <w:shd w:val="clear" w:color="auto" w:fill="E1DFDD"/>
    </w:rPr>
  </w:style>
  <w:style w:type="character" w:styleId="FollowedHyperlink">
    <w:name w:val="FollowedHyperlink"/>
    <w:basedOn w:val="DefaultParagraphFont"/>
    <w:uiPriority w:val="99"/>
    <w:semiHidden/>
    <w:unhideWhenUsed/>
    <w:rsid w:val="003A6D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Word_Document2.doc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package" Target="embeddings/Microsoft_Word_Document1.doc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Word_Document3.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Mahendranath Porandla</cp:lastModifiedBy>
  <cp:revision>5</cp:revision>
  <dcterms:created xsi:type="dcterms:W3CDTF">2026-04-04T07:33:00Z</dcterms:created>
  <dcterms:modified xsi:type="dcterms:W3CDTF">2026-04-04T10:30:00Z</dcterms:modified>
</cp:coreProperties>
</file>