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Data Collection and Preprocessing Phase</w:t>
      </w:r>
      <w:r w:rsidDel="00000000" w:rsidR="00000000" w:rsidRPr="00000000">
        <w:rPr>
          <w:rtl w:val="0"/>
        </w:rPr>
      </w:r>
    </w:p>
    <w:p w:rsidR="00000000" w:rsidDel="00000000" w:rsidP="00000000" w:rsidRDefault="00000000" w:rsidRPr="00000000" w14:paraId="00000002">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21-September-2026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rtl w:val="0"/>
              </w:rPr>
              <w:t xml:space="preserve">Smartphone Usage, Digital Addiction &amp; Well-Being Analytics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Marks</w:t>
            </w:r>
          </w:p>
        </w:tc>
      </w:tr>
    </w:tbl>
    <w:p w:rsidR="00000000" w:rsidDel="00000000" w:rsidP="00000000" w:rsidRDefault="00000000" w:rsidRPr="00000000" w14:paraId="0000000B">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&amp; Raw Data Sources Identification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your data strategy with the Data Collection plan and the Raw Data Sources report, ensuring meticulous data curation and integrity for informed decision-making in every analysis and decision-making endeavor.</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Template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58624283481"/>
        <w:gridCol w:w="6794.41375716519"/>
        <w:tblGridChange w:id="0">
          <w:tblGrid>
            <w:gridCol w:w="2565.58624283481"/>
            <w:gridCol w:w="6794.41375716519"/>
          </w:tblGrid>
        </w:tblGridChange>
      </w:tblGrid>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0">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1">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w:t>
            </w:r>
          </w:p>
        </w:tc>
        <w:tc>
          <w:tcPr>
            <w:tcBorders>
              <w:right w:color="000000" w:space="0" w:sz="4" w:val="single"/>
            </w:tcBorders>
          </w:tcPr>
          <w:p w:rsidR="00000000" w:rsidDel="00000000" w:rsidP="00000000" w:rsidRDefault="00000000" w:rsidRPr="00000000" w14:paraId="0000001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analyzes smartphone usage behavior across 7,500 users to identify which factors are most strongly linked to digital addiction, using SQL for data quality checks and Power BI for KPI creation, visualization, and dashboarding.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collected as a single structured CSV export (Smartphone_Usage.csv) containing 7,500 user records with usage, well-being, and demographic fields. The file was loaded into a MySQL database (smartphone_usage) for SQL-based exploration, then imported into Power BI via Power Query for further preparation.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Sources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primary raw data source was identified and used: the Smartphone_Usage.csv file, containing 16 columns covering screen time, sleep, notifications, app usage, stress, academic/work impact, and addiction labels/levels (see table below).</w:t>
            </w:r>
          </w:p>
        </w:tc>
      </w:tr>
    </w:tbl>
    <w:p w:rsidR="00000000" w:rsidDel="00000000" w:rsidP="00000000" w:rsidRDefault="00000000" w:rsidRPr="00000000" w14:paraId="00000018">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Data Sources Template</w:t>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1645021645022"/>
        <w:gridCol w:w="2179.0476190476193"/>
        <w:gridCol w:w="1962.943722943723"/>
        <w:gridCol w:w="1152.5541125541126"/>
        <w:gridCol w:w="909.4372294372295"/>
        <w:gridCol w:w="1773.8528138528138"/>
        <w:tblGridChange w:id="0">
          <w:tblGrid>
            <w:gridCol w:w="1382.1645021645022"/>
            <w:gridCol w:w="2179.0476190476193"/>
            <w:gridCol w:w="1962.943722943723"/>
            <w:gridCol w:w="1152.5541125541126"/>
            <w:gridCol w:w="909.4372294372295"/>
            <w:gridCol w:w="1773.8528138528138"/>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3">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4">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5">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6">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7">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8">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Permissions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Smartphone_Usage.csv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User-level smartphone usage and well-being dataset: age, gender, daily/weekend screen time, social media hours, gaming hours, work/study hours, sleep hours, notifications per day, app opens per day, stress level, academic/work impact, addiction level, and addicted label (7,500 rows, 16 columns).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file / provided dataset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(project use only)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Smartphone_Usage.pbix (Power BI Data Model)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file containing the imported dataset, calculated Age Band column, and DAX measures (Total Users, Addiction Rate %, Avg Sleep/Screen Time comparisons); serves as the prepared data source for all visualizations and the dashboard.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Power BI Desktop file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2">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PBIX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3">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MB (depending on model size)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(project use only) </w:t>
            </w:r>
          </w:p>
        </w:tc>
      </w:tr>
    </w:tbl>
    <w:p w:rsidR="00000000" w:rsidDel="00000000" w:rsidP="00000000" w:rsidRDefault="00000000" w:rsidRPr="00000000" w14:paraId="00000035">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both"/>
      <w:rPr/>
    </w:pPr>
    <w:r w:rsidDel="00000000" w:rsidR="00000000" w:rsidRPr="00000000">
      <w:rPr/>
      <w:drawing>
        <wp:anchor allowOverlap="1" behindDoc="1" distB="0" distT="0" distL="0" distR="0" hidden="0" layoutInCell="1" locked="0" relativeHeight="0" simplePos="0">
          <wp:simplePos x="0" y="0"/>
          <wp:positionH relativeFrom="page">
            <wp:posOffset>6715125</wp:posOffset>
          </wp:positionH>
          <wp:positionV relativeFrom="page">
            <wp:posOffset>304800</wp:posOffset>
          </wp:positionV>
          <wp:extent cx="990600" cy="4953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0600" cy="495300"/>
                  </a:xfrm>
                  <a:prstGeom prst="rect"/>
                  <a:ln/>
                </pic:spPr>
              </pic:pic>
            </a:graphicData>
          </a:graphic>
        </wp:anchor>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