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1" distB="0" distT="0" distL="0" distR="0" hidden="0" layoutInCell="1" locked="0" relativeHeight="0" simplePos="0">
            <wp:simplePos x="0" y="0"/>
            <wp:positionH relativeFrom="page">
              <wp:posOffset>6387183</wp:posOffset>
            </wp:positionH>
            <wp:positionV relativeFrom="page">
              <wp:posOffset>66675</wp:posOffset>
            </wp:positionV>
            <wp:extent cx="990600" cy="4953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90600" cy="495300"/>
                    </a:xfrm>
                    <a:prstGeom prst="rect"/>
                    <a:ln/>
                  </pic:spPr>
                </pic:pic>
              </a:graphicData>
            </a:graphic>
          </wp:anchor>
        </w:drawing>
      </w:r>
      <w:r w:rsidDel="00000000" w:rsidR="00000000" w:rsidRPr="00000000">
        <w:rPr>
          <w:rFonts w:ascii="Times New Roman" w:cs="Times New Roman" w:eastAsia="Times New Roman" w:hAnsi="Times New Roman"/>
          <w:b w:val="1"/>
          <w:bCs w:val="1"/>
          <w:color w:val="000000"/>
          <w:sz w:val="32"/>
          <w:szCs w:val="32"/>
          <w:rtl w:val="0"/>
        </w:rPr>
        <w:t xml:space="preserve">Report</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rHeight w:val="365.9765625" w:hRule="atLeast"/>
          <w:tblHeader w:val="0"/>
        </w:trPr>
        <w:tc>
          <w:tcPr/>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21-September-2026</w:t>
            </w:r>
          </w:p>
        </w:tc>
      </w:tr>
      <w:tr>
        <w:trPr>
          <w:cantSplit w:val="0"/>
          <w:trHeight w:val="365.9765625" w:hRule="atLeast"/>
          <w:tblHeader w:val="0"/>
        </w:trPr>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MCA</w:t>
            </w:r>
          </w:p>
        </w:tc>
      </w:tr>
      <w:tr>
        <w:trPr>
          <w:cantSplit w:val="0"/>
          <w:trHeight w:val="641.953125" w:hRule="atLeast"/>
          <w:tblHeader w:val="0"/>
        </w:trPr>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Smartphone Usage, Digital Addiction &amp; Well-Being Analytics</w:t>
            </w:r>
            <w:r w:rsidDel="00000000" w:rsidR="00000000" w:rsidRPr="00000000">
              <w:rPr>
                <w:rFonts w:ascii="Times New Roman" w:cs="Times New Roman" w:eastAsia="Times New Roman" w:hAnsi="Times New Roman"/>
                <w:rtl w:val="0"/>
              </w:rPr>
              <w:t xml:space="preserve"> </w:t>
            </w:r>
          </w:p>
        </w:tc>
      </w:tr>
      <w:tr>
        <w:trPr>
          <w:cantSplit w:val="0"/>
          <w:trHeight w:val="402.978515625" w:hRule="atLeast"/>
          <w:tblHeader w:val="0"/>
        </w:trPr>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Marks</w:t>
            </w:r>
          </w:p>
        </w:tc>
      </w:tr>
    </w:tbl>
    <w:p w:rsidR="00000000" w:rsidDel="00000000" w:rsidP="00000000" w:rsidRDefault="00000000" w:rsidRPr="00000000" w14:paraId="0000000B">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C">
      <w:pPr>
        <w:spacing w:after="280" w:before="280"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13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hd w:fill="ffffff" w:val="clea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Observations drawn from the Report  page in Power BI provide valuable insights into smartphone usage patterns and digital well-being trends.</w:t>
      </w:r>
      <w:r w:rsidDel="00000000" w:rsidR="00000000" w:rsidRPr="00000000">
        <w:rPr>
          <w:rtl w:val="0"/>
        </w:rPr>
      </w:r>
    </w:p>
    <w:p w:rsidR="00000000" w:rsidDel="00000000" w:rsidP="00000000" w:rsidRDefault="00000000" w:rsidRPr="00000000" w14:paraId="0000001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1. Trends Over Time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2">
      <w:pPr>
        <w:spacing w:after="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 line chart of weekend screen time by age group shows usage peaks in the 20-29 group (9.25 hrs) and declines through 30-39 down to Under 20 (9.10 hrs), suggesting weekend usage patterns shift with age.</w:t>
      </w:r>
      <w:r w:rsidDel="00000000" w:rsidR="00000000" w:rsidRPr="00000000">
        <w:rPr>
          <w:rtl w:val="0"/>
        </w:rPr>
      </w:r>
    </w:p>
    <w:p w:rsidR="00000000" w:rsidDel="00000000" w:rsidP="00000000" w:rsidRDefault="00000000" w:rsidRPr="00000000" w14:paraId="0000001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2. Performance Comparisons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14">
      <w:pPr>
        <w:spacing w:after="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Weekend screen time by addiction level shows a clear gradient: Severe users average 10.4 hrs, Moderate 10.1 hrs, Mild 7.3 hrs, and None 6.2 hrs, confirming addiction severity tracks closely with weekend usage volume.</w:t>
      </w:r>
      <w:r w:rsidDel="00000000" w:rsidR="00000000" w:rsidRPr="00000000">
        <w:rPr>
          <w:rtl w:val="0"/>
        </w:rPr>
      </w:r>
    </w:p>
    <w:p w:rsidR="00000000" w:rsidDel="00000000" w:rsidP="00000000" w:rsidRDefault="00000000" w:rsidRPr="00000000" w14:paraId="00000015">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 Customer Segmentation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6">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decomposition tree segments all 7,500 users by Age Group, gender, stress level, and academic/work impact - for example, of the 4,132 users aged 20-29, 1,394 are Female, of whom 475 report High stress, and 254 of those report academic/work impact.</w:t>
      </w:r>
      <w:r w:rsidDel="00000000" w:rsidR="00000000" w:rsidRPr="00000000">
        <w:rPr>
          <w:rtl w:val="0"/>
        </w:rPr>
      </w:r>
    </w:p>
    <w:p w:rsidR="00000000" w:rsidDel="00000000" w:rsidP="00000000" w:rsidRDefault="00000000" w:rsidRPr="00000000" w14:paraId="0000001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 Goal Achievement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Average daily notifications (134.26), app opens per day (97.83), and social media hours (3.27) serve as tracked indicators of digital engagement intensity, useful for measuring whether future interventions reduce compulsive usage over time.</w:t>
      </w:r>
      <w:r w:rsidDel="00000000" w:rsidR="00000000" w:rsidRPr="00000000">
        <w:rPr>
          <w:rtl w:val="0"/>
        </w:rPr>
      </w:r>
    </w:p>
    <w:p w:rsidR="00000000" w:rsidDel="00000000" w:rsidP="00000000" w:rsidRDefault="00000000" w:rsidRPr="00000000" w14:paraId="00000019">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tl w:val="0"/>
        </w:rPr>
      </w:r>
    </w:p>
    <w:p w:rsidR="00000000" w:rsidDel="00000000" w:rsidP="00000000" w:rsidRDefault="00000000" w:rsidRPr="00000000" w14:paraId="0000001A">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Gender by Addiction Level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B">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chart shows </w:t>
      </w:r>
      <w:r w:rsidDel="00000000" w:rsidR="00000000" w:rsidRPr="00000000">
        <w:rPr>
          <w:rFonts w:ascii="Times New Roman" w:cs="Times New Roman" w:eastAsia="Times New Roman" w:hAnsi="Times New Roman"/>
          <w:b w:val="1"/>
          <w:bCs w:val="1"/>
          <w:sz w:val="24"/>
          <w:szCs w:val="24"/>
          <w:rtl w:val="0"/>
        </w:rPr>
        <w:t xml:space="preserve">Moderate addiction has the highest count (2.9K users)</w:t>
      </w:r>
      <w:r w:rsidDel="00000000" w:rsidR="00000000" w:rsidRPr="00000000">
        <w:rPr>
          <w:rFonts w:ascii="Times New Roman" w:cs="Times New Roman" w:eastAsia="Times New Roman" w:hAnsi="Times New Roman"/>
          <w:sz w:val="24"/>
          <w:szCs w:val="24"/>
          <w:rtl w:val="0"/>
        </w:rPr>
        <w:t xml:space="preserve">, followed by Severe (2.4K), Mild (1.4K), and None (0.8K), across the gender-split view.</w:t>
      </w:r>
      <w:r w:rsidDel="00000000" w:rsidR="00000000" w:rsidRPr="00000000">
        <w:rPr>
          <w:rtl w:val="0"/>
        </w:rPr>
      </w:r>
    </w:p>
    <w:p w:rsidR="00000000" w:rsidDel="00000000" w:rsidP="00000000" w:rsidRDefault="00000000" w:rsidRPr="00000000" w14:paraId="0000001C">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Academic Impact and Work/Study Hours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Users reporting </w:t>
      </w:r>
      <w:r w:rsidDel="00000000" w:rsidR="00000000" w:rsidRPr="00000000">
        <w:rPr>
          <w:rFonts w:ascii="Times New Roman" w:cs="Times New Roman" w:eastAsia="Times New Roman" w:hAnsi="Times New Roman"/>
          <w:b w:val="1"/>
          <w:bCs w:val="1"/>
          <w:sz w:val="24"/>
          <w:szCs w:val="24"/>
          <w:rtl w:val="0"/>
        </w:rPr>
        <w:t xml:space="preserve">no academic/work impact average slightly more study hours (3.28)</w:t>
      </w:r>
      <w:r w:rsidDel="00000000" w:rsidR="00000000" w:rsidRPr="00000000">
        <w:rPr>
          <w:rFonts w:ascii="Times New Roman" w:cs="Times New Roman" w:eastAsia="Times New Roman" w:hAnsi="Times New Roman"/>
          <w:sz w:val="24"/>
          <w:szCs w:val="24"/>
          <w:rtl w:val="0"/>
        </w:rPr>
        <w:t xml:space="preserve"> than those reporting impact (3.21), a negligible difference suggesting work/study hours alone do not explain reported academic impact.</w:t>
      </w:r>
      <w:r w:rsidDel="00000000" w:rsidR="00000000" w:rsidRPr="00000000">
        <w:rPr>
          <w:rtl w:val="0"/>
        </w:rPr>
      </w:r>
    </w:p>
    <w:p w:rsidR="00000000" w:rsidDel="00000000" w:rsidP="00000000" w:rsidRDefault="00000000" w:rsidRPr="00000000" w14:paraId="0000001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Weekend Screen Time Disparities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Severe addiction group</w:t>
      </w:r>
      <w:r w:rsidDel="00000000" w:rsidR="00000000" w:rsidRPr="00000000">
        <w:rPr>
          <w:rFonts w:ascii="Times New Roman" w:cs="Times New Roman" w:eastAsia="Times New Roman" w:hAnsi="Times New Roman"/>
          <w:sz w:val="24"/>
          <w:szCs w:val="24"/>
          <w:rtl w:val="0"/>
        </w:rPr>
        <w:t xml:space="preserve"> has the highest average weekend screen time at </w:t>
      </w:r>
      <w:r w:rsidDel="00000000" w:rsidR="00000000" w:rsidRPr="00000000">
        <w:rPr>
          <w:rFonts w:ascii="Times New Roman" w:cs="Times New Roman" w:eastAsia="Times New Roman" w:hAnsi="Times New Roman"/>
          <w:b w:val="1"/>
          <w:bCs w:val="1"/>
          <w:sz w:val="24"/>
          <w:szCs w:val="24"/>
          <w:rtl w:val="0"/>
        </w:rPr>
        <w:t xml:space="preserve">10.4 hours</w:t>
      </w:r>
      <w:r w:rsidDel="00000000" w:rsidR="00000000" w:rsidRPr="00000000">
        <w:rPr>
          <w:rFonts w:ascii="Times New Roman" w:cs="Times New Roman" w:eastAsia="Times New Roman" w:hAnsi="Times New Roman"/>
          <w:sz w:val="24"/>
          <w:szCs w:val="24"/>
          <w:rtl w:val="0"/>
        </w:rPr>
        <w:t xml:space="preserve">, nearly 68% higher than the None group (6.2 hours), reinforcing screen time as the key addiction indicator.</w:t>
      </w:r>
      <w:r w:rsidDel="00000000" w:rsidR="00000000" w:rsidRPr="00000000">
        <w:rPr>
          <w:rtl w:val="0"/>
        </w:rPr>
      </w:r>
    </w:p>
    <w:p w:rsidR="00000000" w:rsidDel="00000000" w:rsidP="00000000" w:rsidRDefault="00000000" w:rsidRPr="00000000" w14:paraId="0000002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User Segmentation Depth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Drilling into the </w:t>
      </w:r>
      <w:r w:rsidDel="00000000" w:rsidR="00000000" w:rsidRPr="00000000">
        <w:rPr>
          <w:rFonts w:ascii="Times New Roman" w:cs="Times New Roman" w:eastAsia="Times New Roman" w:hAnsi="Times New Roman"/>
          <w:b w:val="1"/>
          <w:bCs w:val="1"/>
          <w:sz w:val="24"/>
          <w:szCs w:val="24"/>
          <w:rtl w:val="0"/>
        </w:rPr>
        <w:t xml:space="preserve">20-29 age group (4,132 users)</w:t>
      </w:r>
      <w:r w:rsidDel="00000000" w:rsidR="00000000" w:rsidRPr="00000000">
        <w:rPr>
          <w:rFonts w:ascii="Times New Roman" w:cs="Times New Roman" w:eastAsia="Times New Roman" w:hAnsi="Times New Roman"/>
          <w:sz w:val="24"/>
          <w:szCs w:val="24"/>
          <w:rtl w:val="0"/>
        </w:rPr>
        <w:t xml:space="preserve">, segmentation shows </w:t>
      </w:r>
      <w:r w:rsidDel="00000000" w:rsidR="00000000" w:rsidRPr="00000000">
        <w:rPr>
          <w:rFonts w:ascii="Times New Roman" w:cs="Times New Roman" w:eastAsia="Times New Roman" w:hAnsi="Times New Roman"/>
          <w:b w:val="1"/>
          <w:bCs w:val="1"/>
          <w:sz w:val="24"/>
          <w:szCs w:val="24"/>
          <w:rtl w:val="0"/>
        </w:rPr>
        <w:t xml:space="preserve">Female users (1,394) with High stress (475)</w:t>
      </w:r>
      <w:r w:rsidDel="00000000" w:rsidR="00000000" w:rsidRPr="00000000">
        <w:rPr>
          <w:rFonts w:ascii="Times New Roman" w:cs="Times New Roman" w:eastAsia="Times New Roman" w:hAnsi="Times New Roman"/>
          <w:sz w:val="24"/>
          <w:szCs w:val="24"/>
          <w:rtl w:val="0"/>
        </w:rPr>
        <w:t xml:space="preserve"> as a specific at-risk subgroup worth targeted follow-up.</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200"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