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F172A"/>
          <w:sz w:val="40"/>
        </w:rPr>
        <w:t>Unlocking India’s ₹150+ Lakh Crore “Lazy Capital”: The Strategic Imperative to Modernize Fixed Deposit Savers</w:t>
      </w:r>
    </w:p>
    <w:p>
      <w:pPr>
        <w:spacing w:before="0" w:after="280"/>
      </w:pPr>
      <w:r>
        <w:rPr>
          <w:rFonts w:ascii="Calibri" w:hAnsi="Calibri"/>
          <w:i/>
          <w:color w:val="475569"/>
          <w:sz w:val="24"/>
        </w:rPr>
        <w:t>Bridging the Yield Gap for Risk-Averse Households via Automated, Capital-Preserving Quantitative Fixed-Income Architectures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line="276" w:lineRule="auto"/>
            </w:pPr>
            <w:r>
              <w:rPr>
                <w:b/>
                <w:color w:val="0F172A"/>
                <w:sz w:val="21"/>
              </w:rPr>
              <w:t xml:space="preserve">Executive Summary: </w:t>
            </w:r>
            <w:r>
              <w:rPr>
                <w:i/>
                <w:color w:val="1E293B"/>
                <w:sz w:val="21"/>
              </w:rPr>
              <w:t>Over 85% of Indian household financial wealth resides locked in traditional commercial bank fixed deposits (FDs), recurring accounts, and postal savings schemes. Totalling upwards of ₹150 Lakh Crore ($1.8+ Trillion), this colossal pool of liquidity represents 'lazy capital'—nominally safe, yet systematically subjected to wealth erosion from inflation and high marginal tax rates. While FinTech platforms have historically prioritized high-velocity equity and F&amp;O trading, the defining wealth management opportunity of the coming decade lies in engineering institutional-grade, zero-liquidation fixed-income portfolios that capture 200–300 bps of yield alpha for India's conservative saver.</w:t>
            </w:r>
          </w:p>
        </w:tc>
      </w:tr>
    </w:tbl>
    <w:p>
      <w:pPr>
        <w:spacing w:after="120"/>
      </w:pPr>
    </w:p>
    <w:p>
      <w:pPr>
        <w:keepNext/>
        <w:spacing w:before="280" w:after="80"/>
      </w:pPr>
      <w:r>
        <w:rPr>
          <w:b/>
          <w:color w:val="0F172A"/>
          <w:sz w:val="27"/>
        </w:rPr>
        <w:t>1. The Paradox of Indian Household Wealth: Nominal Safety, Real Erosion</w:t>
      </w:r>
    </w:p>
    <w:p>
      <w:pPr>
        <w:spacing w:before="0" w:after="120" w:line="276" w:lineRule="auto"/>
      </w:pPr>
      <w:r>
        <w:rPr>
          <w:color w:val="222222"/>
          <w:sz w:val="21"/>
        </w:rPr>
        <w:t>For generations of Indian middle-class households, the financial playbook was straightforward: earn, save, and secure funds in a Scheduled Commercial Bank Fixed Deposit (FD) or a 5-Year Post Office National Savings Certificate (NSC). The tangible reassurance of the physical bank passbook established an emotional and generational trust anchor that financial technology has largely failed to disrupt. Even amid the post-2020 boom in retail demat accounts and systematic investment plans (SIPs), macro aggregate balance sheets reveal that over 50% of aggregate liquid household financial assets remain parked in bank deposits and small savings schemes.</w:t>
      </w:r>
    </w:p>
    <w:p>
      <w:pPr>
        <w:spacing w:before="0" w:after="120" w:line="276" w:lineRule="auto"/>
      </w:pPr>
      <w:r>
        <w:rPr>
          <w:color w:val="222222"/>
          <w:sz w:val="21"/>
        </w:rPr>
        <w:t>However, this generational reliance has created a profound macroeconomic paradox. While nominally risk-free, this massive ₹150+ Lakh Crore capital base is subject to continuous purchasing power degradation. With headline CPI inflation persistently oscillating between 5.0% and 6.5%, and conventional bank FDs offering pre-tax yields in the range of 6.50% to 7.20%, post-tax real yields for individuals in the 30% income bracket are routinely negative (-0.8% to -1.4%). Even senior citizens receiving special rate bumps barely break even against lifestyle inflation. Despite this mathematical certainty of capital erosion, conservative savers resist equities due to acute loss aversion, fear of principal drawdown, and the intimidating complexity of stock picking.</w:t>
      </w:r>
    </w:p>
    <w:p>
      <w:pPr>
        <w:keepNext/>
        <w:spacing w:before="280" w:after="80"/>
      </w:pPr>
      <w:r>
        <w:rPr>
          <w:b/>
          <w:color w:val="0F172A"/>
          <w:sz w:val="27"/>
        </w:rPr>
        <w:t>2. Anatomy of the 'Safe' Asset Arbitrage: Treasury Yields vs. Retail Deprivation</w:t>
      </w:r>
    </w:p>
    <w:p>
      <w:pPr>
        <w:spacing w:before="0" w:after="120" w:line="276" w:lineRule="auto"/>
      </w:pPr>
      <w:r>
        <w:rPr>
          <w:color w:val="222222"/>
          <w:sz w:val="21"/>
        </w:rPr>
        <w:t>The fundamental disconnect in the Indian financial system is not an absence of yield, but an asymmetry of access. Institutional investors, corporate treasury desks, and sovereign wealth managers routinely generate stable, annualized returns of 8.0% to 9.20% by deploying capital into sovereign Government Securities (G-Secs), State Development Loans (SDLs), and AAA-rated Public Sector Undertaking (PSU) bonds. These institutional instruments carry negligible default risk, yet they have historically remained completely segregated from retail reach due to opaque secondary markets, institutional lot sizes (historically ₹5 Crore), and a lack of unified consumer interfaces.</w:t>
      </w:r>
    </w:p>
    <w:p>
      <w:pPr>
        <w:spacing w:before="0" w:after="120" w:line="276" w:lineRule="auto"/>
      </w:pPr>
      <w:r>
        <w:rPr>
          <w:color w:val="222222"/>
          <w:sz w:val="21"/>
        </w:rPr>
        <w:t>Consequently, retail savers surrender a structural 150–250 bps margin to commercial banks, which borrow retail capital cheaply via deposits and turn around to deploy it into high-yielding corporate and sovereign credit lines. The benchmark table below highlights the structural yield, liquidity, and safety disparity across traditional savings vehicles and institutional fixed-income instruments.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0F172A"/>
            <w:tcMar>
              <w:top w:w="100" w:type="dxa"/>
              <w:bottom w:w="100" w:type="dxa"/>
              <w:left w:w="100" w:type="dxa"/>
              <w:right w:w="100" w:type="dxa"/>
            </w:tcMar>
          </w:tcPr>
          <w:p>
            <w:pPr>
              <w:spacing w:before="40" w:after="40"/>
            </w:pPr>
            <w:r>
              <w:rPr>
                <w:b/>
                <w:color w:val="FFFFFF"/>
                <w:sz w:val="17"/>
              </w:rPr>
              <w:t>Instrument Category</w:t>
            </w:r>
          </w:p>
        </w:tc>
        <w:tc>
          <w:tcPr>
            <w:tcW w:type="dxa" w:w="1584"/>
            <w:shd w:fill="0F172A"/>
            <w:tcMar>
              <w:top w:w="100" w:type="dxa"/>
              <w:bottom w:w="100" w:type="dxa"/>
              <w:left w:w="100" w:type="dxa"/>
              <w:right w:w="100" w:type="dxa"/>
            </w:tcMar>
          </w:tcPr>
          <w:p>
            <w:pPr>
              <w:spacing w:before="40" w:after="40"/>
            </w:pPr>
            <w:r>
              <w:rPr>
                <w:b/>
                <w:color w:val="FFFFFF"/>
                <w:sz w:val="17"/>
              </w:rPr>
              <w:t>Avg. Nominal Yield</w:t>
            </w:r>
          </w:p>
        </w:tc>
        <w:tc>
          <w:tcPr>
            <w:tcW w:type="dxa" w:w="2016"/>
            <w:shd w:fill="0F172A"/>
            <w:tcMar>
              <w:top w:w="100" w:type="dxa"/>
              <w:bottom w:w="100" w:type="dxa"/>
              <w:left w:w="100" w:type="dxa"/>
              <w:right w:w="100" w:type="dxa"/>
            </w:tcMar>
          </w:tcPr>
          <w:p>
            <w:pPr>
              <w:spacing w:before="40" w:after="40"/>
            </w:pPr>
            <w:r>
              <w:rPr>
                <w:b/>
                <w:color w:val="FFFFFF"/>
                <w:sz w:val="17"/>
              </w:rPr>
              <w:t>Liquidity &amp; Lock-in</w:t>
            </w:r>
          </w:p>
        </w:tc>
        <w:tc>
          <w:tcPr>
            <w:tcW w:type="dxa" w:w="1872"/>
            <w:shd w:fill="0F172A"/>
            <w:tcMar>
              <w:top w:w="100" w:type="dxa"/>
              <w:bottom w:w="100" w:type="dxa"/>
              <w:left w:w="100" w:type="dxa"/>
              <w:right w:w="100" w:type="dxa"/>
            </w:tcMar>
          </w:tcPr>
          <w:p>
            <w:pPr>
              <w:spacing w:before="40" w:after="40"/>
            </w:pPr>
            <w:r>
              <w:rPr>
                <w:b/>
                <w:color w:val="FFFFFF"/>
                <w:sz w:val="17"/>
              </w:rPr>
              <w:t>Credit / Default Risk</w:t>
            </w:r>
          </w:p>
        </w:tc>
        <w:tc>
          <w:tcPr>
            <w:tcW w:type="dxa" w:w="1872"/>
            <w:shd w:fill="0F172A"/>
            <w:tcMar>
              <w:top w:w="100" w:type="dxa"/>
              <w:bottom w:w="100" w:type="dxa"/>
              <w:left w:w="100" w:type="dxa"/>
              <w:right w:w="100" w:type="dxa"/>
            </w:tcMar>
          </w:tcPr>
          <w:p>
            <w:pPr>
              <w:spacing w:before="40" w:after="40"/>
            </w:pPr>
            <w:r>
              <w:rPr>
                <w:b/>
                <w:color w:val="FFFFFF"/>
                <w:sz w:val="17"/>
              </w:rPr>
              <w:t>Real Post-Tax Return (30% Slab)</w:t>
            </w:r>
          </w:p>
        </w:tc>
      </w:tr>
      <w:tr>
        <w:tc>
          <w:tcPr>
            <w:tcW w:type="dxa" w:w="2016"/>
            <w:shd w:fill="FFFFFF"/>
            <w:tcMar>
              <w:top w:w="80" w:type="dxa"/>
              <w:bottom w:w="80" w:type="dxa"/>
              <w:left w:w="100" w:type="dxa"/>
              <w:right w:w="100" w:type="dxa"/>
            </w:tcMar>
          </w:tcPr>
          <w:p>
            <w:pPr>
              <w:spacing w:before="40" w:after="40"/>
            </w:pPr>
            <w:r>
              <w:rPr>
                <w:b/>
                <w:color w:val="0F172A"/>
                <w:sz w:val="17"/>
              </w:rPr>
              <w:t>Scheduled Bank FD</w:t>
            </w:r>
          </w:p>
        </w:tc>
        <w:tc>
          <w:tcPr>
            <w:tcW w:type="dxa" w:w="1584"/>
            <w:shd w:fill="FFFFFF"/>
            <w:tcMar>
              <w:top w:w="80" w:type="dxa"/>
              <w:bottom w:w="80" w:type="dxa"/>
              <w:left w:w="100" w:type="dxa"/>
              <w:right w:w="100" w:type="dxa"/>
            </w:tcMar>
          </w:tcPr>
          <w:p>
            <w:pPr>
              <w:spacing w:before="40" w:after="40"/>
            </w:pPr>
            <w:r>
              <w:rPr>
                <w:color w:val="334155"/>
                <w:sz w:val="17"/>
              </w:rPr>
              <w:t>6.60% – 7.20%</w:t>
            </w:r>
          </w:p>
        </w:tc>
        <w:tc>
          <w:tcPr>
            <w:tcW w:type="dxa" w:w="2016"/>
            <w:shd w:fill="FFFFFF"/>
            <w:tcMar>
              <w:top w:w="80" w:type="dxa"/>
              <w:bottom w:w="80" w:type="dxa"/>
              <w:left w:w="100" w:type="dxa"/>
              <w:right w:w="100" w:type="dxa"/>
            </w:tcMar>
          </w:tcPr>
          <w:p>
            <w:pPr>
              <w:spacing w:before="40" w:after="40"/>
            </w:pPr>
            <w:r>
              <w:rPr>
                <w:color w:val="334155"/>
                <w:sz w:val="17"/>
              </w:rPr>
              <w:t>1–5 Yrs (Premature penalty 0.5–1%)</w:t>
            </w:r>
          </w:p>
        </w:tc>
        <w:tc>
          <w:tcPr>
            <w:tcW w:type="dxa" w:w="1872"/>
            <w:shd w:fill="FFFFFF"/>
            <w:tcMar>
              <w:top w:w="80" w:type="dxa"/>
              <w:bottom w:w="80" w:type="dxa"/>
              <w:left w:w="100" w:type="dxa"/>
              <w:right w:w="100" w:type="dxa"/>
            </w:tcMar>
          </w:tcPr>
          <w:p>
            <w:pPr>
              <w:spacing w:before="40" w:after="40"/>
            </w:pPr>
            <w:r>
              <w:rPr>
                <w:color w:val="334155"/>
                <w:sz w:val="17"/>
              </w:rPr>
              <w:t>DICGC covers up to ₹5 Lakh only</w:t>
            </w:r>
          </w:p>
        </w:tc>
        <w:tc>
          <w:tcPr>
            <w:tcW w:type="dxa" w:w="1872"/>
            <w:shd w:fill="FFFFFF"/>
            <w:tcMar>
              <w:top w:w="80" w:type="dxa"/>
              <w:bottom w:w="80" w:type="dxa"/>
              <w:left w:w="100" w:type="dxa"/>
              <w:right w:w="100" w:type="dxa"/>
            </w:tcMar>
          </w:tcPr>
          <w:p>
            <w:pPr>
              <w:spacing w:before="40" w:after="40"/>
            </w:pPr>
            <w:r>
              <w:rPr>
                <w:color w:val="334155"/>
                <w:sz w:val="17"/>
              </w:rPr>
              <w:t>-0.8% to -1.4% (Negative)</w:t>
            </w:r>
          </w:p>
        </w:tc>
      </w:tr>
      <w:tr>
        <w:tc>
          <w:tcPr>
            <w:tcW w:type="dxa" w:w="2016"/>
            <w:shd w:fill="F8FAFC"/>
            <w:tcMar>
              <w:top w:w="80" w:type="dxa"/>
              <w:bottom w:w="80" w:type="dxa"/>
              <w:left w:w="100" w:type="dxa"/>
              <w:right w:w="100" w:type="dxa"/>
            </w:tcMar>
          </w:tcPr>
          <w:p>
            <w:pPr>
              <w:spacing w:before="40" w:after="40"/>
            </w:pPr>
            <w:r>
              <w:rPr>
                <w:b/>
                <w:color w:val="0F172A"/>
                <w:sz w:val="17"/>
              </w:rPr>
              <w:t>Post Office Savings / NSC</w:t>
            </w:r>
          </w:p>
        </w:tc>
        <w:tc>
          <w:tcPr>
            <w:tcW w:type="dxa" w:w="1584"/>
            <w:shd w:fill="F8FAFC"/>
            <w:tcMar>
              <w:top w:w="80" w:type="dxa"/>
              <w:bottom w:w="80" w:type="dxa"/>
              <w:left w:w="100" w:type="dxa"/>
              <w:right w:w="100" w:type="dxa"/>
            </w:tcMar>
          </w:tcPr>
          <w:p>
            <w:pPr>
              <w:spacing w:before="40" w:after="40"/>
            </w:pPr>
            <w:r>
              <w:rPr>
                <w:color w:val="334155"/>
                <w:sz w:val="17"/>
              </w:rPr>
              <w:t>7.10% – 7.70%</w:t>
            </w:r>
          </w:p>
        </w:tc>
        <w:tc>
          <w:tcPr>
            <w:tcW w:type="dxa" w:w="2016"/>
            <w:shd w:fill="F8FAFC"/>
            <w:tcMar>
              <w:top w:w="80" w:type="dxa"/>
              <w:bottom w:w="80" w:type="dxa"/>
              <w:left w:w="100" w:type="dxa"/>
              <w:right w:w="100" w:type="dxa"/>
            </w:tcMar>
          </w:tcPr>
          <w:p>
            <w:pPr>
              <w:spacing w:before="40" w:after="40"/>
            </w:pPr>
            <w:r>
              <w:rPr>
                <w:color w:val="334155"/>
                <w:sz w:val="17"/>
              </w:rPr>
              <w:t>Strict 5-year lock-in</w:t>
            </w:r>
          </w:p>
        </w:tc>
        <w:tc>
          <w:tcPr>
            <w:tcW w:type="dxa" w:w="1872"/>
            <w:shd w:fill="F8FAFC"/>
            <w:tcMar>
              <w:top w:w="80" w:type="dxa"/>
              <w:bottom w:w="80" w:type="dxa"/>
              <w:left w:w="100" w:type="dxa"/>
              <w:right w:w="100" w:type="dxa"/>
            </w:tcMar>
          </w:tcPr>
          <w:p>
            <w:pPr>
              <w:spacing w:before="40" w:after="40"/>
            </w:pPr>
            <w:r>
              <w:rPr>
                <w:color w:val="334155"/>
                <w:sz w:val="17"/>
              </w:rPr>
              <w:t>Sovereign Government Guarantee</w:t>
            </w:r>
          </w:p>
        </w:tc>
        <w:tc>
          <w:tcPr>
            <w:tcW w:type="dxa" w:w="1872"/>
            <w:shd w:fill="F8FAFC"/>
            <w:tcMar>
              <w:top w:w="80" w:type="dxa"/>
              <w:bottom w:w="80" w:type="dxa"/>
              <w:left w:w="100" w:type="dxa"/>
              <w:right w:w="100" w:type="dxa"/>
            </w:tcMar>
          </w:tcPr>
          <w:p>
            <w:pPr>
              <w:spacing w:before="40" w:after="40"/>
            </w:pPr>
            <w:r>
              <w:rPr>
                <w:color w:val="334155"/>
                <w:sz w:val="17"/>
              </w:rPr>
              <w:t>-0.3% to +0.2% (Stagnant)</w:t>
            </w:r>
          </w:p>
        </w:tc>
      </w:tr>
      <w:tr>
        <w:tc>
          <w:tcPr>
            <w:tcW w:type="dxa" w:w="2016"/>
            <w:shd w:fill="FFFFFF"/>
            <w:tcMar>
              <w:top w:w="80" w:type="dxa"/>
              <w:bottom w:w="80" w:type="dxa"/>
              <w:left w:w="100" w:type="dxa"/>
              <w:right w:w="100" w:type="dxa"/>
            </w:tcMar>
          </w:tcPr>
          <w:p>
            <w:pPr>
              <w:spacing w:before="40" w:after="40"/>
            </w:pPr>
            <w:r>
              <w:rPr>
                <w:b/>
                <w:color w:val="0F172A"/>
                <w:sz w:val="17"/>
              </w:rPr>
              <w:t>Sovereign G-Secs &amp; SDLs</w:t>
            </w:r>
          </w:p>
        </w:tc>
        <w:tc>
          <w:tcPr>
            <w:tcW w:type="dxa" w:w="1584"/>
            <w:shd w:fill="FFFFFF"/>
            <w:tcMar>
              <w:top w:w="80" w:type="dxa"/>
              <w:bottom w:w="80" w:type="dxa"/>
              <w:left w:w="100" w:type="dxa"/>
              <w:right w:w="100" w:type="dxa"/>
            </w:tcMar>
          </w:tcPr>
          <w:p>
            <w:pPr>
              <w:spacing w:before="40" w:after="40"/>
            </w:pPr>
            <w:r>
              <w:rPr>
                <w:color w:val="334155"/>
                <w:sz w:val="17"/>
              </w:rPr>
              <w:t>7.20% – 7.55%</w:t>
            </w:r>
          </w:p>
        </w:tc>
        <w:tc>
          <w:tcPr>
            <w:tcW w:type="dxa" w:w="2016"/>
            <w:shd w:fill="FFFFFF"/>
            <w:tcMar>
              <w:top w:w="80" w:type="dxa"/>
              <w:bottom w:w="80" w:type="dxa"/>
              <w:left w:w="100" w:type="dxa"/>
              <w:right w:w="100" w:type="dxa"/>
            </w:tcMar>
          </w:tcPr>
          <w:p>
            <w:pPr>
              <w:spacing w:before="40" w:after="40"/>
            </w:pPr>
            <w:r>
              <w:rPr>
                <w:color w:val="334155"/>
                <w:sz w:val="17"/>
              </w:rPr>
              <w:t>Secondary market liquid (OBPP)</w:t>
            </w:r>
          </w:p>
        </w:tc>
        <w:tc>
          <w:tcPr>
            <w:tcW w:type="dxa" w:w="1872"/>
            <w:shd w:fill="FFFFFF"/>
            <w:tcMar>
              <w:top w:w="80" w:type="dxa"/>
              <w:bottom w:w="80" w:type="dxa"/>
              <w:left w:w="100" w:type="dxa"/>
              <w:right w:w="100" w:type="dxa"/>
            </w:tcMar>
          </w:tcPr>
          <w:p>
            <w:pPr>
              <w:spacing w:before="40" w:after="40"/>
            </w:pPr>
            <w:r>
              <w:rPr>
                <w:color w:val="334155"/>
                <w:sz w:val="17"/>
              </w:rPr>
              <w:t>Zero default risk (Sovereign)</w:t>
            </w:r>
          </w:p>
        </w:tc>
        <w:tc>
          <w:tcPr>
            <w:tcW w:type="dxa" w:w="1872"/>
            <w:shd w:fill="FFFFFF"/>
            <w:tcMar>
              <w:top w:w="80" w:type="dxa"/>
              <w:bottom w:w="80" w:type="dxa"/>
              <w:left w:w="100" w:type="dxa"/>
              <w:right w:w="100" w:type="dxa"/>
            </w:tcMar>
          </w:tcPr>
          <w:p>
            <w:pPr>
              <w:spacing w:before="40" w:after="40"/>
            </w:pPr>
            <w:r>
              <w:rPr>
                <w:color w:val="334155"/>
                <w:sz w:val="17"/>
              </w:rPr>
              <w:t>+0.2% to +0.6%</w:t>
            </w:r>
          </w:p>
        </w:tc>
      </w:tr>
      <w:tr>
        <w:tc>
          <w:tcPr>
            <w:tcW w:type="dxa" w:w="2016"/>
            <w:shd w:fill="F8FAFC"/>
            <w:tcMar>
              <w:top w:w="80" w:type="dxa"/>
              <w:bottom w:w="80" w:type="dxa"/>
              <w:left w:w="100" w:type="dxa"/>
              <w:right w:w="100" w:type="dxa"/>
            </w:tcMar>
          </w:tcPr>
          <w:p>
            <w:pPr>
              <w:spacing w:before="40" w:after="40"/>
            </w:pPr>
            <w:r>
              <w:rPr>
                <w:b/>
                <w:color w:val="0F172A"/>
                <w:sz w:val="17"/>
              </w:rPr>
              <w:t>AAA Corporate &amp; PSU Bonds</w:t>
            </w:r>
          </w:p>
        </w:tc>
        <w:tc>
          <w:tcPr>
            <w:tcW w:type="dxa" w:w="1584"/>
            <w:shd w:fill="F8FAFC"/>
            <w:tcMar>
              <w:top w:w="80" w:type="dxa"/>
              <w:bottom w:w="80" w:type="dxa"/>
              <w:left w:w="100" w:type="dxa"/>
              <w:right w:w="100" w:type="dxa"/>
            </w:tcMar>
          </w:tcPr>
          <w:p>
            <w:pPr>
              <w:spacing w:before="40" w:after="40"/>
            </w:pPr>
            <w:r>
              <w:rPr>
                <w:color w:val="334155"/>
                <w:sz w:val="17"/>
              </w:rPr>
              <w:t>7.90% – 8.60%</w:t>
            </w:r>
          </w:p>
        </w:tc>
        <w:tc>
          <w:tcPr>
            <w:tcW w:type="dxa" w:w="2016"/>
            <w:shd w:fill="F8FAFC"/>
            <w:tcMar>
              <w:top w:w="80" w:type="dxa"/>
              <w:bottom w:w="80" w:type="dxa"/>
              <w:left w:w="100" w:type="dxa"/>
              <w:right w:w="100" w:type="dxa"/>
            </w:tcMar>
          </w:tcPr>
          <w:p>
            <w:pPr>
              <w:spacing w:before="40" w:after="40"/>
            </w:pPr>
            <w:r>
              <w:rPr>
                <w:color w:val="334155"/>
                <w:sz w:val="17"/>
              </w:rPr>
              <w:t>Secondary market liquid</w:t>
            </w:r>
          </w:p>
        </w:tc>
        <w:tc>
          <w:tcPr>
            <w:tcW w:type="dxa" w:w="1872"/>
            <w:shd w:fill="F8FAFC"/>
            <w:tcMar>
              <w:top w:w="80" w:type="dxa"/>
              <w:bottom w:w="80" w:type="dxa"/>
              <w:left w:w="100" w:type="dxa"/>
              <w:right w:w="100" w:type="dxa"/>
            </w:tcMar>
          </w:tcPr>
          <w:p>
            <w:pPr>
              <w:spacing w:before="40" w:after="40"/>
            </w:pPr>
            <w:r>
              <w:rPr>
                <w:color w:val="334155"/>
                <w:sz w:val="17"/>
              </w:rPr>
              <w:t>Negligible default risk (Top Tier)</w:t>
            </w:r>
          </w:p>
        </w:tc>
        <w:tc>
          <w:tcPr>
            <w:tcW w:type="dxa" w:w="1872"/>
            <w:shd w:fill="F8FAFC"/>
            <w:tcMar>
              <w:top w:w="80" w:type="dxa"/>
              <w:bottom w:w="80" w:type="dxa"/>
              <w:left w:w="100" w:type="dxa"/>
              <w:right w:w="100" w:type="dxa"/>
            </w:tcMar>
          </w:tcPr>
          <w:p>
            <w:pPr>
              <w:spacing w:before="40" w:after="40"/>
            </w:pPr>
            <w:r>
              <w:rPr>
                <w:color w:val="334155"/>
                <w:sz w:val="17"/>
              </w:rPr>
              <w:t>+0.7% to +1.4%</w:t>
            </w:r>
          </w:p>
        </w:tc>
      </w:tr>
      <w:tr>
        <w:tc>
          <w:tcPr>
            <w:tcW w:type="dxa" w:w="2016"/>
            <w:shd w:fill="FFFFFF"/>
            <w:tcMar>
              <w:top w:w="80" w:type="dxa"/>
              <w:bottom w:w="80" w:type="dxa"/>
              <w:left w:w="100" w:type="dxa"/>
              <w:right w:w="100" w:type="dxa"/>
            </w:tcMar>
          </w:tcPr>
          <w:p>
            <w:pPr>
              <w:spacing w:before="40" w:after="40"/>
            </w:pPr>
            <w:r>
              <w:rPr>
                <w:b/>
                <w:color w:val="0F172A"/>
                <w:sz w:val="17"/>
              </w:rPr>
              <w:t>ApexQuant Yield Basket</w:t>
            </w:r>
          </w:p>
        </w:tc>
        <w:tc>
          <w:tcPr>
            <w:tcW w:type="dxa" w:w="1584"/>
            <w:shd w:fill="FFFFFF"/>
            <w:tcMar>
              <w:top w:w="80" w:type="dxa"/>
              <w:bottom w:w="80" w:type="dxa"/>
              <w:left w:w="100" w:type="dxa"/>
              <w:right w:w="100" w:type="dxa"/>
            </w:tcMar>
          </w:tcPr>
          <w:p>
            <w:pPr>
              <w:spacing w:before="40" w:after="40"/>
            </w:pPr>
            <w:r>
              <w:rPr>
                <w:color w:val="334155"/>
                <w:sz w:val="17"/>
              </w:rPr>
              <w:t>8.40% – 9.20%</w:t>
            </w:r>
          </w:p>
        </w:tc>
        <w:tc>
          <w:tcPr>
            <w:tcW w:type="dxa" w:w="2016"/>
            <w:shd w:fill="FFFFFF"/>
            <w:tcMar>
              <w:top w:w="80" w:type="dxa"/>
              <w:bottom w:w="80" w:type="dxa"/>
              <w:left w:w="100" w:type="dxa"/>
              <w:right w:w="100" w:type="dxa"/>
            </w:tcMar>
          </w:tcPr>
          <w:p>
            <w:pPr>
              <w:spacing w:before="40" w:after="40"/>
            </w:pPr>
            <w:r>
              <w:rPr>
                <w:color w:val="334155"/>
                <w:sz w:val="17"/>
              </w:rPr>
              <w:t>Dynamic daily / T+1 liquidity</w:t>
            </w:r>
          </w:p>
        </w:tc>
        <w:tc>
          <w:tcPr>
            <w:tcW w:type="dxa" w:w="1872"/>
            <w:shd w:fill="FFFFFF"/>
            <w:tcMar>
              <w:top w:w="80" w:type="dxa"/>
              <w:bottom w:w="80" w:type="dxa"/>
              <w:left w:w="100" w:type="dxa"/>
              <w:right w:w="100" w:type="dxa"/>
            </w:tcMar>
          </w:tcPr>
          <w:p>
            <w:pPr>
              <w:spacing w:before="40" w:after="40"/>
            </w:pPr>
            <w:r>
              <w:rPr>
                <w:color w:val="334155"/>
                <w:sz w:val="17"/>
              </w:rPr>
              <w:t>Multi-asset buffered &amp; hedged</w:t>
            </w:r>
          </w:p>
        </w:tc>
        <w:tc>
          <w:tcPr>
            <w:tcW w:type="dxa" w:w="1872"/>
            <w:shd w:fill="FFFFFF"/>
            <w:tcMar>
              <w:top w:w="80" w:type="dxa"/>
              <w:bottom w:w="80" w:type="dxa"/>
              <w:left w:w="100" w:type="dxa"/>
              <w:right w:w="100" w:type="dxa"/>
            </w:tcMar>
          </w:tcPr>
          <w:p>
            <w:pPr>
              <w:spacing w:before="40" w:after="40"/>
            </w:pPr>
            <w:r>
              <w:rPr>
                <w:b/>
                <w:color w:val="0369A1"/>
                <w:sz w:val="17"/>
              </w:rPr>
              <w:t>+1.8% to +2.5% (Accretive)</w:t>
            </w:r>
          </w:p>
        </w:tc>
      </w:tr>
    </w:tbl>
    <w:p>
      <w:pPr>
        <w:spacing w:after="120"/>
      </w:pPr>
    </w:p>
    <w:p>
      <w:pPr>
        <w:keepNext/>
        <w:spacing w:before="280" w:after="80"/>
      </w:pPr>
      <w:r>
        <w:rPr>
          <w:b/>
          <w:color w:val="0F172A"/>
          <w:sz w:val="27"/>
        </w:rPr>
        <w:t>3. The Architectural Solution: Automated, Zero-Liquidation WealthTech</w:t>
      </w:r>
    </w:p>
    <w:p>
      <w:pPr>
        <w:spacing w:before="0" w:after="120" w:line="276" w:lineRule="auto"/>
      </w:pPr>
      <w:r>
        <w:rPr>
          <w:color w:val="222222"/>
          <w:sz w:val="21"/>
        </w:rPr>
        <w:t>To successfully transition the conservative Indian saver, financial products must reject the design conventions of modern equity brokerages. Flashy candlestick charts, real-time flashing tickers, and gamified intraday leaderboards trigger visceral anxiety in an individual who values capital preservation above all else. Winning this demographic requires replicating the psychological serenity of the bank deposit—reimagined through an institutional quantitative engine.</w:t>
      </w:r>
    </w:p>
    <w:p>
      <w:pPr>
        <w:spacing w:before="0" w:after="120" w:line="276" w:lineRule="auto"/>
      </w:pPr>
      <w:r>
        <w:rPr>
          <w:color w:val="222222"/>
          <w:sz w:val="21"/>
        </w:rPr>
        <w:t>ApexQuant resolves this structural challenge by engineering a deterministic, multi-asset allocation model specifically calibrated around three zero-liquidation pillars:</w:t>
      </w:r>
    </w:p>
    <w:p>
      <w:pPr>
        <w:spacing w:before="0" w:after="120" w:line="276" w:lineRule="auto"/>
      </w:pPr>
      <w:r>
        <w:rPr>
          <w:b/>
          <w:color w:val="0F172A"/>
        </w:rPr>
        <w:t xml:space="preserve">A. Algorithmic Risk Parity &amp; Capital Preservation: </w:t>
      </w:r>
      <w:r>
        <w:rPr>
          <w:color w:val="222222"/>
          <w:sz w:val="21"/>
        </w:rPr>
        <w:t>The core allocation engine shifts optimization away from speculative return maximization toward downside semi-variance minimization. By dynamically distributing exposure across sovereign 10-Year G-Secs, State Development Loans, AAA-rated PSU debt, and sovereign gold hedges, the system builds an all-weather foundation that limits drawdowns even during sharp macroeconomic rate-hiking cycles.</w:t>
      </w:r>
    </w:p>
    <w:p>
      <w:pPr>
        <w:spacing w:before="0" w:after="120" w:line="276" w:lineRule="auto"/>
      </w:pPr>
      <w:r>
        <w:rPr>
          <w:b/>
          <w:color w:val="0F172A"/>
        </w:rPr>
        <w:t xml:space="preserve">B. The Dynamic Anti-Liquidation Floor: </w:t>
      </w:r>
      <w:r>
        <w:rPr>
          <w:color w:val="222222"/>
          <w:sz w:val="21"/>
        </w:rPr>
        <w:t>For a fixed-deposit loyalist, the concept of negative principal is an absolute deal-breaker. ApexQuant implements an automated Constant Proportion Portfolio Insurance (CPPI) floor. If duration-induced market fluctuations push mark-to-market prices toward the risk threshold, the algorithm methodically rotates capital into ultra-short 91-Day Treasury Bills and overnight clearing repos (TREPS), guaranteeing that principal remains insulated from market volatility.</w:t>
      </w:r>
    </w:p>
    <w:p>
      <w:pPr>
        <w:spacing w:before="0" w:after="120" w:line="276" w:lineRule="auto"/>
      </w:pPr>
      <w:r>
        <w:rPr>
          <w:b/>
          <w:color w:val="0F172A"/>
        </w:rPr>
        <w:t xml:space="preserve">C. The 'Invest-and-Forget' Autonomous Rebalancing Engine: </w:t>
      </w:r>
      <w:r>
        <w:rPr>
          <w:color w:val="222222"/>
          <w:sz w:val="21"/>
        </w:rPr>
        <w:t>The operational friction of managing coupon disbursements, bond redemptions, and maturity reinvestments represents a major adoption hurdle for everyday investors. ApexQuant's engine automates cash-flow reinvestment and threshold drift balancing (&gt;5% variance), continually compounding interest without requiring continuous user oversight.</w:t>
      </w:r>
    </w:p>
    <w:p>
      <w:pPr>
        <w:keepNext/>
        <w:spacing w:before="280" w:after="80"/>
      </w:pPr>
      <w:r>
        <w:rPr>
          <w:b/>
          <w:color w:val="0F172A"/>
          <w:sz w:val="27"/>
        </w:rPr>
        <w:t>4. Strategic Commercialization &amp; Go-To-Market (GTM) Blueprint</w:t>
      </w:r>
    </w:p>
    <w:p>
      <w:pPr>
        <w:spacing w:before="0" w:after="120" w:line="276" w:lineRule="auto"/>
      </w:pPr>
      <w:r>
        <w:rPr>
          <w:color w:val="222222"/>
          <w:sz w:val="21"/>
        </w:rPr>
        <w:t>From a management consulting perspective, unseating public sector banks demands a sophisticated customer acquisition strategy. Digital-first direct-to-consumer (D2C) wealth platforms targeting conservative savers in Tier-2 and Tier-3 markets face punitive Customer Acquisition Costs (CAC) and deep skepticism. The optimal route to scale requires leveraging established institutional distribution channels:</w:t>
      </w:r>
    </w:p>
    <w:p>
      <w:pPr>
        <w:spacing w:before="0" w:after="120" w:line="276" w:lineRule="auto"/>
      </w:pPr>
      <w:r>
        <w:rPr>
          <w:b/>
          <w:color w:val="0F172A"/>
        </w:rPr>
        <w:t xml:space="preserve">1. B2B2C White-Label Infrastructure: </w:t>
      </w:r>
      <w:r>
        <w:rPr>
          <w:color w:val="222222"/>
          <w:sz w:val="21"/>
        </w:rPr>
        <w:t>Instead of burning capital on consumer marketing, ApexQuant can license its quant optimization and risk engine to regional rural banks, cooperative credit societies, and enterprise payroll platforms. This enables traditional institutions to offer yield-enhanced fixed-income products under their own trusted banner, defending against deposit flight while capturing fee revenue.</w:t>
      </w:r>
    </w:p>
    <w:p>
      <w:pPr>
        <w:spacing w:before="0" w:after="120" w:line="276" w:lineRule="auto"/>
      </w:pPr>
      <w:r>
        <w:rPr>
          <w:b/>
          <w:color w:val="0F172A"/>
        </w:rPr>
        <w:t xml:space="preserve">2. Capitalizing on SEBI OBPP Reforms: </w:t>
      </w:r>
      <w:r>
        <w:rPr>
          <w:color w:val="222222"/>
          <w:sz w:val="21"/>
        </w:rPr>
        <w:t>The Securities and Exchange Board of India (SEBI) has fundamentally transformed fixed-income democratization by licensing Online Bond Platform Providers (OBPPs) and reducing the minimum ticket size for corporate debt to ₹10,000. ApexQuant natively integrates with OBPP execution pipes, allowing frictionless one-click execution of curated bond baskets.</w:t>
      </w:r>
    </w:p>
    <w:p>
      <w:pPr>
        <w:spacing w:before="0" w:after="120" w:line="276" w:lineRule="auto"/>
      </w:pPr>
      <w:r>
        <w:rPr>
          <w:b/>
          <w:color w:val="0F172A"/>
        </w:rPr>
        <w:t xml:space="preserve">3. Mobilizing the Chartered Accountant &amp; IFA Distribution Engine: </w:t>
      </w:r>
      <w:r>
        <w:rPr>
          <w:color w:val="222222"/>
          <w:sz w:val="21"/>
        </w:rPr>
        <w:t>In India, conservative family wealth is steered by Chartered Accountants and Independent Financial Advisors (IFAs). By offering IFAs institutional-grade portfolio diagnostics that quantify post-tax client alpha, WealthTech platforms turn trusted tax advisors into scalable distribution catalysts.</w:t>
      </w:r>
    </w:p>
    <w:p>
      <w:pPr>
        <w:keepNext/>
        <w:spacing w:before="280" w:after="80"/>
      </w:pPr>
      <w:r>
        <w:rPr>
          <w:b/>
          <w:color w:val="0F172A"/>
          <w:sz w:val="27"/>
        </w:rPr>
        <w:t>5. Conclusion: Capturing the Trillion-Dollar Wealth Migration</w:t>
      </w:r>
    </w:p>
    <w:p>
      <w:pPr>
        <w:spacing w:before="0" w:after="120" w:line="276" w:lineRule="auto"/>
      </w:pPr>
      <w:r>
        <w:rPr>
          <w:color w:val="222222"/>
          <w:sz w:val="21"/>
        </w:rPr>
        <w:t>The structural transition of India’s household balance sheet is approaching an inflection point. With sovereign digitization (Account Aggregator, RBI Retail Direct, UPI auto-mandates) converging with rising financial sophistication, conservative savers will no longer tolerate the silent inflation tax imposed by traditional bank deposits. The enterprise that delivers 8.5%+ predictable yields with the psychological comfort of an FD will unlock the greatest untapped capital reserve in emerging market history.</w:t>
      </w:r>
    </w:p>
    <w:tbl>
      <w:tblPr>
        <w:tblW w:type="auto" w:w="0"/>
        <w:jc w:val="center"/>
        <w:tblLayout w:type="fixed"/>
        <w:tblLook w:firstColumn="1" w:firstRow="1" w:lastColumn="0" w:lastRow="0" w:noHBand="0" w:noVBand="1" w:val="04A0"/>
      </w:tblPr>
      <w:tblGrid>
        <w:gridCol w:w="9360"/>
      </w:tblGrid>
      <w:tr>
        <w:tc>
          <w:tcPr>
            <w:tcW w:type="dxa" w:w="9360"/>
            <w:shd w:fill="E0F2FE"/>
            <w:tcMar>
              <w:top w:w="120" w:type="dxa"/>
              <w:bottom w:w="120" w:type="dxa"/>
              <w:left w:w="160" w:type="dxa"/>
              <w:right w:w="160" w:type="dxa"/>
            </w:tcMar>
          </w:tcPr>
          <w:p>
            <w:pPr>
              <w:spacing w:before="40" w:after="40" w:line="276" w:lineRule="auto"/>
            </w:pPr>
            <w:r>
              <w:rPr>
                <w:b/>
                <w:color w:val="0F172A"/>
                <w:sz w:val="20"/>
              </w:rPr>
              <w:t>Strategic Imperative: Winning the Indian saver is not about gamifying risk or trading velocity—it is about industrializing trust. By bridging institutional debt yields with algorithmic capital protection, platforms like ApexQuant transform lazy savings into productive, wealth-accretive national capital.</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