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400"/>
              <w:left w:type="dxa" w:w="600"/>
              <w:bottom w:type="dxa" w:w="400"/>
              <w:right w:type="dxa" w:w="600"/>
            </w:tcMar>
          </w:tcPr>
          <w:p>
            <w:pPr>
              <w:spacing w:before="0" w:after="60" w:line="276"/>
              <w:jc w:val="center"/>
            </w:pPr>
            <w:r>
              <w:rPr>
                <w:rFonts w:ascii="Arial" w:cs="Arial" w:eastAsia="Arial" w:hAnsi="Arial"/>
                <w:b w:val="false"/>
                <w:bCs w:val="false"/>
                <w:i w:val="false"/>
                <w:iCs w:val="false"/>
                <w:color w:val="8899BB"/>
                <w:sz w:val="17"/>
                <w:szCs w:val="17"/>
              </w:rPr>
              <w:t xml:space="preserve">T. A. Pai Management Institute, Bangalore  ·  Batch 2023–2027</w:t>
            </w:r>
          </w:p>
          <w:p>
            <w:pPr>
              <w:spacing w:before="0" w:after="120" w:line="276"/>
              <w:jc w:val="center"/>
            </w:pPr>
            <w:r>
              <w:rPr>
                <w:rFonts w:ascii="Arial" w:cs="Arial" w:eastAsia="Arial" w:hAnsi="Arial"/>
                <w:b w:val="false"/>
                <w:bCs w:val="false"/>
                <w:i/>
                <w:iCs/>
                <w:color w:val="B8860B"/>
                <w:sz w:val="18"/>
                <w:szCs w:val="18"/>
              </w:rPr>
              <w:t xml:space="preserve">Security Analysis — BBAF / TAPMI</w:t>
            </w:r>
          </w:p>
          <w:p>
            <w:pPr>
              <w:spacing w:before="0" w:after="80" w:line="360"/>
              <w:jc w:val="center"/>
            </w:pPr>
            <w:r>
              <w:rPr>
                <w:rFonts w:ascii="Arial" w:cs="Arial" w:eastAsia="Arial" w:hAnsi="Arial"/>
                <w:b/>
                <w:bCs/>
                <w:i w:val="false"/>
                <w:iCs w:val="false"/>
                <w:color w:val="FFFFFF"/>
                <w:sz w:val="36"/>
                <w:szCs w:val="36"/>
              </w:rPr>
              <w:t xml:space="preserve">AI-Augmented Security Analysis of Indian Listed Companies</w:t>
            </w:r>
          </w:p>
          <w:p>
            <w:pPr>
              <w:spacing w:before="0" w:after="180" w:line="276"/>
              <w:jc w:val="center"/>
            </w:pPr>
            <w:r>
              <w:rPr>
                <w:rFonts w:ascii="Arial" w:cs="Arial" w:eastAsia="Arial" w:hAnsi="Arial"/>
                <w:b w:val="false"/>
                <w:bCs w:val="false"/>
                <w:i/>
                <w:iCs/>
                <w:color w:val="AACCDD"/>
                <w:sz w:val="21"/>
                <w:szCs w:val="21"/>
              </w:rPr>
              <w:t xml:space="preserve">Mini-Portfolio Construction &amp; Investment Recommendation</w:t>
            </w:r>
          </w:p>
          <w:p>
            <w:pPr>
              <w:spacing w:before="0" w:after="160"/>
              <w:jc w:val="center"/>
            </w:pPr>
            <w:r>
              <w:rPr>
                <w:rFonts w:ascii="Arial" w:cs="Arial" w:eastAsia="Arial" w:hAnsi="Arial"/>
                <w:color w:val="445577"/>
                <w:sz w:val="18"/>
                <w:szCs w:val="18"/>
              </w:rPr>
              <w:t xml:space="preserve">─────────────────────────────────────</w:t>
            </w:r>
          </w:p>
          <w:p>
            <w:pPr>
              <w:spacing w:before="0" w:after="60" w:line="276"/>
              <w:jc w:val="center"/>
            </w:pPr>
            <w:r>
              <w:rPr>
                <w:rFonts w:ascii="Arial" w:cs="Arial" w:eastAsia="Arial" w:hAnsi="Arial"/>
                <w:b w:val="false"/>
                <w:bCs w:val="false"/>
                <w:i w:val="false"/>
                <w:iCs w:val="false"/>
                <w:color w:val="CCDDEE"/>
                <w:sz w:val="18"/>
                <w:szCs w:val="18"/>
              </w:rPr>
              <w:t xml:space="preserve">Himangi Pamecha (236213514)  ·  Neha Kulshreshtha (236213268)  ·  Ananya Pillai (236213036)</w:t>
            </w:r>
          </w:p>
          <w:p>
            <w:pPr>
              <w:spacing w:before="0" w:after="80" w:line="276"/>
              <w:jc w:val="center"/>
            </w:pPr>
            <w:r>
              <w:rPr>
                <w:rFonts w:ascii="Arial" w:cs="Arial" w:eastAsia="Arial" w:hAnsi="Arial"/>
                <w:b w:val="false"/>
                <w:bCs w:val="false"/>
                <w:i/>
                <w:iCs/>
                <w:color w:val="99AABB"/>
                <w:sz w:val="17"/>
                <w:szCs w:val="17"/>
              </w:rPr>
              <w:t xml:space="preserve">Faculty: Prof. Jagriti Bhattacharyya</w:t>
            </w:r>
          </w:p>
          <w:p>
            <w:pPr>
              <w:spacing w:before="0" w:after="80" w:line="276"/>
              <w:jc w:val="center"/>
            </w:pPr>
            <w:r>
              <w:rPr>
                <w:rFonts w:ascii="Arial" w:cs="Arial" w:eastAsia="Arial" w:hAnsi="Arial"/>
                <w:b w:val="false"/>
                <w:bCs w:val="false"/>
                <w:i w:val="false"/>
                <w:iCs w:val="false"/>
                <w:color w:val="8899BB"/>
                <w:sz w:val="16"/>
                <w:szCs w:val="16"/>
              </w:rPr>
              <w:t xml:space="preserve">Submitted: 19th November 2025</w:t>
            </w:r>
          </w:p>
        </w:tc>
      </w:tr>
    </w:tbl>
    <w:p>
      <w:pPr>
        <w:spacing w:before="400" w:after="80" w:line="240"/>
        <w:jc w:val="left"/>
      </w:pPr>
      <w:r>
        <w:rPr>
          <w:rFonts w:ascii="Arial" w:cs="Arial" w:eastAsia="Arial" w:hAnsi="Arial"/>
          <w:b w:val="false"/>
          <w:bCs w:val="false"/>
          <w:i w:val="false"/>
          <w:iCs w:val="false"/>
          <w:color w:val="222222"/>
          <w:sz w:val="20"/>
          <w:szCs w:val="20"/>
        </w:rPr>
        <w:t xml:space="preserve"/>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1. OBJECTIVE OF THE STUDY</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88"/>
        <w:jc w:val="left"/>
      </w:pPr>
      <w:r>
        <w:rPr>
          <w:rFonts w:ascii="Arial" w:cs="Arial" w:eastAsia="Arial" w:hAnsi="Arial"/>
          <w:b w:val="false"/>
          <w:bCs w:val="false"/>
          <w:i w:val="false"/>
          <w:iCs w:val="false"/>
          <w:color w:val="222222"/>
          <w:sz w:val="20"/>
          <w:szCs w:val="20"/>
        </w:rPr>
        <w:t xml:space="preserve">To conduct an in-depth security analysis of listed Indian companies by applying traditional valuation methods and integrating AI-based tools for sentiment analysis, data extraction, and predictive modelling. The project culminates in the construction of a mini-portfolio and a strategic investment/security selection recommendation.</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2. COMPANY SELECTION AND RATIONALE</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A total of seven securities have been selected for the portfolio: three bonds and four equities. This selection is based on the goal of diversification across asset classes and market capitalization.</w:t>
      </w:r>
    </w:p>
    <w:p>
      <w:pPr>
        <w:spacing w:before="80" w:after="40" w:line="276"/>
        <w:jc w:val="left"/>
      </w:pPr>
      <w:r>
        <w:rPr>
          <w:rFonts w:ascii="Arial" w:cs="Arial" w:eastAsia="Arial" w:hAnsi="Arial"/>
          <w:b/>
          <w:bCs/>
          <w:i w:val="false"/>
          <w:iCs w:val="false"/>
          <w:color w:val="0D4F6C"/>
          <w:sz w:val="21"/>
          <w:szCs w:val="21"/>
        </w:rPr>
        <w:t xml:space="preserve">2.1  Bonds: The Foundation of Stability</w:t>
      </w:r>
    </w:p>
    <w:p>
      <w:pPr>
        <w:spacing w:before="0" w:after="80" w:line="276"/>
        <w:jc w:val="left"/>
      </w:pPr>
      <w:r>
        <w:rPr>
          <w:rFonts w:ascii="Arial" w:cs="Arial" w:eastAsia="Arial" w:hAnsi="Arial"/>
          <w:b w:val="false"/>
          <w:bCs w:val="false"/>
          <w:i w:val="false"/>
          <w:iCs w:val="false"/>
          <w:color w:val="222222"/>
          <w:sz w:val="20"/>
          <w:szCs w:val="20"/>
        </w:rPr>
        <w:t xml:space="preserve">Corporate bonds were chosen to provide a steady income stream and act as a hedge against equity market volatility.</w:t>
      </w:r>
    </w:p>
    <w:p>
      <w:pPr>
        <w:spacing w:before="0" w:after="80" w:line="276"/>
        <w:jc w:val="left"/>
      </w:pPr>
      <w:r>
        <w:rPr>
          <w:rFonts w:ascii="Arial" w:cs="Arial" w:eastAsia="Arial" w:hAnsi="Arial"/>
          <w:b/>
          <w:bCs/>
          <w:i w:val="false"/>
          <w:iCs w:val="false"/>
          <w:color w:val="222222"/>
          <w:sz w:val="20"/>
          <w:szCs w:val="20"/>
        </w:rPr>
        <w:t xml:space="preserve">Reliance Industries Ltd. (RIL) Corporate Bond — </w:t>
      </w:r>
      <w:r>
        <w:rPr>
          <w:rFonts w:ascii="Arial" w:cs="Arial" w:eastAsia="Arial" w:hAnsi="Arial"/>
          <w:b/>
          <w:bCs/>
          <w:i w:val="false"/>
          <w:iCs w:val="false"/>
          <w:color w:val="222222"/>
          <w:sz w:val="20"/>
          <w:szCs w:val="20"/>
        </w:rPr>
        <w:t xml:space="preserve">'AAA' Rated:</w:t>
      </w:r>
      <w:r>
        <w:rPr>
          <w:rFonts w:ascii="Arial" w:cs="Arial" w:eastAsia="Arial" w:hAnsi="Arial"/>
          <w:b w:val="false"/>
          <w:bCs w:val="false"/>
          <w:i w:val="false"/>
          <w:iCs w:val="false"/>
          <w:color w:val="222222"/>
          <w:sz w:val="20"/>
          <w:szCs w:val="20"/>
        </w:rPr>
        <w:t xml:space="preserve"> This bond was selected for its highest possible safety rating from agencies such as CRISIL and ICRA. RIL's diversified business interests, spanning energy, retail, and telecommunications, provide a robust cash flow profile that ensures a minimal risk of default. The 'AAA' rating signifies minimal default risk, which is a top priority for the risk-averse profile.</w:t>
      </w:r>
    </w:p>
    <w:p>
      <w:pPr>
        <w:spacing w:before="0" w:after="80" w:line="276"/>
        <w:jc w:val="left"/>
      </w:pPr>
      <w:r>
        <w:rPr>
          <w:rFonts w:ascii="Arial" w:cs="Arial" w:eastAsia="Arial" w:hAnsi="Arial"/>
          <w:b w:val="false"/>
          <w:bCs w:val="false"/>
          <w:i/>
          <w:iCs/>
          <w:color w:val="555555"/>
          <w:sz w:val="18"/>
          <w:szCs w:val="18"/>
        </w:rPr>
        <w:t xml:space="preserve">8.65% RELIANCE INDUSTRIES LIMITED  |  Maturity: 11 Dec 2028  |  </w:t>
      </w:r>
      <w:hyperlink w:history="1" r:id="rIdzvvvfvknbhgzawutxmgy8">
        <w:r>
          <w:rPr>
            <w:rFonts w:ascii="Arial" w:cs="Arial" w:eastAsia="Arial" w:hAnsi="Arial"/>
            <w:color w:val="2E7D8C"/>
            <w:sz w:val="18"/>
            <w:szCs w:val="18"/>
            <w:u w:val="single"/>
          </w:rPr>
          <w:t xml:space="preserve">Bond Details →</w:t>
        </w:r>
      </w:hyperlink>
    </w:p>
    <w:p>
      <w:pPr>
        <w:spacing w:before="60" w:after="80" w:line="276"/>
        <w:jc w:val="left"/>
      </w:pPr>
      <w:r>
        <w:rPr>
          <w:rFonts w:ascii="Arial" w:cs="Arial" w:eastAsia="Arial" w:hAnsi="Arial"/>
          <w:b/>
          <w:bCs/>
          <w:i w:val="false"/>
          <w:iCs w:val="false"/>
          <w:color w:val="222222"/>
          <w:sz w:val="20"/>
          <w:szCs w:val="20"/>
        </w:rPr>
        <w:t xml:space="preserve">HDFC Ltd. Corporate Bond — </w:t>
      </w:r>
      <w:r>
        <w:rPr>
          <w:rFonts w:ascii="Arial" w:cs="Arial" w:eastAsia="Arial" w:hAnsi="Arial"/>
          <w:b/>
          <w:bCs/>
          <w:i w:val="false"/>
          <w:iCs w:val="false"/>
          <w:color w:val="222222"/>
          <w:sz w:val="20"/>
          <w:szCs w:val="20"/>
        </w:rPr>
        <w:t xml:space="preserve">'AAA' Rated:</w:t>
      </w:r>
      <w:r>
        <w:rPr>
          <w:rFonts w:ascii="Arial" w:cs="Arial" w:eastAsia="Arial" w:hAnsi="Arial"/>
          <w:b w:val="false"/>
          <w:bCs w:val="false"/>
          <w:i w:val="false"/>
          <w:iCs w:val="false"/>
          <w:color w:val="222222"/>
          <w:sz w:val="20"/>
          <w:szCs w:val="20"/>
        </w:rPr>
        <w:t xml:space="preserve"> As a leader in India's financial sector, HDFC offers the same level of safety as RIL. Diversifying with a second 'AAA' bond from a different sector (finance vs. energy/telecom) further strengthens the portfolio's foundation by reducing concentration risk.</w:t>
      </w:r>
    </w:p>
    <w:p>
      <w:pPr>
        <w:spacing w:before="0" w:after="80" w:line="276"/>
        <w:jc w:val="left"/>
      </w:pPr>
      <w:r>
        <w:rPr>
          <w:rFonts w:ascii="Arial" w:cs="Arial" w:eastAsia="Arial" w:hAnsi="Arial"/>
          <w:b w:val="false"/>
          <w:bCs w:val="false"/>
          <w:i/>
          <w:iCs/>
          <w:color w:val="555555"/>
          <w:sz w:val="18"/>
          <w:szCs w:val="18"/>
        </w:rPr>
        <w:t xml:space="preserve">7.78% HDFC BANK LIMITED  |  Maturity: 27 Mar 2027  |  </w:t>
      </w:r>
      <w:hyperlink w:history="1" r:id="rId4xhtckzrzcbpkkqrv2mlq">
        <w:r>
          <w:rPr>
            <w:rFonts w:ascii="Arial" w:cs="Arial" w:eastAsia="Arial" w:hAnsi="Arial"/>
            <w:color w:val="2E7D8C"/>
            <w:sz w:val="18"/>
            <w:szCs w:val="18"/>
            <w:u w:val="single"/>
          </w:rPr>
          <w:t xml:space="preserve">Bond Details →</w:t>
        </w:r>
      </w:hyperlink>
    </w:p>
    <w:p>
      <w:pPr>
        <w:spacing w:before="60" w:after="80" w:line="276"/>
        <w:jc w:val="left"/>
      </w:pPr>
      <w:r>
        <w:rPr>
          <w:rFonts w:ascii="Arial" w:cs="Arial" w:eastAsia="Arial" w:hAnsi="Arial"/>
          <w:b/>
          <w:bCs/>
          <w:i w:val="false"/>
          <w:iCs w:val="false"/>
          <w:color w:val="222222"/>
          <w:sz w:val="20"/>
          <w:szCs w:val="20"/>
        </w:rPr>
        <w:t xml:space="preserve">Piramal Enterprises Ltd. Corporate Bond — </w:t>
      </w:r>
      <w:r>
        <w:rPr>
          <w:rFonts w:ascii="Arial" w:cs="Arial" w:eastAsia="Arial" w:hAnsi="Arial"/>
          <w:b/>
          <w:bCs/>
          <w:i w:val="false"/>
          <w:iCs w:val="false"/>
          <w:color w:val="222222"/>
          <w:sz w:val="20"/>
          <w:szCs w:val="20"/>
        </w:rPr>
        <w:t xml:space="preserve">'AA' Rated:</w:t>
      </w:r>
      <w:r>
        <w:rPr>
          <w:rFonts w:ascii="Arial" w:cs="Arial" w:eastAsia="Arial" w:hAnsi="Arial"/>
          <w:b w:val="false"/>
          <w:bCs w:val="false"/>
          <w:i w:val="false"/>
          <w:iCs w:val="false"/>
          <w:color w:val="222222"/>
          <w:sz w:val="20"/>
          <w:szCs w:val="20"/>
        </w:rPr>
        <w:t xml:space="preserve"> This bond was chosen to strategically "climb the credit curve." While its 'AA' rating indicates a slightly higher risk than 'AAA', the higher yield compensates for this moderate increase in risk. This bond allows for the capture of a higher return on the fixed-income allocation without taking on excessive risk.</w:t>
      </w:r>
    </w:p>
    <w:p>
      <w:pPr>
        <w:spacing w:before="0" w:after="80" w:line="276"/>
        <w:jc w:val="left"/>
      </w:pPr>
      <w:r>
        <w:rPr>
          <w:rFonts w:ascii="Arial" w:cs="Arial" w:eastAsia="Arial" w:hAnsi="Arial"/>
          <w:b w:val="false"/>
          <w:bCs w:val="false"/>
          <w:i/>
          <w:iCs/>
          <w:color w:val="555555"/>
          <w:sz w:val="18"/>
          <w:szCs w:val="18"/>
        </w:rPr>
        <w:t xml:space="preserve">9.20% PIRAMAL ENTERPRISES LIMITED  |  Maturity: 3 Nov 2028  |  </w:t>
      </w:r>
      <w:hyperlink w:history="1" r:id="rIdksejlwsse1bbonpcuxww7">
        <w:r>
          <w:rPr>
            <w:rFonts w:ascii="Arial" w:cs="Arial" w:eastAsia="Arial" w:hAnsi="Arial"/>
            <w:color w:val="2E7D8C"/>
            <w:sz w:val="18"/>
            <w:szCs w:val="18"/>
            <w:u w:val="single"/>
          </w:rPr>
          <w:t xml:space="preserve">Bond Details →</w:t>
        </w:r>
      </w:hyperlink>
    </w:p>
    <w:p>
      <w:pPr>
        <w:spacing w:before="80" w:after="40" w:line="276"/>
        <w:jc w:val="left"/>
      </w:pPr>
      <w:r>
        <w:rPr>
          <w:rFonts w:ascii="Arial" w:cs="Arial" w:eastAsia="Arial" w:hAnsi="Arial"/>
          <w:b/>
          <w:bCs/>
          <w:i w:val="false"/>
          <w:iCs w:val="false"/>
          <w:color w:val="0D4F6C"/>
          <w:sz w:val="21"/>
          <w:szCs w:val="21"/>
        </w:rPr>
        <w:t xml:space="preserve">2.2  Equities: The Drivers of Growth</w:t>
      </w:r>
    </w:p>
    <w:p>
      <w:pPr>
        <w:spacing w:before="0" w:after="80" w:line="276"/>
        <w:jc w:val="left"/>
      </w:pPr>
      <w:r>
        <w:rPr>
          <w:rFonts w:ascii="Arial" w:cs="Arial" w:eastAsia="Arial" w:hAnsi="Arial"/>
          <w:b w:val="false"/>
          <w:bCs w:val="false"/>
          <w:i w:val="false"/>
          <w:iCs w:val="false"/>
          <w:color w:val="222222"/>
          <w:sz w:val="20"/>
          <w:szCs w:val="20"/>
        </w:rPr>
        <w:t xml:space="preserve">The equity selection is a mix of established large-cap leaders and high-potential mid-cap companies.</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HDFC Bank Ltd. (Large-Cap): HDFC Bank was selected for its market leadership and consistent performance. Its low beta of 0.93 indicates it is less volatile than the market, making it a cornerstone of the risk-averse equity portfolio. It is a stable performer in a regulated and growing sector.</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Infosys Ltd. (Large-Cap): As a global IT powerhouse, Infosys is a stable, mature company with a very low beta of 0.9. Its consistent earnings and strong dividend payout history make it an excellent choice for a stable, long-term equity holding. Its international business and robust client base provide a strong moat.</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Polycab India Ltd. (Mid-Cap): Polycab was included for its high growth potential. It is a market leader in a growing sector (wires and cables), driven by India's infrastructure and real estate boom. While its beta of 1.41 is higher than the large-cap holdings, its strong fundamentals and long-term prospects are seen to justify a smaller, strategic allocation.</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PI Industries Ltd. (Mid-Cap): PI Industries was chosen because it offers a rare combination of mid-cap growth and low volatility, with a beta of 1.03. The company holds a strong position in the agrochemical sector and boasts a track record of consistent growth, making it a perfect fit for the portfolio, as it offers growth potential while mitigating the market's volatility.</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3. TRADITIONAL SECURITY ANALYSIS</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3.1  Bond Analysis: YTM &amp; Macaulay Duration</w:t>
      </w:r>
    </w:p>
    <w:p>
      <w:pPr>
        <w:spacing w:before="0" w:after="80" w:line="276"/>
        <w:jc w:val="left"/>
      </w:pPr>
      <w:r>
        <w:rPr>
          <w:rFonts w:ascii="Arial" w:cs="Arial" w:eastAsia="Arial" w:hAnsi="Arial"/>
          <w:b w:val="false"/>
          <w:bCs w:val="false"/>
          <w:i w:val="false"/>
          <w:iCs w:val="false"/>
          <w:color w:val="222222"/>
          <w:sz w:val="20"/>
          <w:szCs w:val="20"/>
        </w:rPr>
        <w:t xml:space="preserve">YTM (Yield to Maturity): YTM is the total return anticipated on a bond if it is held until its maturity date. The calculation considers the bond's current market price, its par value, coupon interest rate, and time to maturity.</w:t>
      </w:r>
    </w:p>
    <w:p>
      <w:pPr>
        <w:spacing w:before="0" w:after="80" w:line="276"/>
        <w:jc w:val="left"/>
      </w:pPr>
      <w:r>
        <w:rPr>
          <w:rFonts w:ascii="Arial" w:cs="Arial" w:eastAsia="Arial" w:hAnsi="Arial"/>
          <w:b w:val="false"/>
          <w:bCs w:val="false"/>
          <w:i w:val="false"/>
          <w:iCs w:val="false"/>
          <w:color w:val="222222"/>
          <w:sz w:val="20"/>
          <w:szCs w:val="20"/>
        </w:rPr>
        <w:t xml:space="preserve">Duration: Duration measures the bond's sensitivity to interest rate changes, representing the weighted average time until its cash flows are received. A lower duration means the bond's price will be less affected by fluctuations in interest rates, which is a desirable quality for a risk-averse investor.</w:t>
      </w:r>
    </w:p>
    <w:p>
      <w:pPr>
        <w:spacing w:before="80" w:after="40" w:line="276"/>
        <w:jc w:val="left"/>
      </w:pPr>
      <w:r>
        <w:rPr>
          <w:rFonts w:ascii="Arial" w:cs="Arial" w:eastAsia="Arial" w:hAnsi="Arial"/>
          <w:b/>
          <w:bCs/>
          <w:i w:val="false"/>
          <w:iCs w:val="false"/>
          <w:color w:val="0D4F6C"/>
          <w:sz w:val="21"/>
          <w:szCs w:val="21"/>
        </w:rPr>
        <w:t xml:space="preserve">YTM Calculation (Excel YIELD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Bond</w:t>
            </w:r>
          </w:p>
        </w:tc>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YTM</w:t>
            </w:r>
          </w:p>
        </w:tc>
        <w:tc>
          <w:tcPr>
            <w:tcW w:type="dxa" w:w="62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Excel Formula Used</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6.3358%</w:t>
            </w:r>
          </w:p>
        </w:tc>
        <w:tc>
          <w:tcPr>
            <w:tcW w:type="dxa" w:w="6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=YIELD("24-Oct-2025","11-Dec-2028",8.65%,106.36,100,1,0)</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6.787%</w:t>
            </w:r>
          </w:p>
        </w:tc>
        <w:tc>
          <w:tcPr>
            <w:tcW w:type="dxa" w:w="6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=YIELD("24-Oct-2025","27-Mar-2027",7.78%,101.2445,100,1,0)</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9.196%</w:t>
            </w:r>
          </w:p>
        </w:tc>
        <w:tc>
          <w:tcPr>
            <w:tcW w:type="dxa" w:w="6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=YIELD("24-Oct-2025","03-Nov-2028",9.2%,100,100,1,0)</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Duration Calculation (Excel DURATION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Bond</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Macaulay Duration (yrs)</w:t>
            </w:r>
          </w:p>
        </w:tc>
        <w:tc>
          <w:tcPr>
            <w:tcW w:type="dxa" w:w="56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Excel Formula Used</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2.6947</w:t>
            </w:r>
          </w:p>
        </w:tc>
        <w:tc>
          <w:tcPr>
            <w:tcW w:type="dxa" w:w="56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=DURATION("24-Oct-2025","11-Dec-2028",8.65%,6.52%,1,0)</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1.3534</w:t>
            </w:r>
          </w:p>
        </w:tc>
        <w:tc>
          <w:tcPr>
            <w:tcW w:type="dxa" w:w="5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=DURATION("24-Oct-2025","27-Mar-2027",7.78%,6.835%,1,0)</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2.5473</w:t>
            </w:r>
          </w:p>
        </w:tc>
        <w:tc>
          <w:tcPr>
            <w:tcW w:type="dxa" w:w="56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=DURATION("24-Oct-2025","03-Nov-2028",9.2%,9.2%,1,0)</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Analysis: Reliance Industries Ltd.</w:t>
      </w:r>
    </w:p>
    <w:p>
      <w:pPr>
        <w:spacing w:before="0" w:after="80" w:line="276"/>
        <w:jc w:val="left"/>
      </w:pPr>
      <w:r>
        <w:rPr>
          <w:rFonts w:ascii="Arial" w:cs="Arial" w:eastAsia="Arial" w:hAnsi="Arial"/>
          <w:b/>
          <w:bCs/>
          <w:i w:val="false"/>
          <w:iCs w:val="false"/>
          <w:color w:val="222222"/>
          <w:sz w:val="20"/>
          <w:szCs w:val="20"/>
        </w:rPr>
        <w:t xml:space="preserve">YTM: 6.33%</w:t>
      </w:r>
    </w:p>
    <w:p>
      <w:pPr>
        <w:spacing w:before="0" w:after="80" w:line="276"/>
        <w:jc w:val="left"/>
      </w:pPr>
      <w:r>
        <w:rPr>
          <w:rFonts w:ascii="Arial" w:cs="Arial" w:eastAsia="Arial" w:hAnsi="Arial"/>
          <w:b w:val="false"/>
          <w:bCs w:val="false"/>
          <w:i w:val="false"/>
          <w:iCs w:val="false"/>
          <w:color w:val="222222"/>
          <w:sz w:val="20"/>
          <w:szCs w:val="20"/>
        </w:rPr>
        <w:t xml:space="preserve">The YTM shows that the total annual return on the RIL bond is 6.33% if purchased at Rs. 106.36 today and held until the maturity date. The coupon rate of this bond is 8.65%, therefore it can be concluded that this bond is being traded at a premium. In other words, investors are paying higher than the market price to invest in this bond. This isn't unexpected, as RIL offers relatively low yet steady and stable returns with minimal risk. RIL bonds are typically AAA-rated due to the reliability and high creditworthiness of Reliance as a company. Investors trust Reliance, and hence, the demand for RIL bonds is higher. In conclusion, investors are willing to pay a premium for this bond due to the additional safety of holding it, despite lower returns. This is ideal for investors who are looking for low-risk bonds and stable returns.</w:t>
      </w:r>
    </w:p>
    <w:p>
      <w:pPr>
        <w:spacing w:before="40" w:after="80" w:line="276"/>
        <w:jc w:val="left"/>
      </w:pPr>
      <w:r>
        <w:rPr>
          <w:rFonts w:ascii="Arial" w:cs="Arial" w:eastAsia="Arial" w:hAnsi="Arial"/>
          <w:b/>
          <w:bCs/>
          <w:i w:val="false"/>
          <w:iCs w:val="false"/>
          <w:color w:val="222222"/>
          <w:sz w:val="20"/>
          <w:szCs w:val="20"/>
        </w:rPr>
        <w:t xml:space="preserve">Duration: 2.69 years</w:t>
      </w:r>
    </w:p>
    <w:p>
      <w:pPr>
        <w:spacing w:before="0" w:after="80" w:line="276"/>
        <w:jc w:val="left"/>
      </w:pPr>
      <w:r>
        <w:rPr>
          <w:rFonts w:ascii="Arial" w:cs="Arial" w:eastAsia="Arial" w:hAnsi="Arial"/>
          <w:b w:val="false"/>
          <w:bCs w:val="false"/>
          <w:i w:val="false"/>
          <w:iCs w:val="false"/>
          <w:color w:val="222222"/>
          <w:sz w:val="20"/>
          <w:szCs w:val="20"/>
        </w:rPr>
        <w:t xml:space="preserve">The maturity of the bond is 3 years and roughly 2 months (Oct 2024 – Dec 2028), however the effective duration is calculated to be 2.7 years. This is because the coupon rate repays its true cost in a shorter period. Due to the shorter duration, the sensitivity of this bond to changes in interest rates is moderate to low.</w:t>
      </w:r>
    </w:p>
    <w:p>
      <w:pPr>
        <w:spacing w:before="80" w:after="40" w:line="276"/>
        <w:jc w:val="left"/>
      </w:pPr>
      <w:r>
        <w:rPr>
          <w:rFonts w:ascii="Arial" w:cs="Arial" w:eastAsia="Arial" w:hAnsi="Arial"/>
          <w:b/>
          <w:bCs/>
          <w:i w:val="false"/>
          <w:iCs w:val="false"/>
          <w:color w:val="0D4F6C"/>
          <w:sz w:val="21"/>
          <w:szCs w:val="21"/>
        </w:rPr>
        <w:t xml:space="preserve">Analysis: HDFC Ltd.</w:t>
      </w:r>
    </w:p>
    <w:p>
      <w:pPr>
        <w:spacing w:before="0" w:after="80" w:line="276"/>
        <w:jc w:val="left"/>
      </w:pPr>
      <w:r>
        <w:rPr>
          <w:rFonts w:ascii="Arial" w:cs="Arial" w:eastAsia="Arial" w:hAnsi="Arial"/>
          <w:b/>
          <w:bCs/>
          <w:i w:val="false"/>
          <w:iCs w:val="false"/>
          <w:color w:val="222222"/>
          <w:sz w:val="20"/>
          <w:szCs w:val="20"/>
        </w:rPr>
        <w:t xml:space="preserve">YTM: 6.79%</w:t>
      </w:r>
    </w:p>
    <w:p>
      <w:pPr>
        <w:spacing w:before="0" w:after="80" w:line="276"/>
        <w:jc w:val="left"/>
      </w:pPr>
      <w:r>
        <w:rPr>
          <w:rFonts w:ascii="Arial" w:cs="Arial" w:eastAsia="Arial" w:hAnsi="Arial"/>
          <w:b w:val="false"/>
          <w:bCs w:val="false"/>
          <w:i w:val="false"/>
          <w:iCs w:val="false"/>
          <w:color w:val="222222"/>
          <w:sz w:val="20"/>
          <w:szCs w:val="20"/>
        </w:rPr>
        <w:t xml:space="preserve">The total annual return that an investor will receive if the bond is held until the maturity date is 6.79%, which is lower than the coupon rate of 7.78%. The HDFC Ltd corporate bond is also trading at a premium. That is, investors are willing to pay more (Rs. 101.24) than the market price. Similar to Reliance Industries, HDFC is also AAA-rated. HDFC corporate bonds are also highly trusted amongst investors. The corporation has a historically strong financial performance and hence has high creditworthiness. The risk of credit default is lower and therefore more attractive to investors. Like Reliance, although the returns are lower than the coupon rate, investors are willing to pay a premium for the additional safety and lower risk margin combined with steady returns. The bond maturity is also lower (2025–2027) and is ideal for investors seeking low-risk, steady, short-term investments.</w:t>
      </w:r>
    </w:p>
    <w:p>
      <w:pPr>
        <w:spacing w:before="40" w:after="80" w:line="276"/>
        <w:jc w:val="left"/>
      </w:pPr>
      <w:r>
        <w:rPr>
          <w:rFonts w:ascii="Arial" w:cs="Arial" w:eastAsia="Arial" w:hAnsi="Arial"/>
          <w:b/>
          <w:bCs/>
          <w:i w:val="false"/>
          <w:iCs w:val="false"/>
          <w:color w:val="222222"/>
          <w:sz w:val="20"/>
          <w:szCs w:val="20"/>
        </w:rPr>
        <w:t xml:space="preserve">Duration: 1.35 years</w:t>
      </w:r>
    </w:p>
    <w:p>
      <w:pPr>
        <w:spacing w:before="0" w:after="80" w:line="276"/>
        <w:jc w:val="left"/>
      </w:pPr>
      <w:r>
        <w:rPr>
          <w:rFonts w:ascii="Arial" w:cs="Arial" w:eastAsia="Arial" w:hAnsi="Arial"/>
          <w:b w:val="false"/>
          <w:bCs w:val="false"/>
          <w:i w:val="false"/>
          <w:iCs w:val="false"/>
          <w:color w:val="222222"/>
          <w:sz w:val="20"/>
          <w:szCs w:val="20"/>
        </w:rPr>
        <w:t xml:space="preserve">The duration of this bond is lower than its maturity (1 year 4 months), which again is a result of a high coupon rate repaying the bond's true cost before the time of maturity. HDFC Ltd corporate bond has a much lower duration than the RIL bond. This indicates a very low sensitivity to market changes as the time period is very short. This is ideal for conservative investors who are more focused on short-term investments with low risk.</w:t>
      </w:r>
    </w:p>
    <w:p>
      <w:pPr>
        <w:spacing w:before="80" w:after="40" w:line="276"/>
        <w:jc w:val="left"/>
      </w:pPr>
      <w:r>
        <w:rPr>
          <w:rFonts w:ascii="Arial" w:cs="Arial" w:eastAsia="Arial" w:hAnsi="Arial"/>
          <w:b/>
          <w:bCs/>
          <w:i w:val="false"/>
          <w:iCs w:val="false"/>
          <w:color w:val="0D4F6C"/>
          <w:sz w:val="21"/>
          <w:szCs w:val="21"/>
        </w:rPr>
        <w:t xml:space="preserve">Analysis: Piramal Enterprises Ltd.</w:t>
      </w:r>
    </w:p>
    <w:p>
      <w:pPr>
        <w:spacing w:before="0" w:after="80" w:line="276"/>
        <w:jc w:val="left"/>
      </w:pPr>
      <w:r>
        <w:rPr>
          <w:rFonts w:ascii="Arial" w:cs="Arial" w:eastAsia="Arial" w:hAnsi="Arial"/>
          <w:b/>
          <w:bCs/>
          <w:i w:val="false"/>
          <w:iCs w:val="false"/>
          <w:color w:val="222222"/>
          <w:sz w:val="20"/>
          <w:szCs w:val="20"/>
        </w:rPr>
        <w:t xml:space="preserve">YTM: 9.20%</w:t>
      </w:r>
    </w:p>
    <w:p>
      <w:pPr>
        <w:spacing w:before="0" w:after="80" w:line="276"/>
        <w:jc w:val="left"/>
      </w:pPr>
      <w:r>
        <w:rPr>
          <w:rFonts w:ascii="Arial" w:cs="Arial" w:eastAsia="Arial" w:hAnsi="Arial"/>
          <w:b w:val="false"/>
          <w:bCs w:val="false"/>
          <w:i w:val="false"/>
          <w:iCs w:val="false"/>
          <w:color w:val="222222"/>
          <w:sz w:val="20"/>
          <w:szCs w:val="20"/>
        </w:rPr>
        <w:t xml:space="preserve">Compared to the previous two bonds, the total annual return until maturity is 9.2%. The coupon rate of this bond is also 9.2%, hence it is trading at par. The Piramal Enterprises bond has an AA rating, which signifies a higher risk compared to the other two bond selections. This also indicates that a higher credit risk is associated with investing in this bond. To attract investors, the high risk must be matched with a higher yield. 9.2% is higher than the YTM that AAA bonds are offering due to the lower creditworthiness of Piramal Enterprises. This bond is suitable for investors who are risk-seeking and seeking higher returns.</w:t>
      </w:r>
    </w:p>
    <w:p>
      <w:pPr>
        <w:spacing w:before="40" w:after="80" w:line="276"/>
        <w:jc w:val="left"/>
      </w:pPr>
      <w:r>
        <w:rPr>
          <w:rFonts w:ascii="Arial" w:cs="Arial" w:eastAsia="Arial" w:hAnsi="Arial"/>
          <w:b/>
          <w:bCs/>
          <w:i w:val="false"/>
          <w:iCs w:val="false"/>
          <w:color w:val="222222"/>
          <w:sz w:val="20"/>
          <w:szCs w:val="20"/>
        </w:rPr>
        <w:t xml:space="preserve">Duration: 2.55 years</w:t>
      </w:r>
    </w:p>
    <w:p>
      <w:pPr>
        <w:spacing w:before="0" w:after="80" w:line="276"/>
        <w:jc w:val="left"/>
      </w:pPr>
      <w:r>
        <w:rPr>
          <w:rFonts w:ascii="Arial" w:cs="Arial" w:eastAsia="Arial" w:hAnsi="Arial"/>
          <w:b w:val="false"/>
          <w:bCs w:val="false"/>
          <w:i w:val="false"/>
          <w:iCs w:val="false"/>
          <w:color w:val="222222"/>
          <w:sz w:val="20"/>
          <w:szCs w:val="20"/>
        </w:rPr>
        <w:t xml:space="preserve">The maturity of Piramal Enterprises Ltd bond is similar to that of the RIL bond. It has a maturity of 3 years and 2 months; however, the effective duration is 2.55. Compared to the HDFC corporate bond, the duration is slightly longer; however, it still has a moderately low sensitivity to interest rate changes.</w:t>
      </w:r>
    </w:p>
    <w:p>
      <w:pPr>
        <w:spacing w:before="80" w:after="40" w:line="276"/>
        <w:jc w:val="left"/>
      </w:pPr>
      <w:r>
        <w:rPr>
          <w:rFonts w:ascii="Arial" w:cs="Arial" w:eastAsia="Arial" w:hAnsi="Arial"/>
          <w:b/>
          <w:bCs/>
          <w:i w:val="false"/>
          <w:iCs w:val="false"/>
          <w:color w:val="0D4F6C"/>
          <w:sz w:val="21"/>
          <w:szCs w:val="21"/>
        </w:rPr>
        <w:t xml:space="preserve">3.2  Equity Analysis: CAPM</w:t>
      </w:r>
    </w:p>
    <w:p>
      <w:pPr>
        <w:spacing w:before="0" w:after="80" w:line="276"/>
        <w:jc w:val="left"/>
      </w:pPr>
      <w:r>
        <w:rPr>
          <w:rFonts w:ascii="Arial" w:cs="Arial" w:eastAsia="Arial" w:hAnsi="Arial"/>
          <w:b w:val="false"/>
          <w:bCs w:val="false"/>
          <w:i w:val="false"/>
          <w:iCs w:val="false"/>
          <w:color w:val="222222"/>
          <w:sz w:val="20"/>
          <w:szCs w:val="20"/>
        </w:rPr>
        <w:t xml:space="preserve">CAPM is a widely used financial model that helps investors determine and quantify the expected rate of return of an investment (such as bonds, assets, or stocks) based on systematic risk. It establishes a relationship between the two using the risk-free rate, beta values and market risk premium. The beta values represent the systematic risk or volatility of returns.</w:t>
      </w:r>
    </w:p>
    <w:p>
      <w:pPr>
        <w:spacing w:before="0" w:after="80" w:line="276"/>
        <w:jc w:val="left"/>
      </w:pPr>
      <w:r>
        <w:rPr>
          <w:rFonts w:ascii="Arial" w:cs="Arial" w:eastAsia="Arial" w:hAnsi="Arial"/>
          <w:b/>
          <w:bCs/>
          <w:i w:val="false"/>
          <w:iCs w:val="false"/>
          <w:color w:val="222222"/>
          <w:sz w:val="20"/>
          <w:szCs w:val="20"/>
        </w:rPr>
        <w:t xml:space="preserve">β = 1: </w:t>
      </w:r>
      <w:r>
        <w:rPr>
          <w:rFonts w:ascii="Arial" w:cs="Arial" w:eastAsia="Arial" w:hAnsi="Arial"/>
          <w:b w:val="false"/>
          <w:bCs w:val="false"/>
          <w:i w:val="false"/>
          <w:iCs w:val="false"/>
          <w:color w:val="222222"/>
          <w:sz w:val="20"/>
          <w:szCs w:val="20"/>
        </w:rPr>
        <w:t xml:space="preserve">Moves with the market.  </w:t>
      </w:r>
      <w:r>
        <w:rPr>
          <w:rFonts w:ascii="Arial" w:cs="Arial" w:eastAsia="Arial" w:hAnsi="Arial"/>
          <w:b/>
          <w:bCs/>
          <w:i w:val="false"/>
          <w:iCs w:val="false"/>
          <w:color w:val="222222"/>
          <w:sz w:val="20"/>
          <w:szCs w:val="20"/>
        </w:rPr>
        <w:t xml:space="preserve">β &gt; 1: </w:t>
      </w:r>
      <w:r>
        <w:rPr>
          <w:rFonts w:ascii="Arial" w:cs="Arial" w:eastAsia="Arial" w:hAnsi="Arial"/>
          <w:b w:val="false"/>
          <w:bCs w:val="false"/>
          <w:i w:val="false"/>
          <w:iCs w:val="false"/>
          <w:color w:val="222222"/>
          <w:sz w:val="20"/>
          <w:szCs w:val="20"/>
        </w:rPr>
        <w:t xml:space="preserve">More volatile (riskier).  </w:t>
      </w:r>
      <w:r>
        <w:rPr>
          <w:rFonts w:ascii="Arial" w:cs="Arial" w:eastAsia="Arial" w:hAnsi="Arial"/>
          <w:b/>
          <w:bCs/>
          <w:i w:val="false"/>
          <w:iCs w:val="false"/>
          <w:color w:val="222222"/>
          <w:sz w:val="20"/>
          <w:szCs w:val="20"/>
        </w:rPr>
        <w:t xml:space="preserve">β &lt; 1: </w:t>
      </w:r>
      <w:r>
        <w:rPr>
          <w:rFonts w:ascii="Arial" w:cs="Arial" w:eastAsia="Arial" w:hAnsi="Arial"/>
          <w:b w:val="false"/>
          <w:bCs w:val="false"/>
          <w:i w:val="false"/>
          <w:iCs w:val="false"/>
          <w:color w:val="222222"/>
          <w:sz w:val="20"/>
          <w:szCs w:val="20"/>
        </w:rPr>
        <w:t xml:space="preserve">Less volatile (defensive)</w:t>
      </w:r>
    </w:p>
    <w:p>
      <w:pPr>
        <w:spacing w:before="20" w:after="20" w:line="276"/>
        <w:jc w:val="center"/>
      </w:pPr>
      <w:r>
        <w:rPr>
          <w:rFonts w:ascii="Arial" w:cs="Arial" w:eastAsia="Arial" w:hAnsi="Arial"/>
          <w:b/>
          <w:bCs/>
          <w:i w:val="false"/>
          <w:iCs w:val="false"/>
          <w:color w:val="0D4F6C"/>
          <w:sz w:val="20"/>
          <w:szCs w:val="20"/>
        </w:rPr>
        <w:t xml:space="preserve">E(Rᵢ) = Rf + βᵢ × (E(Rm) − Rf)</w:t>
      </w:r>
    </w:p>
    <w:p>
      <w:pPr>
        <w:spacing w:before="0" w:after="80" w:line="276"/>
        <w:jc w:val="left"/>
      </w:pPr>
      <w:r>
        <w:rPr>
          <w:rFonts w:ascii="Arial" w:cs="Arial" w:eastAsia="Arial" w:hAnsi="Arial"/>
          <w:b w:val="false"/>
          <w:bCs w:val="false"/>
          <w:i/>
          <w:iCs/>
          <w:color w:val="555555"/>
          <w:sz w:val="18"/>
          <w:szCs w:val="18"/>
        </w:rPr>
        <w:t xml:space="preserve">Rf = 6.50% (10-year Indian Government Bond Yield)  |  E(Rm) = 12.50% (Nifty 50 CAGR since June 1999, per NSE archives)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2000"/>
        <w:gridCol w:w="1880"/>
      </w:tblGrid>
      <w:tr>
        <w:tc>
          <w:tcPr>
            <w:tcW w:type="dxa" w:w="1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Stock</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Beta (β)</w:t>
            </w:r>
          </w:p>
        </w:tc>
        <w:tc>
          <w:tcPr>
            <w:tcW w:type="dxa" w:w="3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CAPM Calculation</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Expected Return E(R)</w:t>
            </w:r>
          </w:p>
        </w:tc>
        <w:tc>
          <w:tcPr>
            <w:tcW w:type="dxa" w:w="18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Beta Interpretation</w:t>
            </w:r>
          </w:p>
        </w:tc>
      </w:tr>
      <w:tr>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0.93</w:t>
            </w:r>
          </w:p>
        </w:tc>
        <w:tc>
          <w:tcPr>
            <w:tcW w:type="dxa" w:w="3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6.50% + 0.93(12.50%−6.50%)</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12.08%</w:t>
            </w:r>
          </w:p>
        </w:tc>
        <w:tc>
          <w:tcPr>
            <w:tcW w:type="dxa" w:w="1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β&lt;1: Less volatile than market; defensive</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Infosys</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0.90</w:t>
            </w:r>
          </w:p>
        </w:tc>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6.50% + 0.90(12.50%−6.50%)</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11.90%</w:t>
            </w:r>
          </w:p>
        </w:tc>
        <w:tc>
          <w:tcPr>
            <w:tcW w:type="dxa" w:w="1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β&lt;1: Slightly greater risk-dampening than HDFC</w:t>
            </w:r>
          </w:p>
        </w:tc>
      </w:tr>
      <w:tr>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Polycab India</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1.41</w:t>
            </w:r>
          </w:p>
        </w:tc>
        <w:tc>
          <w:tcPr>
            <w:tcW w:type="dxa" w:w="3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6.50% + 1.41(12.50%−6.50%)</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14.96%</w:t>
            </w:r>
          </w:p>
        </w:tc>
        <w:tc>
          <w:tcPr>
            <w:tcW w:type="dxa" w:w="1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β&gt;1: Significantly more aggressive than market</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 Industries</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1.03</w:t>
            </w:r>
          </w:p>
        </w:tc>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6.50% + 1.03(12.50%−6.50%)</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12.68%</w:t>
            </w:r>
          </w:p>
        </w:tc>
        <w:tc>
          <w:tcPr>
            <w:tcW w:type="dxa" w:w="1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β≈1: Volatility aligned with market average</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60" w:after="80" w:line="276"/>
        <w:jc w:val="left"/>
      </w:pPr>
      <w:r>
        <w:rPr>
          <w:rFonts w:ascii="Arial" w:cs="Arial" w:eastAsia="Arial" w:hAnsi="Arial"/>
          <w:b/>
          <w:bCs/>
          <w:i w:val="false"/>
          <w:iCs w:val="false"/>
          <w:color w:val="222222"/>
          <w:sz w:val="20"/>
          <w:szCs w:val="20"/>
        </w:rPr>
        <w:t xml:space="preserve">HDFC Bank: E(R) = 12.08%</w:t>
      </w:r>
    </w:p>
    <w:p>
      <w:pPr>
        <w:spacing w:before="0" w:after="80" w:line="276"/>
        <w:jc w:val="left"/>
      </w:pPr>
      <w:r>
        <w:rPr>
          <w:rFonts w:ascii="Arial" w:cs="Arial" w:eastAsia="Arial" w:hAnsi="Arial"/>
          <w:b w:val="false"/>
          <w:bCs w:val="false"/>
          <w:i w:val="false"/>
          <w:iCs w:val="false"/>
          <w:color w:val="222222"/>
          <w:sz w:val="20"/>
          <w:szCs w:val="20"/>
        </w:rPr>
        <w:t xml:space="preserve">This value is less than 1. It indicates that HDFC Bank's stock is historically less volatile or less sensitive to overall market movements than the market average. If the Nifty or Sensex moves up (or down) by 10%, HDFC Bank's stock price is expected to move by only 9.3% (10% × 0.93). Based on its lower risk (Beta), the CAPM suggests investors should expect a moderate return of 12.08% for holding this stock.</w:t>
      </w:r>
    </w:p>
    <w:p>
      <w:pPr>
        <w:spacing w:before="40" w:after="80" w:line="276"/>
        <w:jc w:val="left"/>
      </w:pPr>
      <w:r>
        <w:rPr>
          <w:rFonts w:ascii="Arial" w:cs="Arial" w:eastAsia="Arial" w:hAnsi="Arial"/>
          <w:b/>
          <w:bCs/>
          <w:i w:val="false"/>
          <w:iCs w:val="false"/>
          <w:color w:val="222222"/>
          <w:sz w:val="20"/>
          <w:szCs w:val="20"/>
        </w:rPr>
        <w:t xml:space="preserve">Infosys: E(R) = 11.90%</w:t>
      </w:r>
    </w:p>
    <w:p>
      <w:pPr>
        <w:spacing w:before="0" w:after="80" w:line="276"/>
        <w:jc w:val="left"/>
      </w:pPr>
      <w:r>
        <w:rPr>
          <w:rFonts w:ascii="Arial" w:cs="Arial" w:eastAsia="Arial" w:hAnsi="Arial"/>
          <w:b w:val="false"/>
          <w:bCs w:val="false"/>
          <w:i w:val="false"/>
          <w:iCs w:val="false"/>
          <w:color w:val="222222"/>
          <w:sz w:val="20"/>
          <w:szCs w:val="20"/>
        </w:rPr>
        <w:t xml:space="preserve">This Beta is also less than 1, indicating that Infosys is also less volatile than the market. It offers a slightly greater risk-dampening effect than HDFC Bank. Given its slightly lower Beta compared to HDFC Bank, its calculated required return is also slightly lower at 11.90%.</w:t>
      </w:r>
    </w:p>
    <w:p>
      <w:pPr>
        <w:spacing w:before="40" w:after="80" w:line="276"/>
        <w:jc w:val="left"/>
      </w:pPr>
      <w:r>
        <w:rPr>
          <w:rFonts w:ascii="Arial" w:cs="Arial" w:eastAsia="Arial" w:hAnsi="Arial"/>
          <w:b/>
          <w:bCs/>
          <w:i w:val="false"/>
          <w:iCs w:val="false"/>
          <w:color w:val="222222"/>
          <w:sz w:val="20"/>
          <w:szCs w:val="20"/>
        </w:rPr>
        <w:t xml:space="preserve">Polycab India Ltd.: E(R) = 14.96%</w:t>
      </w:r>
    </w:p>
    <w:p>
      <w:pPr>
        <w:spacing w:before="0" w:after="80" w:line="276"/>
        <w:jc w:val="left"/>
      </w:pPr>
      <w:r>
        <w:rPr>
          <w:rFonts w:ascii="Arial" w:cs="Arial" w:eastAsia="Arial" w:hAnsi="Arial"/>
          <w:b w:val="false"/>
          <w:bCs w:val="false"/>
          <w:i w:val="false"/>
          <w:iCs w:val="false"/>
          <w:color w:val="222222"/>
          <w:sz w:val="20"/>
          <w:szCs w:val="20"/>
        </w:rPr>
        <w:t xml:space="preserve">This value is significantly greater than 1. It indicates that Polycab India's stock is considered more volatile or more aggressive than the market average. If the market moves by 10%, Polycab's stock is expected to move by 14.1% (10% × 1.41). Due to its high systematic risk (Beta), investors demand a significantly higher expected return of 14.96% as compensation for assuming that increased risk.</w:t>
      </w:r>
    </w:p>
    <w:p>
      <w:pPr>
        <w:spacing w:before="40" w:after="80" w:line="276"/>
        <w:jc w:val="left"/>
      </w:pPr>
      <w:r>
        <w:rPr>
          <w:rFonts w:ascii="Arial" w:cs="Arial" w:eastAsia="Arial" w:hAnsi="Arial"/>
          <w:b/>
          <w:bCs/>
          <w:i w:val="false"/>
          <w:iCs w:val="false"/>
          <w:color w:val="222222"/>
          <w:sz w:val="20"/>
          <w:szCs w:val="20"/>
        </w:rPr>
        <w:t xml:space="preserve">PI Industries: E(R) = 12.68%</w:t>
      </w:r>
    </w:p>
    <w:p>
      <w:pPr>
        <w:spacing w:before="0" w:after="80" w:line="276"/>
        <w:jc w:val="left"/>
      </w:pPr>
      <w:r>
        <w:rPr>
          <w:rFonts w:ascii="Arial" w:cs="Arial" w:eastAsia="Arial" w:hAnsi="Arial"/>
          <w:b w:val="false"/>
          <w:bCs w:val="false"/>
          <w:i w:val="false"/>
          <w:iCs w:val="false"/>
          <w:color w:val="222222"/>
          <w:sz w:val="20"/>
          <w:szCs w:val="20"/>
        </w:rPr>
        <w:t xml:space="preserve">This value is very close to 1. It indicates that PI Industries' stock's volatility is almost perfectly aligned with the overall market average. The CAPM suggests a required return of 12.68%, which is slightly above the theoretical market return due to its Beta being just over 1.</w:t>
      </w:r>
    </w:p>
    <w:p>
      <w:pPr>
        <w:spacing w:before="80" w:after="40" w:line="276"/>
        <w:jc w:val="left"/>
      </w:pPr>
      <w:r>
        <w:rPr>
          <w:rFonts w:ascii="Arial" w:cs="Arial" w:eastAsia="Arial" w:hAnsi="Arial"/>
          <w:b/>
          <w:bCs/>
          <w:i w:val="false"/>
          <w:iCs w:val="false"/>
          <w:color w:val="0D4F6C"/>
          <w:sz w:val="21"/>
          <w:szCs w:val="21"/>
        </w:rPr>
        <w:t xml:space="preserve">3.3  Price-to-Earnings (P/E) Analysis</w:t>
      </w:r>
    </w:p>
    <w:p>
      <w:pPr>
        <w:spacing w:before="0" w:after="80" w:line="276"/>
        <w:jc w:val="left"/>
      </w:pPr>
      <w:r>
        <w:rPr>
          <w:rFonts w:ascii="Arial" w:cs="Arial" w:eastAsia="Arial" w:hAnsi="Arial"/>
          <w:b w:val="false"/>
          <w:bCs w:val="false"/>
          <w:i w:val="false"/>
          <w:iCs w:val="false"/>
          <w:color w:val="222222"/>
          <w:sz w:val="20"/>
          <w:szCs w:val="20"/>
        </w:rPr>
        <w:t xml:space="preserve">P/E — Price to Earnings ratio measures the share price of a company relative to the earnings per share. It allows for assessing the relative value of a company's stock.</w:t>
      </w:r>
    </w:p>
    <w:p>
      <w:pPr>
        <w:spacing w:before="20" w:after="20" w:line="276"/>
        <w:jc w:val="center"/>
      </w:pPr>
      <w:r>
        <w:rPr>
          <w:rFonts w:ascii="Arial" w:cs="Arial" w:eastAsia="Arial" w:hAnsi="Arial"/>
          <w:b/>
          <w:bCs/>
          <w:i w:val="false"/>
          <w:iCs w:val="false"/>
          <w:color w:val="0D4F6C"/>
          <w:sz w:val="20"/>
          <w:szCs w:val="20"/>
        </w:rPr>
        <w:t xml:space="preserve">P/E = Market Price of a Share / Earnings Per Share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400"/>
        <w:gridCol w:w="3880"/>
      </w:tblGrid>
      <w:tr>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Stock</w:t>
            </w:r>
          </w:p>
        </w:tc>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P/E Ratio</w:t>
            </w:r>
          </w:p>
        </w:tc>
        <w:tc>
          <w:tcPr>
            <w:tcW w:type="dxa" w:w="1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Industry Avg P/E</w:t>
            </w:r>
          </w:p>
        </w:tc>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vs. Industry</w:t>
            </w:r>
          </w:p>
        </w:tc>
        <w:tc>
          <w:tcPr>
            <w:tcW w:type="dxa" w:w="38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Assessment</w:t>
            </w:r>
          </w:p>
        </w:tc>
      </w:tr>
      <w:tr>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21.1</w:t>
            </w:r>
          </w:p>
        </w:tc>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~16.2</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Above avg</w:t>
            </w:r>
          </w:p>
        </w:tc>
        <w:tc>
          <w:tcPr>
            <w:tcW w:type="dxa" w:w="3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Investors pay premium; reflects confidence &amp; strong performance</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Infosys</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22.18</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~34.5</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Below avg</w:t>
            </w:r>
          </w:p>
        </w:tc>
        <w:tc>
          <w:tcPr>
            <w:tcW w:type="dxa" w:w="3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Below sector due to 20% YTD price decline; aligned with TCS/Wipro/HCL</w:t>
            </w:r>
          </w:p>
        </w:tc>
      </w:tr>
      <w:tr>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Polycab India</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46.0</w:t>
            </w:r>
          </w:p>
        </w:tc>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31–38</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Well above avg</w:t>
            </w:r>
          </w:p>
        </w:tc>
        <w:tc>
          <w:tcPr>
            <w:tcW w:type="dxa" w:w="3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Highest in selection; premium for high growth expectations</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 Industries</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33.3</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~45.73</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Below avg</w:t>
            </w:r>
          </w:p>
        </w:tc>
        <w:tc>
          <w:tcPr>
            <w:tcW w:type="dxa" w:w="3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Undervalued vs sector; potential value opportunity</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40" w:after="80" w:line="276"/>
        <w:jc w:val="left"/>
      </w:pPr>
      <w:r>
        <w:rPr>
          <w:rFonts w:ascii="Arial" w:cs="Arial" w:eastAsia="Arial" w:hAnsi="Arial"/>
          <w:b/>
          <w:bCs/>
          <w:i w:val="false"/>
          <w:iCs w:val="false"/>
          <w:color w:val="222222"/>
          <w:sz w:val="20"/>
          <w:szCs w:val="20"/>
        </w:rPr>
        <w:t xml:space="preserve">HDFC Bank (P/E: 21.1, Industry avg: ~16.2)</w:t>
      </w:r>
    </w:p>
    <w:p>
      <w:pPr>
        <w:spacing w:before="0" w:after="80" w:line="276"/>
        <w:jc w:val="left"/>
      </w:pPr>
      <w:r>
        <w:rPr>
          <w:rFonts w:ascii="Arial" w:cs="Arial" w:eastAsia="Arial" w:hAnsi="Arial"/>
          <w:b w:val="false"/>
          <w:bCs w:val="false"/>
          <w:i w:val="false"/>
          <w:iCs w:val="false"/>
          <w:color w:val="222222"/>
          <w:sz w:val="20"/>
          <w:szCs w:val="20"/>
        </w:rPr>
        <w:t xml:space="preserve">A P/E ratio of 21.1 indicates that investors are willing to pay Rs. 21.1 for every Rs. 1 of HDFC earnings. The P/E ratio of HDFC Bank is slightly above the industry average. A higher ratio could indicate that investors are willing to pay a higher price (premium) for the same returns. This could be a result of investor confidence in the company or high potential for future growth. As the ratio remains within the general range of the industry average, it may also reflect the investor consensus that HDFC has demonstrated a stronger financial performance compared to other banking institutions in the industry.</w:t>
      </w:r>
    </w:p>
    <w:p>
      <w:pPr>
        <w:spacing w:before="0" w:after="80" w:line="276"/>
        <w:jc w:val="left"/>
      </w:pPr>
      <w:r>
        <w:rPr>
          <w:rFonts w:ascii="Arial" w:cs="Arial" w:eastAsia="Arial" w:hAnsi="Arial"/>
          <w:b w:val="false"/>
          <w:bCs w:val="false"/>
          <w:i/>
          <w:iCs/>
          <w:color w:val="555555"/>
          <w:sz w:val="17"/>
          <w:szCs w:val="17"/>
        </w:rPr>
        <w:t xml:space="preserve">Source: </w:t>
      </w:r>
      <w:hyperlink w:history="1" r:id="rId1hqi35ybavxpkrnp3j0yj">
        <w:r>
          <w:rPr>
            <w:rFonts w:ascii="Arial" w:cs="Arial" w:eastAsia="Arial" w:hAnsi="Arial"/>
            <w:color w:val="2E7D8C"/>
            <w:sz w:val="18"/>
            <w:szCs w:val="18"/>
            <w:u w:val="single"/>
          </w:rPr>
          <w:t xml:space="preserve">Screener — Banking Sector</w:t>
        </w:r>
      </w:hyperlink>
    </w:p>
    <w:p>
      <w:pPr>
        <w:spacing w:before="40" w:after="80" w:line="276"/>
        <w:jc w:val="left"/>
      </w:pPr>
      <w:r>
        <w:rPr>
          <w:rFonts w:ascii="Arial" w:cs="Arial" w:eastAsia="Arial" w:hAnsi="Arial"/>
          <w:b/>
          <w:bCs/>
          <w:i w:val="false"/>
          <w:iCs w:val="false"/>
          <w:color w:val="222222"/>
          <w:sz w:val="20"/>
          <w:szCs w:val="20"/>
        </w:rPr>
        <w:t xml:space="preserve">Infosys (P/E: 22.18, Industry avg: ~34.5)</w:t>
      </w:r>
    </w:p>
    <w:p>
      <w:pPr>
        <w:spacing w:before="0" w:after="80" w:line="276"/>
        <w:jc w:val="left"/>
      </w:pPr>
      <w:r>
        <w:rPr>
          <w:rFonts w:ascii="Arial" w:cs="Arial" w:eastAsia="Arial" w:hAnsi="Arial"/>
          <w:b w:val="false"/>
          <w:bCs w:val="false"/>
          <w:i w:val="false"/>
          <w:iCs w:val="false"/>
          <w:color w:val="222222"/>
          <w:sz w:val="20"/>
          <w:szCs w:val="20"/>
        </w:rPr>
        <w:t xml:space="preserve">The P/E ratio is noted to be quite lower when compared to the industry average. It has been reported that the Infosys share price has been consistently falling recently, reportedly a 20% decline year to date. Furthermore, Infosys has also been underperforming in its sector over the past year. Investors may choose to be more cautious when investing in stock and would be unwilling to pay more than the industry average for Infosys stock. Global uncertainty also contributes to lower investor confidence. Slower revenue conversion due to macroeconomic tensions would make investors wary of purchasing Infosys stock at higher prices. However, it is worth noting that the P/E ratio of Infosys is roughly aligned with those of its peers, such as TCS (22.21), Wipro (18.95), and HCL Tech (24.49). This demonstrates that, although they are indeed below the industry average, their performance is largely influenced by macroeconomic uncertainty and underperformance across the entire sector.</w:t>
      </w:r>
    </w:p>
    <w:p>
      <w:pPr>
        <w:spacing w:before="0" w:after="80" w:line="276"/>
        <w:jc w:val="left"/>
      </w:pPr>
      <w:r>
        <w:rPr>
          <w:rFonts w:ascii="Arial" w:cs="Arial" w:eastAsia="Arial" w:hAnsi="Arial"/>
          <w:b w:val="false"/>
          <w:bCs w:val="false"/>
          <w:i/>
          <w:iCs/>
          <w:color w:val="555555"/>
          <w:sz w:val="17"/>
          <w:szCs w:val="17"/>
        </w:rPr>
        <w:t xml:space="preserve">Source: </w:t>
      </w:r>
      <w:hyperlink w:history="1" r:id="rIdvpekvjirp24curms1ju2m">
        <w:r>
          <w:rPr>
            <w:rFonts w:ascii="Arial" w:cs="Arial" w:eastAsia="Arial" w:hAnsi="Arial"/>
            <w:color w:val="2E7D8C"/>
            <w:sz w:val="18"/>
            <w:szCs w:val="18"/>
            <w:u w:val="single"/>
          </w:rPr>
          <w:t xml:space="preserve">Screener — Nifty IT</w:t>
        </w:r>
      </w:hyperlink>
    </w:p>
    <w:p>
      <w:pPr>
        <w:spacing w:before="40" w:after="80" w:line="276"/>
        <w:jc w:val="left"/>
      </w:pPr>
      <w:r>
        <w:rPr>
          <w:rFonts w:ascii="Arial" w:cs="Arial" w:eastAsia="Arial" w:hAnsi="Arial"/>
          <w:b/>
          <w:bCs/>
          <w:i w:val="false"/>
          <w:iCs w:val="false"/>
          <w:color w:val="222222"/>
          <w:sz w:val="20"/>
          <w:szCs w:val="20"/>
        </w:rPr>
        <w:t xml:space="preserve">Polycab India Ltd. (P/E: 46.0, Industry avg: 31–38)</w:t>
      </w:r>
    </w:p>
    <w:p>
      <w:pPr>
        <w:spacing w:before="0" w:after="80" w:line="276"/>
        <w:jc w:val="left"/>
      </w:pPr>
      <w:r>
        <w:rPr>
          <w:rFonts w:ascii="Arial" w:cs="Arial" w:eastAsia="Arial" w:hAnsi="Arial"/>
          <w:b w:val="false"/>
          <w:bCs w:val="false"/>
          <w:i w:val="false"/>
          <w:iCs w:val="false"/>
          <w:color w:val="222222"/>
          <w:sz w:val="20"/>
          <w:szCs w:val="20"/>
        </w:rPr>
        <w:t xml:space="preserve">An approximate industry average P/E ratio is 31.7. A P/E ratio of 46 is an extremely high score, and it is the highest among all the companies in the equity selection. Polycab operates in the electrical equipment sector, specifically in wires and cables, which is a growing industry. Because this is still a growing industry, calculating an exact industry average is challenging; however, the benchmark ratio reported is between 31 and 38. Polycab's stock can be said to be traded at a premium due to its high P/E ratio. This means that investors would be willing to pay Rs. 46 for every Rs. 1 of Polycab's earnings. Investors are likely to have high growth expectations from Polycab. A high P/E ratio may also indicate that investors are confident in Polycab due to its historical performance, which has likely featured high revenue growth. However, the returns and growth should stay consistent in the future; otherwise, it may be the case that Polycab's stock is being overvalued.</w:t>
      </w:r>
    </w:p>
    <w:p>
      <w:pPr>
        <w:spacing w:before="40" w:after="80" w:line="276"/>
        <w:jc w:val="left"/>
      </w:pPr>
      <w:r>
        <w:rPr>
          <w:rFonts w:ascii="Arial" w:cs="Arial" w:eastAsia="Arial" w:hAnsi="Arial"/>
          <w:b/>
          <w:bCs/>
          <w:i w:val="false"/>
          <w:iCs w:val="false"/>
          <w:color w:val="222222"/>
          <w:sz w:val="20"/>
          <w:szCs w:val="20"/>
        </w:rPr>
        <w:t xml:space="preserve">PI Industries (P/E: 33.3, Industry avg: ~45.73)</w:t>
      </w:r>
    </w:p>
    <w:p>
      <w:pPr>
        <w:spacing w:before="0" w:after="80" w:line="276"/>
        <w:jc w:val="left"/>
      </w:pPr>
      <w:r>
        <w:rPr>
          <w:rFonts w:ascii="Arial" w:cs="Arial" w:eastAsia="Arial" w:hAnsi="Arial"/>
          <w:b w:val="false"/>
          <w:bCs w:val="false"/>
          <w:i w:val="false"/>
          <w:iCs w:val="false"/>
          <w:color w:val="222222"/>
          <w:sz w:val="20"/>
          <w:szCs w:val="20"/>
        </w:rPr>
        <w:t xml:space="preserve">The industry average, taken from 31 companies in the agrochemicals industry, is approximately 45.73. The P/E ratio is below the industry average. Hence, PI Industries' stock is undervalued in the market. Investors would only be willing to pay less than the market price for every Rs. 1 of PI Industries' earnings. This could be a result of slower growth potential. A lower P/E ratio, however, isn't necessarily a sign of weakness. It is likely that as the company grows, the market will recognise PI Industries' true value. Investors may see this as an opportunity to purchase the shares at a lower price today and sell them in the future once the price rises.</w:t>
      </w:r>
    </w:p>
    <w:p>
      <w:pPr>
        <w:spacing w:before="80" w:after="40" w:line="276"/>
        <w:jc w:val="left"/>
      </w:pPr>
      <w:r>
        <w:rPr>
          <w:rFonts w:ascii="Arial" w:cs="Arial" w:eastAsia="Arial" w:hAnsi="Arial"/>
          <w:b/>
          <w:bCs/>
          <w:i w:val="false"/>
          <w:iCs w:val="false"/>
          <w:color w:val="0D4F6C"/>
          <w:sz w:val="21"/>
          <w:szCs w:val="21"/>
        </w:rPr>
        <w:t xml:space="preserve">3.4  Return on Equity (ROE)</w:t>
      </w:r>
    </w:p>
    <w:p>
      <w:pPr>
        <w:spacing w:before="0" w:after="80" w:line="276"/>
        <w:jc w:val="left"/>
      </w:pPr>
      <w:r>
        <w:rPr>
          <w:rFonts w:ascii="Arial" w:cs="Arial" w:eastAsia="Arial" w:hAnsi="Arial"/>
          <w:b w:val="false"/>
          <w:bCs w:val="false"/>
          <w:i w:val="false"/>
          <w:iCs w:val="false"/>
          <w:color w:val="222222"/>
          <w:sz w:val="20"/>
          <w:szCs w:val="20"/>
        </w:rPr>
        <w:t xml:space="preserve">Return on equity is a measure of a company's financial performance. It measures the profitability of a company relative to the total shareholder equity. It illustrates the net return on investments made by shareholders and how efficiently equity is converted to profit.</w:t>
      </w:r>
    </w:p>
    <w:p>
      <w:pPr>
        <w:spacing w:before="20" w:after="20" w:line="276"/>
        <w:jc w:val="center"/>
      </w:pPr>
      <w:r>
        <w:rPr>
          <w:rFonts w:ascii="Arial" w:cs="Arial" w:eastAsia="Arial" w:hAnsi="Arial"/>
          <w:b/>
          <w:bCs/>
          <w:i w:val="false"/>
          <w:iCs w:val="false"/>
          <w:color w:val="0D4F6C"/>
          <w:sz w:val="20"/>
          <w:szCs w:val="20"/>
        </w:rPr>
        <w:t xml:space="preserve">ROE = (Net Income / Shareholders' Equity) ×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880"/>
      </w:tblGrid>
      <w:tr>
        <w:tc>
          <w:tcPr>
            <w:tcW w:type="dxa" w:w="1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Stock</w:t>
            </w:r>
          </w:p>
        </w:tc>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ROE</w:t>
            </w:r>
          </w:p>
        </w:tc>
        <w:tc>
          <w:tcPr>
            <w:tcW w:type="dxa" w:w="68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Notes</w:t>
            </w:r>
          </w:p>
        </w:tc>
      </w:tr>
      <w:tr>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14.4%</w:t>
            </w:r>
          </w:p>
        </w:tc>
        <w:tc>
          <w:tcPr>
            <w:tcW w:type="dxa" w:w="6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Below ICICI (18.16%) and Axis (16.04%); moderate efficiency in generating profits from shareholders' equity</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Infosys</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28.8%</w:t>
            </w:r>
          </w:p>
        </w:tc>
        <w:tc>
          <w:tcPr>
            <w:tcW w:type="dxa" w:w="6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Highly attractive; 20%+ ROE considered strong; IT firms typically show high ROE due to lower capital requirements and high scalability</w:t>
            </w:r>
          </w:p>
        </w:tc>
      </w:tr>
      <w:tr>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Polycab India</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21.4%</w:t>
            </w:r>
          </w:p>
        </w:tc>
        <w:tc>
          <w:tcPr>
            <w:tcW w:type="dxa" w:w="6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Above industry benchmark of ~17.59%; able to generate profit from equity while sustaining growth and paying consistent dividends since 2019</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 Industries</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17.6%</w:t>
            </w:r>
          </w:p>
        </w:tc>
        <w:tc>
          <w:tcPr>
            <w:tcW w:type="dxa" w:w="6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Above agrochemical industry average of 12.3%; strong financial performance; efficient use of assets to generate profit</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40" w:after="80" w:line="276"/>
        <w:jc w:val="left"/>
      </w:pPr>
      <w:r>
        <w:rPr>
          <w:rFonts w:ascii="Arial" w:cs="Arial" w:eastAsia="Arial" w:hAnsi="Arial"/>
          <w:b/>
          <w:bCs/>
          <w:i w:val="false"/>
          <w:iCs w:val="false"/>
          <w:color w:val="222222"/>
          <w:sz w:val="20"/>
          <w:szCs w:val="20"/>
        </w:rPr>
        <w:t xml:space="preserve">HDFC Bank (ROE: 14.4%)</w:t>
      </w:r>
    </w:p>
    <w:p>
      <w:pPr>
        <w:spacing w:before="0" w:after="80" w:line="276"/>
        <w:jc w:val="left"/>
      </w:pPr>
      <w:r>
        <w:rPr>
          <w:rFonts w:ascii="Arial" w:cs="Arial" w:eastAsia="Arial" w:hAnsi="Arial"/>
          <w:b w:val="false"/>
          <w:bCs w:val="false"/>
          <w:i w:val="false"/>
          <w:iCs w:val="false"/>
          <w:color w:val="222222"/>
          <w:sz w:val="20"/>
          <w:szCs w:val="20"/>
        </w:rPr>
        <w:t xml:space="preserve">The ROE for HDFC seems to be higher than the industry average; however, when comparing with directly competing banks, it is slightly lower. For example, ICICI and Axis Bank had ROE figures of 18.16% and 16.04% respectively. The profitability generated based on HDFC's equity isn't as high as that of other private banks in the industry. When comparing with peers, this illustrates that there is moderate efficiency when it comes to generating profits from shareholders' equity.</w:t>
      </w:r>
    </w:p>
    <w:p>
      <w:pPr>
        <w:spacing w:before="40" w:after="80" w:line="276"/>
        <w:jc w:val="left"/>
      </w:pPr>
      <w:r>
        <w:rPr>
          <w:rFonts w:ascii="Arial" w:cs="Arial" w:eastAsia="Arial" w:hAnsi="Arial"/>
          <w:b/>
          <w:bCs/>
          <w:i w:val="false"/>
          <w:iCs w:val="false"/>
          <w:color w:val="222222"/>
          <w:sz w:val="20"/>
          <w:szCs w:val="20"/>
        </w:rPr>
        <w:t xml:space="preserve">Infosys (ROE: 28.8%)</w:t>
      </w:r>
    </w:p>
    <w:p>
      <w:pPr>
        <w:spacing w:before="0" w:after="80" w:line="276"/>
        <w:jc w:val="left"/>
      </w:pPr>
      <w:r>
        <w:rPr>
          <w:rFonts w:ascii="Arial" w:cs="Arial" w:eastAsia="Arial" w:hAnsi="Arial"/>
          <w:b w:val="false"/>
          <w:bCs w:val="false"/>
          <w:i w:val="false"/>
          <w:iCs w:val="false"/>
          <w:color w:val="222222"/>
          <w:sz w:val="20"/>
          <w:szCs w:val="20"/>
        </w:rPr>
        <w:t xml:space="preserve">The ROE for IT and consulting companies in India vary greatly hence establishing an industry average can be difficult. ROE is dependent on each individual firm's profitability, revenue and cost structure. IT service companies typically have higher ROE because they have lower capital requirements and are highly scalable. ROE of 28.8% is a highly attractive number for investors. Generally, an ROE figure of 20% is considered promising, as it indicates that the company is highly efficient in generating profits from its equity. It further indicates that Infosys is likely to have higher profit margins and an efficient use of capital.</w:t>
      </w:r>
    </w:p>
    <w:p>
      <w:pPr>
        <w:spacing w:before="40" w:after="80" w:line="276"/>
        <w:jc w:val="left"/>
      </w:pPr>
      <w:r>
        <w:rPr>
          <w:rFonts w:ascii="Arial" w:cs="Arial" w:eastAsia="Arial" w:hAnsi="Arial"/>
          <w:b/>
          <w:bCs/>
          <w:i w:val="false"/>
          <w:iCs w:val="false"/>
          <w:color w:val="222222"/>
          <w:sz w:val="20"/>
          <w:szCs w:val="20"/>
        </w:rPr>
        <w:t xml:space="preserve">Polycab India Ltd. (ROE: 21.4%)</w:t>
      </w:r>
    </w:p>
    <w:p>
      <w:pPr>
        <w:spacing w:before="0" w:after="80" w:line="276"/>
        <w:jc w:val="left"/>
      </w:pPr>
      <w:r>
        <w:rPr>
          <w:rFonts w:ascii="Arial" w:cs="Arial" w:eastAsia="Arial" w:hAnsi="Arial"/>
          <w:b w:val="false"/>
          <w:bCs w:val="false"/>
          <w:i w:val="false"/>
          <w:iCs w:val="false"/>
          <w:color w:val="222222"/>
          <w:sz w:val="20"/>
          <w:szCs w:val="20"/>
        </w:rPr>
        <w:t xml:space="preserve">For the electrical equipment — wires and cables industry, a benchmark average is approximately 17.59%. Polycab also has a strong ROE, which proves to be attractive for investors. A generally strong ROE across sectors would be around 20%. It indicates that Polycab is able to efficiently generate profit based on total shareholders equity. A strong ROE that is above the industry average is a suggestion that Polycab is not only generating profits, but also using equity efficiently to expand its operations and sustain growth. Due to a higher ROE, Polycab is also able to consistently pay dividends to equity shareholders. Since 2019, they've consistently paid out annual dividends, which builds investor confidence.</w:t>
      </w:r>
    </w:p>
    <w:p>
      <w:pPr>
        <w:spacing w:before="40" w:after="80" w:line="276"/>
        <w:jc w:val="left"/>
      </w:pPr>
      <w:r>
        <w:rPr>
          <w:rFonts w:ascii="Arial" w:cs="Arial" w:eastAsia="Arial" w:hAnsi="Arial"/>
          <w:b/>
          <w:bCs/>
          <w:i w:val="false"/>
          <w:iCs w:val="false"/>
          <w:color w:val="222222"/>
          <w:sz w:val="20"/>
          <w:szCs w:val="20"/>
        </w:rPr>
        <w:t xml:space="preserve">PI Industries (ROE: 17.6%)</w:t>
      </w:r>
    </w:p>
    <w:p>
      <w:pPr>
        <w:spacing w:before="0" w:after="80" w:line="276"/>
        <w:jc w:val="left"/>
      </w:pPr>
      <w:r>
        <w:rPr>
          <w:rFonts w:ascii="Arial" w:cs="Arial" w:eastAsia="Arial" w:hAnsi="Arial"/>
          <w:b w:val="false"/>
          <w:bCs w:val="false"/>
          <w:i w:val="false"/>
          <w:iCs w:val="false"/>
          <w:color w:val="222222"/>
          <w:sz w:val="20"/>
          <w:szCs w:val="20"/>
        </w:rPr>
        <w:t xml:space="preserve">The industry average for agrochemicals is 12.3%. While finding the average ROE for an industry is challenging due to multiple factors that individually affect each company, 12.3% can be considered a benchmark for the agrochemical industry. In broad terms, the ROE of 17.6% is a promising figure. This indicates that PI Industries can generate an above-average profit figure from its equity. It also shows that PI Industries has a strong financial performance and an efficient use of assets to generate profit.</w:t>
      </w:r>
    </w:p>
    <w:p>
      <w:pPr>
        <w:spacing w:before="80" w:after="40" w:line="276"/>
        <w:jc w:val="left"/>
      </w:pPr>
      <w:r>
        <w:rPr>
          <w:rFonts w:ascii="Arial" w:cs="Arial" w:eastAsia="Arial" w:hAnsi="Arial"/>
          <w:b/>
          <w:bCs/>
          <w:i w:val="false"/>
          <w:iCs w:val="false"/>
          <w:color w:val="0D4F6C"/>
          <w:sz w:val="21"/>
          <w:szCs w:val="21"/>
        </w:rPr>
        <w:t xml:space="preserve">3.5  Ratio Extraction (Year ended 31 March 2025)</w:t>
      </w:r>
    </w:p>
    <w:p>
      <w:pPr>
        <w:spacing w:before="0" w:after="80" w:line="264"/>
        <w:jc w:val="left"/>
      </w:pPr>
      <w:r>
        <w:rPr>
          <w:rFonts w:ascii="Arial" w:cs="Arial" w:eastAsia="Arial" w:hAnsi="Arial"/>
          <w:b w:val="false"/>
          <w:bCs w:val="false"/>
          <w:i w:val="false"/>
          <w:iCs w:val="false"/>
          <w:color w:val="222222"/>
          <w:sz w:val="19"/>
          <w:szCs w:val="19"/>
        </w:rPr>
        <w:t xml:space="preserve">Ratios have been extracted for the year ended 31 March 2025. Note: HDFC Bank does not publish current ratio, quick ratio, or debt-to-equity ratio because these measures are not meaningful in the context of the banking industry. Treatment of inventory, equity and debt is wholly related to bank operations — deposits, loans, etc. — hence these ratios do not provide an accurate financial insight of HDFC Bank.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400"/>
        <w:gridCol w:w="1600"/>
        <w:gridCol w:w="1080"/>
      </w:tblGrid>
      <w:tr>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Metric</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HDFC Bank</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Infosys</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Polycab</w:t>
            </w:r>
          </w:p>
        </w:tc>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PI Industries</w:t>
            </w:r>
          </w:p>
        </w:tc>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Piramal Ent.</w:t>
            </w:r>
          </w:p>
        </w:tc>
        <w:tc>
          <w:tcPr>
            <w:tcW w:type="dxa" w:w="10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Reliance Ind.</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Current Ratio</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N/A</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2.43</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2.7</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4.23</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5.12</w:t>
            </w:r>
          </w:p>
        </w:tc>
        <w:tc>
          <w:tcPr>
            <w:tcW w:type="dxa" w:w="1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1.05</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Quick Ratio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N/A</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2.27</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1.6</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3.66</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5.12</w:t>
            </w:r>
          </w:p>
        </w:tc>
        <w:tc>
          <w:tcPr>
            <w:tcW w:type="dxa" w:w="1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0.70</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Debt / Equity</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N/A</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0.01</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0.01</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0.38</w:t>
            </w:r>
          </w:p>
        </w:tc>
        <w:tc>
          <w:tcPr>
            <w:tcW w:type="dxa" w:w="1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0.41</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4. AI-AUGMENTED ANALYSIS</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4.1  Sentiment Analysis and Behavioural Bias Detection</w:t>
      </w:r>
    </w:p>
    <w:p>
      <w:pPr>
        <w:spacing w:before="0" w:after="80" w:line="276"/>
        <w:jc w:val="left"/>
      </w:pPr>
      <w:r>
        <w:rPr>
          <w:rFonts w:ascii="Arial" w:cs="Arial" w:eastAsia="Arial" w:hAnsi="Arial"/>
          <w:b w:val="false"/>
          <w:bCs w:val="false"/>
          <w:i w:val="false"/>
          <w:iCs w:val="false"/>
          <w:color w:val="222222"/>
          <w:sz w:val="20"/>
          <w:szCs w:val="20"/>
        </w:rPr>
        <w:t xml:space="preserve">A crucial component of this project was the use of multiple large language models (LLMs) and specialised tools to gather sophisticated inputs. LLMs used: ChatGPT, Grok AI, Gemini, and Claude — deployed to perform sentiment analysis on earnings call transcripts and news articles to gauge market mood, ratio extraction, and behavioural bias detection by analysing news framing and investor commentary.</w:t>
      </w:r>
    </w:p>
    <w:p>
      <w:pPr>
        <w:spacing w:before="80" w:after="40" w:line="276"/>
        <w:jc w:val="left"/>
      </w:pPr>
      <w:r>
        <w:rPr>
          <w:rFonts w:ascii="Arial" w:cs="Arial" w:eastAsia="Arial" w:hAnsi="Arial"/>
          <w:b/>
          <w:bCs/>
          <w:i w:val="false"/>
          <w:iCs w:val="false"/>
          <w:color w:val="0D4F6C"/>
          <w:sz w:val="21"/>
          <w:szCs w:val="21"/>
        </w:rPr>
        <w:t xml:space="preserve">Sentiment Summary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400"/>
        <w:gridCol w:w="1480"/>
      </w:tblGrid>
      <w:tr>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Security</w:t>
            </w:r>
          </w:p>
        </w:tc>
        <w:tc>
          <w:tcPr>
            <w:tcW w:type="dxa" w:w="1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Avg. Sentiment Score</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Overall Interpretation</w:t>
            </w:r>
          </w:p>
        </w:tc>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Top Bias Detected</w:t>
            </w:r>
          </w:p>
        </w:tc>
        <w:tc>
          <w:tcPr>
            <w:tcW w:type="dxa" w:w="14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Bias Frequency</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 (Bond)</w:t>
            </w:r>
          </w:p>
        </w:tc>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+0.7</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Positive</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Overconfidence</w:t>
            </w:r>
          </w:p>
        </w:tc>
        <w:tc>
          <w:tcPr>
            <w:tcW w:type="dxa" w:w="1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60%</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(Bond)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+0.6</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Mildly Positive</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Confirmation Bias</w:t>
            </w:r>
          </w:p>
        </w:tc>
        <w:tc>
          <w:tcPr>
            <w:tcW w:type="dxa" w:w="1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50%</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 (Bond)</w:t>
            </w:r>
          </w:p>
        </w:tc>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Strongly Positive</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Herd Mentality</w:t>
            </w:r>
          </w:p>
        </w:tc>
        <w:tc>
          <w:tcPr>
            <w:tcW w:type="dxa" w:w="1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40%</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 (Equity)</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Strongly Positive</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Overconfidence</w:t>
            </w:r>
          </w:p>
        </w:tc>
        <w:tc>
          <w:tcPr>
            <w:tcW w:type="dxa" w:w="1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65%</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Infosys (Equity)</w:t>
            </w:r>
          </w:p>
        </w:tc>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+0.5</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Moderate / Balanced</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Loss Aversion</w:t>
            </w:r>
          </w:p>
        </w:tc>
        <w:tc>
          <w:tcPr>
            <w:tcW w:type="dxa" w:w="1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55%</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Polycab (Equity)</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+0.9</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Very Positive</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Overconfidence + Herd</w:t>
            </w:r>
          </w:p>
        </w:tc>
        <w:tc>
          <w:tcPr>
            <w:tcW w:type="dxa" w:w="1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70%</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 Industries (Equity)</w:t>
            </w:r>
          </w:p>
        </w:tc>
        <w:tc>
          <w:tcPr>
            <w:tcW w:type="dxa" w:w="1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Strongly Positive</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Herd Mentality</w:t>
            </w:r>
          </w:p>
        </w:tc>
        <w:tc>
          <w:tcPr>
            <w:tcW w:type="dxa" w:w="1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60%</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Key Sentiment Patterns</w:t>
      </w:r>
    </w:p>
    <w:p>
      <w:pPr>
        <w:spacing w:before="0" w:after="80" w:line="276"/>
        <w:jc w:val="left"/>
      </w:pPr>
      <w:r>
        <w:rPr>
          <w:rFonts w:ascii="Arial" w:cs="Arial" w:eastAsia="Arial" w:hAnsi="Arial"/>
          <w:b w:val="false"/>
          <w:bCs w:val="false"/>
          <w:i w:val="false"/>
          <w:iCs w:val="false"/>
          <w:color w:val="222222"/>
          <w:sz w:val="20"/>
          <w:szCs w:val="20"/>
        </w:rPr>
        <w:t xml:space="preserve">Overall, sentiment across the seven securities remains broadly positive, reflecting optimism in both equity and bond markets during the review period. Average sentiment scores range from +0.5 to +0.9, indicating a generally confident outlook among management, media, and investors. Growth-oriented firms such as Polycab and PI Industries exhibit the strongest positive tone, largely driven by record quarterly revenues, capacity expansion announcements, and sustained demand momentum in their respective sectors. These upbeat narratives are accompanied by high incidences of overconfidence and herd mentality, indicating that market commentary and coverage may be amplifying success stories and reinforcing collective optimism.</w:t>
      </w:r>
    </w:p>
    <w:p>
      <w:pPr>
        <w:spacing w:before="0" w:after="80" w:line="276"/>
        <w:jc w:val="left"/>
      </w:pPr>
      <w:r>
        <w:rPr>
          <w:rFonts w:ascii="Arial" w:cs="Arial" w:eastAsia="Arial" w:hAnsi="Arial"/>
          <w:b w:val="false"/>
          <w:bCs w:val="false"/>
          <w:i w:val="false"/>
          <w:iCs w:val="false"/>
          <w:color w:val="222222"/>
          <w:sz w:val="20"/>
          <w:szCs w:val="20"/>
        </w:rPr>
        <w:t xml:space="preserve">In contrast, Infosys presents a more tempered tone with a moderate sentiment score (+0.5), reflecting a balance between positive developments in AI and deal wins, and concerns over margin compression and cost pressures — an example of loss aversion bias where downside risks are emphasised despite overall stability. Bond issuers such as Reliance, HDFC, and Piramal show consistently positive sentiment (+0.6 to +0.8), highlighting financial resilience and steady earnings performance. However, language in these releases often reflects confirmation bias and overconfidence, where management selectively reinforces strong metrics while underplaying potential rate or liquidity challenges.</w:t>
      </w:r>
    </w:p>
    <w:p>
      <w:pPr>
        <w:spacing w:before="0" w:after="80" w:line="276"/>
        <w:jc w:val="left"/>
      </w:pPr>
      <w:r>
        <w:rPr>
          <w:rFonts w:ascii="Arial" w:cs="Arial" w:eastAsia="Arial" w:hAnsi="Arial"/>
          <w:b w:val="false"/>
          <w:bCs w:val="false"/>
          <w:i w:val="false"/>
          <w:iCs w:val="false"/>
          <w:color w:val="222222"/>
          <w:sz w:val="20"/>
          <w:szCs w:val="20"/>
        </w:rPr>
        <w:t xml:space="preserve">Across the dataset, the dominance of positive sentiment and confidence-related biases suggests that market narratives are currently skewed toward optimism, possibly underestimating macroeconomic risks such as interest rate volatility or slowing consumption. This tone alignment between management communication and news coverage points to a potential herding effect, where optimistic framing by leading firms influences broader investor sentiment across sectors. In summary, while the high sentiment levels underscore investor and management confidence, the recurring presence of overconfidence and confirmation biases may signal vulnerability to overreaction if future earnings or macro conditions disappoint.</w:t>
      </w:r>
    </w:p>
    <w:p>
      <w:pPr>
        <w:spacing w:before="80" w:after="40" w:line="276"/>
        <w:jc w:val="left"/>
      </w:pPr>
      <w:r>
        <w:rPr>
          <w:rFonts w:ascii="Arial" w:cs="Arial" w:eastAsia="Arial" w:hAnsi="Arial"/>
          <w:b/>
          <w:bCs/>
          <w:i w:val="false"/>
          <w:iCs w:val="false"/>
          <w:color w:val="0D4F6C"/>
          <w:sz w:val="21"/>
          <w:szCs w:val="21"/>
        </w:rPr>
        <w:t xml:space="preserve">4.2  Behavioural Bias Definitions</w:t>
      </w:r>
    </w:p>
    <w:p>
      <w:pPr>
        <w:spacing w:before="0" w:after="80" w:line="276"/>
        <w:jc w:val="left"/>
      </w:pPr>
      <w:r>
        <w:rPr>
          <w:rFonts w:ascii="Arial" w:cs="Arial" w:eastAsia="Arial" w:hAnsi="Arial"/>
          <w:b/>
          <w:bCs/>
          <w:i w:val="false"/>
          <w:iCs w:val="false"/>
          <w:color w:val="222222"/>
          <w:sz w:val="20"/>
          <w:szCs w:val="20"/>
        </w:rPr>
        <w:t xml:space="preserve">Overconfidence: </w:t>
      </w:r>
      <w:r>
        <w:rPr>
          <w:rFonts w:ascii="Arial" w:cs="Arial" w:eastAsia="Arial" w:hAnsi="Arial"/>
          <w:b w:val="false"/>
          <w:bCs w:val="false"/>
          <w:i w:val="false"/>
          <w:iCs w:val="false"/>
          <w:color w:val="222222"/>
          <w:sz w:val="20"/>
          <w:szCs w:val="20"/>
        </w:rPr>
        <w:t xml:space="preserve">This bias occurs when company management or market participants display excessive optimism about performance, future growth, or their ability to forecast outcomes accurately. In the context of earnings calls and news coverage, it appears through assertive language such as "record growth," "best quarter ever," or "guaranteed expansion." Such overconfidence can inflate expectations, potentially leading to overvaluation or sharp corrections when results normalize.</w:t>
      </w:r>
    </w:p>
    <w:p>
      <w:pPr>
        <w:spacing w:before="40" w:after="80" w:line="276"/>
        <w:jc w:val="left"/>
      </w:pPr>
      <w:r>
        <w:rPr>
          <w:rFonts w:ascii="Arial" w:cs="Arial" w:eastAsia="Arial" w:hAnsi="Arial"/>
          <w:b/>
          <w:bCs/>
          <w:i w:val="false"/>
          <w:iCs w:val="false"/>
          <w:color w:val="222222"/>
          <w:sz w:val="20"/>
          <w:szCs w:val="20"/>
        </w:rPr>
        <w:t xml:space="preserve">Confirmation Bias: </w:t>
      </w:r>
      <w:r>
        <w:rPr>
          <w:rFonts w:ascii="Arial" w:cs="Arial" w:eastAsia="Arial" w:hAnsi="Arial"/>
          <w:b w:val="false"/>
          <w:bCs w:val="false"/>
          <w:i w:val="false"/>
          <w:iCs w:val="false"/>
          <w:color w:val="222222"/>
          <w:sz w:val="20"/>
          <w:szCs w:val="20"/>
        </w:rPr>
        <w:t xml:space="preserve">Confirmation bias arises when analysts, investors, or company communications selectively highlight information that supports pre-existing positive views while downplaying or ignoring risks. In this project, it appears in headlines or statements that emphasize favourable metrics (like rising profits or stable margins) but omit counterpoints such as regulatory pressure or rising costs, leading to an incomplete assessment of financial health.</w:t>
      </w:r>
    </w:p>
    <w:p>
      <w:pPr>
        <w:spacing w:before="40" w:after="80" w:line="276"/>
        <w:jc w:val="left"/>
      </w:pPr>
      <w:r>
        <w:rPr>
          <w:rFonts w:ascii="Arial" w:cs="Arial" w:eastAsia="Arial" w:hAnsi="Arial"/>
          <w:b/>
          <w:bCs/>
          <w:i w:val="false"/>
          <w:iCs w:val="false"/>
          <w:color w:val="222222"/>
          <w:sz w:val="20"/>
          <w:szCs w:val="20"/>
        </w:rPr>
        <w:t xml:space="preserve">Herd Mentality: </w:t>
      </w:r>
      <w:r>
        <w:rPr>
          <w:rFonts w:ascii="Arial" w:cs="Arial" w:eastAsia="Arial" w:hAnsi="Arial"/>
          <w:b w:val="false"/>
          <w:bCs w:val="false"/>
          <w:i w:val="false"/>
          <w:iCs w:val="false"/>
          <w:color w:val="222222"/>
          <w:sz w:val="20"/>
          <w:szCs w:val="20"/>
        </w:rPr>
        <w:t xml:space="preserve">Herding reflects collective behaviour where investors and the media echo prevailing market sentiment rather than forming independent evaluations. In the dataset, this manifests through multiple sources that use similar optimistic framing — such as the widespread emphasis on "growth momentum" or "record demand" — which amplifies market euphoria and can create momentum-driven price movements that are detached from fundamentals.</w:t>
      </w:r>
    </w:p>
    <w:p>
      <w:pPr>
        <w:spacing w:before="40" w:after="80" w:line="276"/>
        <w:jc w:val="left"/>
      </w:pPr>
      <w:r>
        <w:rPr>
          <w:rFonts w:ascii="Arial" w:cs="Arial" w:eastAsia="Arial" w:hAnsi="Arial"/>
          <w:b/>
          <w:bCs/>
          <w:i w:val="false"/>
          <w:iCs w:val="false"/>
          <w:color w:val="222222"/>
          <w:sz w:val="20"/>
          <w:szCs w:val="20"/>
        </w:rPr>
        <w:t xml:space="preserve">Loss Aversion: </w:t>
      </w:r>
      <w:r>
        <w:rPr>
          <w:rFonts w:ascii="Arial" w:cs="Arial" w:eastAsia="Arial" w:hAnsi="Arial"/>
          <w:b w:val="false"/>
          <w:bCs w:val="false"/>
          <w:i w:val="false"/>
          <w:iCs w:val="false"/>
          <w:color w:val="222222"/>
          <w:sz w:val="20"/>
          <w:szCs w:val="20"/>
        </w:rPr>
        <w:t xml:space="preserve">Loss aversion describes the tendency to focus more strongly on avoiding losses than on achieving equivalent gains. In earnings or news language, it appears when companies or analysts stress risks like "margin pressure," "slowdown concerns," or "cost challenges," even during overall positive performance. This cautious tone can temporarily dampen sentiment, reflecting defensive investor reactions to perceived downside risks.</w:t>
      </w:r>
    </w:p>
    <w:p>
      <w:pPr>
        <w:spacing w:before="20" w:after="80" w:line="276"/>
        <w:jc w:val="left"/>
      </w:pPr>
      <w:r>
        <w:rPr>
          <w:rFonts w:ascii="Arial" w:cs="Arial" w:eastAsia="Arial" w:hAnsi="Arial"/>
          <w:b w:val="false"/>
          <w:bCs w:val="false"/>
          <w:i/>
          <w:iCs/>
          <w:color w:val="555555"/>
          <w:sz w:val="18"/>
          <w:szCs w:val="18"/>
        </w:rPr>
        <w:t xml:space="preserve">Source: Sentiment analysis dataset available at </w:t>
      </w:r>
      <w:hyperlink w:history="1" r:id="rIdij-2xxuag2px5d4ms_jgb">
        <w:r>
          <w:rPr>
            <w:rFonts w:ascii="Arial" w:cs="Arial" w:eastAsia="Arial" w:hAnsi="Arial"/>
            <w:color w:val="2E7D8C"/>
            <w:sz w:val="18"/>
            <w:szCs w:val="18"/>
            <w:u w:val="single"/>
          </w:rPr>
          <w:t xml:space="preserve">Google Doc →</w:t>
        </w:r>
      </w:hyperlink>
    </w:p>
    <w:p>
      <w:pPr>
        <w:spacing w:before="80" w:after="40" w:line="276"/>
        <w:jc w:val="left"/>
      </w:pPr>
      <w:r>
        <w:rPr>
          <w:rFonts w:ascii="Arial" w:cs="Arial" w:eastAsia="Arial" w:hAnsi="Arial"/>
          <w:b/>
          <w:bCs/>
          <w:i w:val="false"/>
          <w:iCs w:val="false"/>
          <w:color w:val="0D4F6C"/>
          <w:sz w:val="21"/>
          <w:szCs w:val="21"/>
        </w:rPr>
        <w:t xml:space="preserve">4.3  Python Risk Visualisation</w:t>
      </w:r>
    </w:p>
    <w:p>
      <w:pPr>
        <w:spacing w:before="0" w:after="80" w:line="276"/>
        <w:jc w:val="left"/>
      </w:pPr>
      <w:r>
        <w:rPr>
          <w:rFonts w:ascii="Arial" w:cs="Arial" w:eastAsia="Arial" w:hAnsi="Arial"/>
          <w:b w:val="false"/>
          <w:bCs w:val="false"/>
          <w:i w:val="false"/>
          <w:iCs w:val="false"/>
          <w:color w:val="222222"/>
          <w:sz w:val="20"/>
          <w:szCs w:val="20"/>
        </w:rPr>
        <w:t xml:space="preserve">A Risk Visualisation map was created using Python to effectively map the final portfolio allocation against the individual risk profile of each of the seven securities. In this visualisation, the colour gradient (ranging from green to red) represents the asset's Risk Proxy (Standard Deviation or Beta). This method enables the immediate visual assessment of where the portfolio's capital is most exposed to individual volatility.</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5. PORTFOLIO DESIGN</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5.1  Group Risk Aversion Coefficient (A) Assessment</w:t>
      </w:r>
    </w:p>
    <w:p>
      <w:pPr>
        <w:spacing w:before="0" w:after="80" w:line="276"/>
        <w:jc w:val="left"/>
      </w:pPr>
      <w:r>
        <w:rPr>
          <w:rFonts w:ascii="Arial" w:cs="Arial" w:eastAsia="Arial" w:hAnsi="Arial"/>
          <w:b w:val="false"/>
          <w:bCs w:val="false"/>
          <w:i w:val="false"/>
          <w:iCs w:val="false"/>
          <w:color w:val="222222"/>
          <w:sz w:val="20"/>
          <w:szCs w:val="20"/>
        </w:rPr>
        <w:t xml:space="preserve">Purpose: To determine the individual risk aversion coefficient (A) for each group member, which will be averaged for use in the portfolio optimisation model. Each member selected answers to five questions across two sections, with total scores mapped to an A value.</w:t>
      </w:r>
    </w:p>
    <w:p>
      <w:pPr>
        <w:spacing w:before="80" w:after="40" w:line="276"/>
        <w:jc w:val="left"/>
      </w:pPr>
      <w:r>
        <w:rPr>
          <w:rFonts w:ascii="Arial" w:cs="Arial" w:eastAsia="Arial" w:hAnsi="Arial"/>
          <w:b/>
          <w:bCs/>
          <w:i w:val="false"/>
          <w:iCs w:val="false"/>
          <w:color w:val="0D4F6C"/>
          <w:sz w:val="21"/>
          <w:szCs w:val="21"/>
        </w:rPr>
        <w:t xml:space="preserve">Risk Aversion Questionnaire —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700"/>
        <w:gridCol w:w="700"/>
        <w:gridCol w:w="700"/>
        <w:gridCol w:w="1600"/>
        <w:gridCol w:w="1280"/>
      </w:tblGrid>
      <w:tr>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Group Member</w:t>
            </w:r>
          </w:p>
        </w:tc>
        <w:tc>
          <w:tcPr>
            <w:tcW w:type="dxa" w:w="7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Q1</w:t>
            </w:r>
          </w:p>
        </w:tc>
        <w:tc>
          <w:tcPr>
            <w:tcW w:type="dxa" w:w="7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Q2</w:t>
            </w:r>
          </w:p>
        </w:tc>
        <w:tc>
          <w:tcPr>
            <w:tcW w:type="dxa" w:w="7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Q3</w:t>
            </w:r>
          </w:p>
        </w:tc>
        <w:tc>
          <w:tcPr>
            <w:tcW w:type="dxa" w:w="7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Q4</w:t>
            </w:r>
          </w:p>
        </w:tc>
        <w:tc>
          <w:tcPr>
            <w:tcW w:type="dxa" w:w="7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Q5</w:t>
            </w:r>
          </w:p>
        </w:tc>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Total (5–25)</w:t>
            </w:r>
          </w:p>
        </w:tc>
        <w:tc>
          <w:tcPr>
            <w:tcW w:type="dxa" w:w="12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Calculated A</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Himangi</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20</w:t>
            </w:r>
          </w:p>
        </w:tc>
        <w:tc>
          <w:tcPr>
            <w:tcW w:type="dxa" w:w="1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4.0</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Ananya</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17</w:t>
            </w:r>
          </w:p>
        </w:tc>
        <w:tc>
          <w:tcPr>
            <w:tcW w:type="dxa" w:w="1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3.4</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Neha</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w:t>
            </w:r>
          </w:p>
        </w:tc>
        <w:tc>
          <w:tcPr>
            <w:tcW w:type="dxa" w:w="7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22</w:t>
            </w:r>
          </w:p>
        </w:tc>
        <w:tc>
          <w:tcPr>
            <w:tcW w:type="dxa" w:w="1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4.4</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Group Average</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11.8 ÷ 3</w:t>
            </w:r>
          </w:p>
        </w:tc>
        <w:tc>
          <w:tcPr>
            <w:tcW w:type="dxa" w:w="1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 = 4.0</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A = 4.0 indicates a risk-averse individual. The investor's profile is that of a risk-averse individual with a risk aversion coefficient of 4. The primary goal is to achieve stable, consistent growth while preserving capital. The investment philosophy balances the need for security with the pursuit of growth opportunities. To achieve this, a diversified portfolio has been constructed, comprising high-quality bonds for stability and a mix of large-cap and strategically chosen mid-cap equities for growth.</w:t>
      </w:r>
    </w:p>
    <w:p>
      <w:pPr>
        <w:spacing w:before="80" w:after="40" w:line="276"/>
        <w:jc w:val="left"/>
      </w:pPr>
      <w:r>
        <w:rPr>
          <w:rFonts w:ascii="Arial" w:cs="Arial" w:eastAsia="Arial" w:hAnsi="Arial"/>
          <w:b/>
          <w:bCs/>
          <w:i w:val="false"/>
          <w:iCs w:val="false"/>
          <w:color w:val="0D4F6C"/>
          <w:sz w:val="21"/>
          <w:szCs w:val="21"/>
        </w:rPr>
        <w:t xml:space="preserve">5.2  Justification for A = 4</w:t>
      </w:r>
    </w:p>
    <w:p>
      <w:pPr>
        <w:spacing w:before="0" w:after="80" w:line="276"/>
        <w:jc w:val="left"/>
      </w:pPr>
      <w:r>
        <w:rPr>
          <w:rFonts w:ascii="Arial" w:cs="Arial" w:eastAsia="Arial" w:hAnsi="Arial"/>
          <w:b w:val="false"/>
          <w:bCs w:val="false"/>
          <w:i w:val="false"/>
          <w:iCs w:val="false"/>
          <w:color w:val="222222"/>
          <w:sz w:val="20"/>
          <w:szCs w:val="20"/>
        </w:rPr>
        <w:t xml:space="preserve">The risk aversion coefficient (A) is a key component of the mean-variance utility function: U = E(r) − 0.5 × A × σ². This coefficient quantifies an investor's attitude toward risk. An individual with A = 0 is considered risk-neutral, while a higher value indicates a greater aversion to risk. A value of A = 4 is commonly used in academic and financial models to represent a risk-averse investor. This value indicates that the investor is willing to accept some level of market volatility to achieve higher returns but places a strong emphasis on capital preservation. This coefficient directly justifies the portfolio's composition, which balances a significant allocation to low-risk bonds with a controlled exposure to higher-risk equities.</w:t>
      </w:r>
    </w:p>
    <w:p>
      <w:pPr>
        <w:spacing w:before="80" w:after="40" w:line="276"/>
        <w:jc w:val="left"/>
      </w:pPr>
      <w:r>
        <w:rPr>
          <w:rFonts w:ascii="Arial" w:cs="Arial" w:eastAsia="Arial" w:hAnsi="Arial"/>
          <w:b/>
          <w:bCs/>
          <w:i w:val="false"/>
          <w:iCs w:val="false"/>
          <w:color w:val="0D4F6C"/>
          <w:sz w:val="21"/>
          <w:szCs w:val="21"/>
        </w:rPr>
        <w:t xml:space="preserve">5.3  Equity Portfolio Weighting (Market-Cap Weighted)</w:t>
      </w:r>
    </w:p>
    <w:p>
      <w:pPr>
        <w:spacing w:before="0" w:after="80" w:line="276"/>
        <w:jc w:val="left"/>
      </w:pPr>
      <w:r>
        <w:rPr>
          <w:rFonts w:ascii="Arial" w:cs="Arial" w:eastAsia="Arial" w:hAnsi="Arial"/>
          <w:b w:val="false"/>
          <w:bCs w:val="false"/>
          <w:i w:val="false"/>
          <w:iCs w:val="false"/>
          <w:color w:val="222222"/>
          <w:sz w:val="20"/>
          <w:szCs w:val="20"/>
        </w:rPr>
        <w:t xml:space="preserve">Weights of Equity Stocks: The portfolio's performance is more heavily impacted by larger, more valuable companies when equities are weighed by market capitalisation. The structure of the real market is reflected in this simple, objective approach, which enables the portfolio to efficiently track broad market movements. The performance of key sectors in the Indian economy, including banking, technology, manufacturing, and agrochemicals, is primarily reflected in the portfolio when a market-cap-weighted portfolio is constructed with HDFC Bank, Infosys, Polycab India, and PI Industries. This approach gives more weight to the largest firms and ensures alignment with the broader market trend.</w:t>
      </w:r>
    </w:p>
    <w:p>
      <w:pPr>
        <w:spacing w:before="0" w:after="80" w:line="276"/>
        <w:jc w:val="left"/>
      </w:pPr>
      <w:r>
        <w:rPr>
          <w:rFonts w:ascii="Arial" w:cs="Arial" w:eastAsia="Arial" w:hAnsi="Arial"/>
          <w:b w:val="false"/>
          <w:bCs w:val="false"/>
          <w:i w:val="false"/>
          <w:iCs w:val="false"/>
          <w:color w:val="222222"/>
          <w:sz w:val="20"/>
          <w:szCs w:val="20"/>
        </w:rPr>
        <w:t xml:space="preserve">Risk (Standard Deviation) Calculation: The volatility for the four individual stocks was determined by calculating the annualised standard deviation of daily returns from the National Stock Exchange (NSE) over the past year. The risk of the resulting Stock Portfolio was then calculated based on the weighted average of these individual stock risks.</w:t>
      </w:r>
    </w:p>
    <w:p>
      <w:pPr>
        <w:spacing w:before="0" w:after="80" w:line="276"/>
        <w:jc w:val="left"/>
      </w:pPr>
      <w:r>
        <w:rPr>
          <w:rFonts w:ascii="Arial" w:cs="Arial" w:eastAsia="Arial" w:hAnsi="Arial"/>
          <w:b w:val="false"/>
          <w:bCs w:val="false"/>
          <w:i w:val="false"/>
          <w:iCs w:val="false"/>
          <w:color w:val="222222"/>
          <w:sz w:val="20"/>
          <w:szCs w:val="20"/>
        </w:rPr>
        <w:t xml:space="preserve">Expected Return Calculation: The expected return for each individual stock was calculated using the Capital Asset Pricing Model (CAPM): E(Rᵢ) = Rf + βᵢ(E(Rm) − Rf). The risk-free rate Rf and the market risk premium (E(Rm) − Rf) were established benchmarks, while the beta (β) values for each company were sourced from reliable online financial databases, reflecting their systematic risk over the past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300"/>
        <w:gridCol w:w="1600"/>
        <w:gridCol w:w="1400"/>
        <w:gridCol w:w="1380"/>
      </w:tblGrid>
      <w:tr>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Stock</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Mkt Cap (₹T)</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 (wᵢ)</w:t>
            </w:r>
          </w:p>
        </w:tc>
        <w:tc>
          <w:tcPr>
            <w:tcW w:type="dxa" w:w="13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E(R) CAPM</w:t>
            </w:r>
          </w:p>
        </w:tc>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Weighted Return</w:t>
            </w:r>
          </w:p>
        </w:tc>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Std Dev (σ)</w:t>
            </w:r>
          </w:p>
        </w:tc>
        <w:tc>
          <w:tcPr>
            <w:tcW w:type="dxa" w:w="13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Weighted σ</w:t>
            </w:r>
          </w:p>
        </w:tc>
      </w:tr>
      <w:tr>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15.28</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0.6561</w:t>
            </w:r>
          </w:p>
        </w:tc>
        <w:tc>
          <w:tcPr>
            <w:tcW w:type="dxa" w:w="13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12.08%</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7.93%</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0.064</w:t>
            </w:r>
          </w:p>
        </w:tc>
        <w:tc>
          <w:tcPr>
            <w:tcW w:type="dxa" w:w="13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0.0420</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Infosys</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6.34</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0.2722</w:t>
            </w:r>
          </w:p>
        </w:tc>
        <w:tc>
          <w:tcPr>
            <w:tcW w:type="dxa" w:w="1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11.90%</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3.24%</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0.066</w:t>
            </w:r>
          </w:p>
        </w:tc>
        <w:tc>
          <w:tcPr>
            <w:tcW w:type="dxa" w:w="13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0.0180</w:t>
            </w:r>
          </w:p>
        </w:tc>
      </w:tr>
      <w:tr>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Polycab India</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1.13</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0.0485</w:t>
            </w:r>
          </w:p>
        </w:tc>
        <w:tc>
          <w:tcPr>
            <w:tcW w:type="dxa" w:w="13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14.96%</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0.73%</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0.068</w:t>
            </w:r>
          </w:p>
        </w:tc>
        <w:tc>
          <w:tcPr>
            <w:tcW w:type="dxa" w:w="13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0.0033</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 Industries</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0.37</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0.0159 (est.)</w:t>
            </w:r>
          </w:p>
        </w:tc>
        <w:tc>
          <w:tcPr>
            <w:tcW w:type="dxa" w:w="1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12.68%</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0.20%</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13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r>
      <w:tr>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Portfolio Total</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1.0000</w:t>
            </w:r>
          </w:p>
        </w:tc>
        <w:tc>
          <w:tcPr>
            <w:tcW w:type="dxa" w:w="13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12.18%</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12.18%</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13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~5.66% (post-MVO)</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5.4  Bond Portfolio: Methodology for Price Volatility (σP)</w:t>
      </w:r>
    </w:p>
    <w:p>
      <w:pPr>
        <w:spacing w:before="0" w:after="80" w:line="276"/>
        <w:jc w:val="left"/>
      </w:pPr>
      <w:r>
        <w:rPr>
          <w:rFonts w:ascii="Arial" w:cs="Arial" w:eastAsia="Arial" w:hAnsi="Arial"/>
          <w:b w:val="false"/>
          <w:bCs w:val="false"/>
          <w:i w:val="false"/>
          <w:iCs w:val="false"/>
          <w:color w:val="222222"/>
          <w:sz w:val="20"/>
          <w:szCs w:val="20"/>
        </w:rPr>
        <w:t xml:space="preserve">The assessment of risk for the fixed-income portfolio is based on the calculation of Annualised Bond Price Volatility (σP). This approach combines the historical fluctuation of the bond's yield with its sensitivity to interest rate changes (Modified Duration).</w:t>
      </w:r>
    </w:p>
    <w:p>
      <w:pPr>
        <w:spacing w:before="40" w:after="80" w:line="276"/>
        <w:jc w:val="left"/>
      </w:pPr>
      <w:r>
        <w:rPr>
          <w:rFonts w:ascii="Arial" w:cs="Arial" w:eastAsia="Arial" w:hAnsi="Arial"/>
          <w:b/>
          <w:bCs/>
          <w:i w:val="false"/>
          <w:iCs w:val="false"/>
          <w:color w:val="222222"/>
          <w:sz w:val="20"/>
          <w:szCs w:val="20"/>
        </w:rPr>
        <w:t xml:space="preserve">Step 1: Yield Volatility Extraction (σr)</w:t>
      </w:r>
    </w:p>
    <w:p>
      <w:pPr>
        <w:spacing w:before="0" w:after="80" w:line="276"/>
        <w:jc w:val="left"/>
      </w:pPr>
      <w:r>
        <w:rPr>
          <w:rFonts w:ascii="Arial" w:cs="Arial" w:eastAsia="Arial" w:hAnsi="Arial"/>
          <w:b w:val="false"/>
          <w:bCs w:val="false"/>
          <w:i w:val="false"/>
          <w:iCs w:val="false"/>
          <w:color w:val="222222"/>
          <w:sz w:val="20"/>
          <w:szCs w:val="20"/>
        </w:rPr>
        <w:t xml:space="preserve">The process began by extracting approximate weekly Yield-to-Maturity (YTM) values directly from the historical yield graphs provided by the bond listing website. The daily/weekly changes in YTM were calculated over the visible time horizon for each bond. The Standard Deviation of these weekly yield changes (σweekly) was then calculated to quantify the historical volatility of the bond's yield. This weekly yield volatility was annualised by multiplying by the square root of 52 (√52) to derive the Annualised Yield Volatility (σr).</w:t>
      </w:r>
    </w:p>
    <w:p>
      <w:pPr>
        <w:spacing w:before="40" w:after="80" w:line="276"/>
        <w:jc w:val="left"/>
      </w:pPr>
      <w:r>
        <w:rPr>
          <w:rFonts w:ascii="Arial" w:cs="Arial" w:eastAsia="Arial" w:hAnsi="Arial"/>
          <w:b/>
          <w:bCs/>
          <w:i w:val="false"/>
          <w:iCs w:val="false"/>
          <w:color w:val="222222"/>
          <w:sz w:val="20"/>
          <w:szCs w:val="20"/>
        </w:rPr>
        <w:t xml:space="preserve">Step 2: Calculating Price Volatility (σP)</w:t>
      </w:r>
    </w:p>
    <w:p>
      <w:pPr>
        <w:spacing w:before="0" w:after="80" w:line="276"/>
        <w:jc w:val="left"/>
      </w:pPr>
      <w:r>
        <w:rPr>
          <w:rFonts w:ascii="Arial" w:cs="Arial" w:eastAsia="Arial" w:hAnsi="Arial"/>
          <w:b w:val="false"/>
          <w:bCs w:val="false"/>
          <w:i w:val="false"/>
          <w:iCs w:val="false"/>
          <w:color w:val="222222"/>
          <w:sz w:val="20"/>
          <w:szCs w:val="20"/>
        </w:rPr>
        <w:t xml:space="preserve">The Annualised Price Volatility (σP) is the measure of the bond's total price risk. It is calculated by multiplying σr by the bond's Modified Duration (Dmod):</w:t>
      </w:r>
    </w:p>
    <w:p>
      <w:pPr>
        <w:spacing w:before="20" w:after="20" w:line="276"/>
        <w:jc w:val="center"/>
      </w:pPr>
      <w:r>
        <w:rPr>
          <w:rFonts w:ascii="Arial" w:cs="Arial" w:eastAsia="Arial" w:hAnsi="Arial"/>
          <w:b/>
          <w:bCs/>
          <w:i w:val="false"/>
          <w:iCs w:val="false"/>
          <w:color w:val="0D4F6C"/>
          <w:sz w:val="20"/>
          <w:szCs w:val="20"/>
        </w:rPr>
        <w:t xml:space="preserve">σP = Dmod × σr</w:t>
      </w:r>
    </w:p>
    <w:p>
      <w:pPr>
        <w:spacing w:before="0" w:after="80" w:line="276"/>
        <w:jc w:val="left"/>
      </w:pPr>
      <w:r>
        <w:rPr>
          <w:rFonts w:ascii="Arial" w:cs="Arial" w:eastAsia="Arial" w:hAnsi="Arial"/>
          <w:b w:val="false"/>
          <w:bCs w:val="false"/>
          <w:i w:val="false"/>
          <w:iCs w:val="false"/>
          <w:color w:val="222222"/>
          <w:sz w:val="20"/>
          <w:szCs w:val="20"/>
        </w:rPr>
        <w:t xml:space="preserve">Modified Duration (Dmod) represents the percentage change in the bond's price for a 1% change in its YTM. Price Volatility (σP) is the final calculated value representing the annualised standard deviation of the bond's price returns.</w:t>
      </w:r>
    </w:p>
    <w:p>
      <w:pPr>
        <w:spacing w:before="40" w:after="80" w:line="276"/>
        <w:jc w:val="left"/>
      </w:pPr>
      <w:r>
        <w:rPr>
          <w:rFonts w:ascii="Arial" w:cs="Arial" w:eastAsia="Arial" w:hAnsi="Arial"/>
          <w:b/>
          <w:bCs/>
          <w:i w:val="false"/>
          <w:iCs w:val="false"/>
          <w:color w:val="222222"/>
          <w:sz w:val="20"/>
          <w:szCs w:val="20"/>
        </w:rPr>
        <w:t xml:space="preserve">Note — Why Yield Volatility ≠ Price Volatility:</w:t>
      </w:r>
    </w:p>
    <w:p>
      <w:pPr>
        <w:spacing w:before="0" w:after="80" w:line="276"/>
        <w:jc w:val="left"/>
      </w:pPr>
      <w:r>
        <w:rPr>
          <w:rFonts w:ascii="Arial" w:cs="Arial" w:eastAsia="Arial" w:hAnsi="Arial"/>
          <w:b w:val="false"/>
          <w:bCs w:val="false"/>
          <w:i w:val="false"/>
          <w:iCs w:val="false"/>
          <w:color w:val="222222"/>
          <w:sz w:val="20"/>
          <w:szCs w:val="20"/>
        </w:rPr>
        <w:t xml:space="preserve">The standard deviation of a bond's yield and the standard deviation of its price returns are both valid ways to measure the bond's risk because they are linked by a fundamental principle: if a bond's yield is volatile, its price must also be volatile. The key reason the numbers won't match is due to Duration. Price Volatility ≈ Modified Duration × Yield Volatility. Since the modified duration for a medium-term bond is typically between 3 and 7, the price volatility will be a much larger number than the yield volatility. Calculating Price Volatility Using Yield Volatility is a standard and effective way to estimate a bond's price risk when historical price data is scarce.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2480"/>
      </w:tblGrid>
      <w:tr>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Bond</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Modified Duration (Dmod)</w:t>
            </w:r>
          </w:p>
        </w:tc>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Annualised Yield Volatility (σr)</w:t>
            </w:r>
          </w:p>
        </w:tc>
        <w:tc>
          <w:tcPr>
            <w:tcW w:type="dxa" w:w="24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Estimated Price Volatility (σP)</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 (AAA)</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1.353</w:t>
            </w:r>
          </w:p>
        </w:tc>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3.17%</w:t>
            </w:r>
          </w:p>
        </w:tc>
        <w:tc>
          <w:tcPr>
            <w:tcW w:type="dxa" w:w="2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4.29%</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 Ind. (AAA)</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2.695</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1.22%</w:t>
            </w:r>
          </w:p>
        </w:tc>
        <w:tc>
          <w:tcPr>
            <w:tcW w:type="dxa" w:w="2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3.29%</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 Ent. (AA)</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2.547</w:t>
            </w:r>
          </w:p>
        </w:tc>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2.02%</w:t>
            </w:r>
          </w:p>
        </w:tc>
        <w:tc>
          <w:tcPr>
            <w:tcW w:type="dxa" w:w="2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5.14%</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5.5  Duration-Weighted Bond Portfolio</w:t>
      </w:r>
    </w:p>
    <w:p>
      <w:pPr>
        <w:spacing w:before="0" w:after="80" w:line="276"/>
        <w:jc w:val="left"/>
      </w:pPr>
      <w:r>
        <w:rPr>
          <w:rFonts w:ascii="Arial" w:cs="Arial" w:eastAsia="Arial" w:hAnsi="Arial"/>
          <w:b w:val="false"/>
          <w:bCs w:val="false"/>
          <w:i w:val="false"/>
          <w:iCs w:val="false"/>
          <w:color w:val="222222"/>
          <w:sz w:val="20"/>
          <w:szCs w:val="20"/>
        </w:rPr>
        <w:t xml:space="preserve">The goal is to assign weights (wᵢ) such that the weighted average duration of the portfolio equals the Target Duration (DTarget). To achieve a balanced duration, the highest weight is assigned to the bond that can best offset the longer duration of the other two: HDFC Bank (the shortest duration bond).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3080"/>
      </w:tblGrid>
      <w:tr>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Bond</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Modified Duration (Dmod)</w:t>
            </w:r>
          </w:p>
        </w:tc>
        <w:tc>
          <w:tcPr>
            <w:tcW w:type="dxa" w:w="2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Proposed Weight (wᵢ)</w:t>
            </w:r>
          </w:p>
        </w:tc>
        <w:tc>
          <w:tcPr>
            <w:tcW w:type="dxa" w:w="30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Weighted Duration (wᵢ × Dmod)</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1.353</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45.00%</w:t>
            </w:r>
          </w:p>
        </w:tc>
        <w:tc>
          <w:tcPr>
            <w:tcW w:type="dxa" w:w="3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0.609</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 Ent.</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2.547</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30.00%</w:t>
            </w:r>
          </w:p>
        </w:tc>
        <w:tc>
          <w:tcPr>
            <w:tcW w:type="dxa" w:w="3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0.764</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 Ind.</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2.695</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25.00%</w:t>
            </w:r>
          </w:p>
        </w:tc>
        <w:tc>
          <w:tcPr>
            <w:tcW w:type="dxa" w:w="3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0.674</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Portfolio Total</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100.00%</w:t>
            </w:r>
          </w:p>
        </w:tc>
        <w:tc>
          <w:tcPr>
            <w:tcW w:type="dxa" w:w="3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2.047 years</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Resulting Portfolio Duration: 2.047 years. The portfolio has a lower sensitivity to interest rate changes than a portfolio simply weighted by market cap or by equal weights. The high weighting of 45% to the shortest bond (HDFC) acts as a hedge, reducing the overall interest rate risk. The portfolio is now suitable for a medium-term investor whose primary concern is the potential for rate hikes that could erode bond prices.</w:t>
      </w:r>
    </w:p>
    <w:p>
      <w:pPr>
        <w:spacing w:before="80" w:after="40" w:line="276"/>
        <w:jc w:val="left"/>
      </w:pPr>
      <w:r>
        <w:rPr>
          <w:rFonts w:ascii="Arial" w:cs="Arial" w:eastAsia="Arial" w:hAnsi="Arial"/>
          <w:b/>
          <w:bCs/>
          <w:i w:val="false"/>
          <w:iCs w:val="false"/>
          <w:color w:val="0D4F6C"/>
          <w:sz w:val="21"/>
          <w:szCs w:val="21"/>
        </w:rPr>
        <w:t xml:space="preserve">Bond Portfolio Expected Return (Duration-Weighted)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3680"/>
      </w:tblGrid>
      <w:tr>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Bond</w:t>
            </w:r>
          </w:p>
        </w:tc>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 (wᵢ)</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E(R) — YTM</w:t>
            </w:r>
          </w:p>
        </w:tc>
        <w:tc>
          <w:tcPr>
            <w:tcW w:type="dxa" w:w="36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Weighted E(R)</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0.45</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6.787%</w:t>
            </w:r>
          </w:p>
        </w:tc>
        <w:tc>
          <w:tcPr>
            <w:tcW w:type="dxa" w:w="36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3.054%</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 Ent.</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0.30</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9.196%</w:t>
            </w:r>
          </w:p>
        </w:tc>
        <w:tc>
          <w:tcPr>
            <w:tcW w:type="dxa" w:w="3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2.759%</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 Ind.</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0.25</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6.336%</w:t>
            </w:r>
          </w:p>
        </w:tc>
        <w:tc>
          <w:tcPr>
            <w:tcW w:type="dxa" w:w="36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1.584%</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Portfolio E(RB)</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1.00</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3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7.397%</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Bond Portfolio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3480"/>
      </w:tblGrid>
      <w:tr>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Bond</w:t>
            </w:r>
          </w:p>
        </w:tc>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 (wᵢ)</w:t>
            </w:r>
          </w:p>
        </w:tc>
        <w:tc>
          <w:tcPr>
            <w:tcW w:type="dxa" w:w="2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Price Volatility (σP)</w:t>
            </w:r>
          </w:p>
        </w:tc>
        <w:tc>
          <w:tcPr>
            <w:tcW w:type="dxa" w:w="34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Weighted Risk</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0.45</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4.29%</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1.9305%</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 Ind.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0.25</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3.29%</w:t>
            </w:r>
          </w:p>
        </w:tc>
        <w:tc>
          <w:tcPr>
            <w:tcW w:type="dxa" w:w="3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0.8225%</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 Ent.</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0.30</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5.14%</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1.5420%</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Bond Portfolio σB</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1.00</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3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4.295%</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6. OPTIMAL RISKY PORTFOLIO &amp; FINAL ALLOCATION</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6.1  Input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4080"/>
      </w:tblGrid>
      <w:tr>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Variable</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Symbol</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Value</w:t>
            </w:r>
          </w:p>
        </w:tc>
        <w:tc>
          <w:tcPr>
            <w:tcW w:type="dxa" w:w="40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Decimal Equivalent</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Risk-Free Rate</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Rf</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6.50%</w:t>
            </w:r>
          </w:p>
        </w:tc>
        <w:tc>
          <w:tcPr>
            <w:tcW w:type="dxa" w:w="4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0.0650</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Risk Aversion</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4.00</w:t>
            </w:r>
          </w:p>
        </w:tc>
        <w:tc>
          <w:tcPr>
            <w:tcW w:type="dxa" w:w="4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4.00</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Stock Portfolio E(R)</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E(RS)</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12.18%</w:t>
            </w:r>
          </w:p>
        </w:tc>
        <w:tc>
          <w:tcPr>
            <w:tcW w:type="dxa" w:w="4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0.1218</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Bond Portfolio E(R)</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E(RB)</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7.40%</w:t>
            </w:r>
          </w:p>
        </w:tc>
        <w:tc>
          <w:tcPr>
            <w:tcW w:type="dxa" w:w="4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0.0740</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Stock Portfolio σ²</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σS²</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~0.00419</w:t>
            </w:r>
          </w:p>
        </w:tc>
        <w:tc>
          <w:tcPr>
            <w:tcW w:type="dxa" w:w="4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0.00419</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Bond Portfolio σ²</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σB²</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~0.0018</w:t>
            </w:r>
          </w:p>
        </w:tc>
        <w:tc>
          <w:tcPr>
            <w:tcW w:type="dxa" w:w="4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0.0018</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Covariance (S,B)</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Cov(S,B)</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~0.000334</w:t>
            </w:r>
          </w:p>
        </w:tc>
        <w:tc>
          <w:tcPr>
            <w:tcW w:type="dxa" w:w="4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0.000334</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Excess Return — Bond</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EB</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0.90%</w:t>
            </w:r>
          </w:p>
        </w:tc>
        <w:tc>
          <w:tcPr>
            <w:tcW w:type="dxa" w:w="4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0.0090</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Excess Return — Stock</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ES</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5.68%</w:t>
            </w:r>
          </w:p>
        </w:tc>
        <w:tc>
          <w:tcPr>
            <w:tcW w:type="dxa" w:w="4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0.0568</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6.2  Optimal Risky Portfolio Weights</w:t>
      </w:r>
    </w:p>
    <w:p>
      <w:pPr>
        <w:spacing w:before="0" w:after="80" w:line="276"/>
        <w:jc w:val="left"/>
      </w:pPr>
      <w:r>
        <w:rPr>
          <w:rFonts w:ascii="Arial" w:cs="Arial" w:eastAsia="Arial" w:hAnsi="Arial"/>
          <w:b w:val="false"/>
          <w:bCs w:val="false"/>
          <w:i w:val="false"/>
          <w:iCs w:val="false"/>
          <w:color w:val="222222"/>
          <w:sz w:val="20"/>
          <w:szCs w:val="20"/>
        </w:rPr>
        <w:t xml:space="preserve">Formula for weight of Bond Portfolio (wB*):</w:t>
      </w:r>
    </w:p>
    <w:p>
      <w:pPr>
        <w:spacing w:before="20" w:after="20" w:line="276"/>
        <w:jc w:val="center"/>
      </w:pPr>
      <w:r>
        <w:rPr>
          <w:rFonts w:ascii="Arial" w:cs="Arial" w:eastAsia="Arial" w:hAnsi="Arial"/>
          <w:b/>
          <w:bCs/>
          <w:i/>
          <w:iCs/>
          <w:color w:val="0D4F6C"/>
          <w:sz w:val="19"/>
          <w:szCs w:val="19"/>
        </w:rPr>
        <w:t xml:space="preserve">wB* = (EB × σS²) − (ES × Cov(S,B)) / [(EB × σS²) + (ES × σB²) − (EB + ES) × Cov(S,B)]</w:t>
      </w:r>
    </w:p>
    <w:p>
      <w:pPr>
        <w:spacing w:before="80" w:after="40" w:line="276"/>
        <w:jc w:val="left"/>
      </w:pPr>
      <w:r>
        <w:rPr>
          <w:rFonts w:ascii="Arial" w:cs="Arial" w:eastAsia="Arial" w:hAnsi="Arial"/>
          <w:b/>
          <w:bCs/>
          <w:i w:val="false"/>
          <w:iCs w:val="false"/>
          <w:color w:val="0D4F6C"/>
          <w:sz w:val="21"/>
          <w:szCs w:val="21"/>
        </w:rPr>
        <w:t xml:space="preserve">Step-by-step calculation:</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Numerator = (0.0090 × 0.00419) − (0.0568 × 0.000334) = 0.00003771 − 0.00001896 = 0.00001875</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Denominator: Term 1 = 0.0090 × 0.00419 = 0.00003771 | Term 2 = 0.0568 × 0.0018 = 0.00010224 | Term 3 = (0.0090 + 0.0568) × 0.000334 = 0.0000220</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Denominator = 0.00003771 + 0.00010224 − 0.0000220 = 0.00011795</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wB* = 0.00001875 / 0.00011795 = 0.15897 (≈ 15.90%)</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wS* = 1 − wB* = 0.84103 (≈ 84.10%)</w:t>
      </w:r>
    </w:p>
    <w:p>
      <w:pPr>
        <w:spacing w:before="4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color="FFFFFF" w:sz="0"/>
              <w:left w:val="none" w:color="FFFFFF" w:sz="0"/>
              <w:bottom w:val="none" w:color="FFFFFF" w:sz="0"/>
              <w:right w:val="none" w:color="FFFFFF" w:sz="0"/>
            </w:tcBorders>
            <w:shd w:fill="2E7D8C" w:val="clear"/>
            <w:tcMar>
              <w:top w:type="dxa" w:w="0"/>
              <w:left w:type="dxa" w:w="0"/>
              <w:bottom w:type="dxa" w:w="0"/>
              <w:right w:type="dxa" w:w="0"/>
            </w:tcMar>
          </w:tcPr>
          <w:p>
            <w:pPr>
              <w:spacing w:before="0" w:after="80" w:line="276"/>
              <w:jc w:val="left"/>
            </w:pPr>
            <w:r>
              <w:rPr>
                <w:rFonts w:ascii="Arial" w:cs="Arial" w:eastAsia="Arial" w:hAnsi="Arial"/>
                <w:b w:val="false"/>
                <w:bCs w:val="false"/>
                <w:i w:val="false"/>
                <w:iCs w:val="false"/>
                <w:color w:val="222222"/>
                <w:sz w:val="20"/>
                <w:szCs w:val="20"/>
              </w:rPr>
              <w:t xml:space="preserve"/>
            </w:r>
          </w:p>
        </w:tc>
        <w:tc>
          <w:tcPr>
            <w:tcW w:type="dxa" w:w="99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pPr>
              <w:spacing w:before="0" w:after="80" w:line="264"/>
              <w:jc w:val="left"/>
            </w:pPr>
            <w:r>
              <w:rPr>
                <w:rFonts w:ascii="Arial" w:cs="Arial" w:eastAsia="Arial" w:hAnsi="Arial"/>
                <w:b/>
                <w:bCs/>
                <w:i w:val="false"/>
                <w:iCs w:val="false"/>
                <w:color w:val="1B2A4A"/>
                <w:sz w:val="19"/>
                <w:szCs w:val="19"/>
              </w:rPr>
              <w:t xml:space="preserve">Optimal Risky Portfolio: 84.10% Equities + 15.90% Bonds. Result makes sense — Stock Portfolio has a much higher Sharpe Ratio; low correlation (ρ = 0.12) provides diversification benefit even with small bond allocation.</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6.3  Combined Risky Portfolio Parameters</w:t>
      </w:r>
    </w:p>
    <w:p>
      <w:pPr>
        <w:spacing w:before="0" w:after="80" w:line="276"/>
        <w:jc w:val="left"/>
      </w:pPr>
      <w:r>
        <w:rPr>
          <w:rFonts w:ascii="Arial" w:cs="Arial" w:eastAsia="Arial" w:hAnsi="Arial"/>
          <w:b/>
          <w:bCs/>
          <w:i w:val="false"/>
          <w:iCs w:val="false"/>
          <w:color w:val="222222"/>
          <w:sz w:val="20"/>
          <w:szCs w:val="20"/>
        </w:rPr>
        <w:t xml:space="preserve">A. Expected Return of Combined Portfolio P:</w:t>
      </w:r>
    </w:p>
    <w:p>
      <w:pPr>
        <w:spacing w:before="20" w:after="20" w:line="276"/>
        <w:jc w:val="center"/>
      </w:pPr>
      <w:r>
        <w:rPr>
          <w:rFonts w:ascii="Arial" w:cs="Arial" w:eastAsia="Arial" w:hAnsi="Arial"/>
          <w:b/>
          <w:bCs/>
          <w:i w:val="false"/>
          <w:iCs w:val="false"/>
          <w:color w:val="0D4F6C"/>
          <w:sz w:val="20"/>
          <w:szCs w:val="20"/>
        </w:rPr>
        <w:t xml:space="preserve">E(RP) = wS × E(RS) + wB × E(RB) = (0.8410 × 12.18%) + (0.1590 × 7.40%) = 10.244% + 1.177% = 11.42%</w:t>
      </w:r>
    </w:p>
    <w:p>
      <w:pPr>
        <w:spacing w:before="40" w:after="80" w:line="276"/>
        <w:jc w:val="left"/>
      </w:pPr>
      <w:r>
        <w:rPr>
          <w:rFonts w:ascii="Arial" w:cs="Arial" w:eastAsia="Arial" w:hAnsi="Arial"/>
          <w:b/>
          <w:bCs/>
          <w:i w:val="false"/>
          <w:iCs w:val="false"/>
          <w:color w:val="222222"/>
          <w:sz w:val="20"/>
          <w:szCs w:val="20"/>
        </w:rPr>
        <w:t xml:space="preserve">B. Variance and Standard Deviation of Combined Portfolio P:</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σP² = (wS² × σS²) + (wB² × σB²) + (2 × wS × wB × Cov(S,B))</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Stock Variance Term: 0.8410² × 0.00419 = 0.70728 × 0.00419 = 0.002964</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Bond Variance Term: 0.1590² × 0.0018 = 0.02528 × 0.0018 = 0.0000455</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Covariance Term: 2 × 0.8410 × 0.1590 × 0.000334 = 0.0000895</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σP² = 0.002964 + 0.0000455 + 0.0000895 = 0.003199</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σP = √0.003199 = 0.05656 = 5.66%</w:t>
      </w:r>
    </w:p>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6.4  Final Allocation to Risky Asset (y*)</w:t>
      </w:r>
    </w:p>
    <w:p>
      <w:pPr>
        <w:spacing w:before="0" w:after="80" w:line="276"/>
        <w:jc w:val="left"/>
      </w:pPr>
      <w:r>
        <w:rPr>
          <w:rFonts w:ascii="Arial" w:cs="Arial" w:eastAsia="Arial" w:hAnsi="Arial"/>
          <w:b w:val="false"/>
          <w:bCs w:val="false"/>
          <w:i w:val="false"/>
          <w:iCs w:val="false"/>
          <w:color w:val="222222"/>
          <w:sz w:val="20"/>
          <w:szCs w:val="20"/>
        </w:rPr>
        <w:t xml:space="preserve">Using A = 4, Rf = 6.50%, and the Optimised Risky Portfolio parameters:</w:t>
      </w:r>
    </w:p>
    <w:p>
      <w:pPr>
        <w:spacing w:before="20" w:after="20" w:line="276"/>
        <w:jc w:val="center"/>
      </w:pPr>
      <w:r>
        <w:rPr>
          <w:rFonts w:ascii="Arial" w:cs="Arial" w:eastAsia="Arial" w:hAnsi="Arial"/>
          <w:b/>
          <w:bCs/>
          <w:i w:val="false"/>
          <w:iCs w:val="false"/>
          <w:color w:val="0D4F6C"/>
          <w:sz w:val="20"/>
          <w:szCs w:val="20"/>
        </w:rPr>
        <w:t xml:space="preserve">y* = [E(RP) − Rf] / (A × σP²) = (0.1142 − 0.0650) / (4 × 0.003199) = 0.04920 / 0.012796 = 3.845</w:t>
      </w:r>
    </w:p>
    <w:p>
      <w:pPr>
        <w:spacing w:before="0" w:after="80" w:line="276"/>
        <w:jc w:val="left"/>
      </w:pPr>
      <w:r>
        <w:rPr>
          <w:rFonts w:ascii="Arial" w:cs="Arial" w:eastAsia="Arial" w:hAnsi="Arial"/>
          <w:b w:val="false"/>
          <w:bCs w:val="false"/>
          <w:i w:val="false"/>
          <w:iCs w:val="false"/>
          <w:color w:val="222222"/>
          <w:sz w:val="20"/>
          <w:szCs w:val="20"/>
        </w:rPr>
        <w:t xml:space="preserve">Justification for y* &gt; 1: A value of 3.845 (i.e., 384.5%) is generated because the mathematical model identifies the Risky Portfolio (P) as an exceptionally good investment. This extreme recommendation to leverage is driven by two factors: (1) High Reward-to-Risk — the portfolio offers a significant excess return (4.92%) with surprisingly low volatility (5.66%); and (2) Effective Diversification — the extremely low correlation of 0.12 between stocks and bonds ensures that portfolio risk is minimised. As borrowing is typically restricted, the practical conclusion reached is that 100% of the investor's available funds should be invested in the optimised Stock/Bond portfolio.</w:t>
      </w:r>
    </w:p>
    <w:p>
      <w:pPr>
        <w:spacing w:before="80" w:after="40" w:line="276"/>
        <w:jc w:val="left"/>
      </w:pPr>
      <w:r>
        <w:rPr>
          <w:rFonts w:ascii="Arial" w:cs="Arial" w:eastAsia="Arial" w:hAnsi="Arial"/>
          <w:b/>
          <w:bCs/>
          <w:i w:val="false"/>
          <w:iCs w:val="false"/>
          <w:color w:val="0D4F6C"/>
          <w:sz w:val="21"/>
          <w:szCs w:val="21"/>
        </w:rPr>
        <w:t xml:space="preserve">6.5  Final Portfolio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2400"/>
        <w:gridCol w:w="1880"/>
      </w:tblGrid>
      <w:tr>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Asset</w:t>
            </w:r>
          </w:p>
        </w:tc>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Sub-Portfolio</w:t>
            </w:r>
          </w:p>
        </w:tc>
        <w:tc>
          <w:tcPr>
            <w:tcW w:type="dxa" w:w="2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Individual Weight (wSecurity)</w:t>
            </w:r>
          </w:p>
        </w:tc>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Class Weight (wClass)</w:t>
            </w:r>
          </w:p>
        </w:tc>
        <w:tc>
          <w:tcPr>
            <w:tcW w:type="dxa" w:w="18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vAlign w:val="center"/>
          </w:tcPr>
          <w:p>
            <w:pPr>
              <w:spacing w:before="0" w:after="80" w:line="276"/>
              <w:jc w:val="center"/>
            </w:pPr>
            <w:r>
              <w:rPr>
                <w:rFonts w:ascii="Arial" w:cs="Arial" w:eastAsia="Arial" w:hAnsi="Arial"/>
                <w:b/>
                <w:bCs/>
                <w:i w:val="false"/>
                <w:iCs w:val="false"/>
                <w:color w:val="FFFFFF"/>
                <w:sz w:val="17"/>
                <w:szCs w:val="17"/>
              </w:rPr>
              <w:t xml:space="preserve">Final Weight (%)</w:t>
            </w:r>
          </w:p>
        </w:tc>
      </w:tr>
      <w:tr>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 Ltd.</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Stocks</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65.61%</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0.8410 × 0.6561</w:t>
            </w:r>
          </w:p>
        </w:tc>
        <w:tc>
          <w:tcPr>
            <w:tcW w:type="dxa" w:w="1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55.19%</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Infosys Ltd.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Stocks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27.22%</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0.8410 × 0.2722</w:t>
            </w:r>
          </w:p>
        </w:tc>
        <w:tc>
          <w:tcPr>
            <w:tcW w:type="dxa" w:w="1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22.89%</w:t>
            </w:r>
          </w:p>
        </w:tc>
      </w:tr>
      <w:tr>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Polycab India</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Stocks</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4.85%</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0.8410 × 0.0485</w:t>
            </w:r>
          </w:p>
        </w:tc>
        <w:tc>
          <w:tcPr>
            <w:tcW w:type="dxa" w:w="1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4.08%</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 Industries</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Stocks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2.37% (est.)</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0.8410 × 0.0237</w:t>
            </w:r>
          </w:p>
        </w:tc>
        <w:tc>
          <w:tcPr>
            <w:tcW w:type="dxa" w:w="1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1.99%</w:t>
            </w:r>
          </w:p>
        </w:tc>
      </w:tr>
      <w:tr>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HDFC Bank Bond</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Bonds</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45.00% of bond</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0.1590 × 0.4500</w:t>
            </w:r>
          </w:p>
        </w:tc>
        <w:tc>
          <w:tcPr>
            <w:tcW w:type="dxa" w:w="1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7.16%</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Piramal Ent. Bond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Bonds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30.00% of bond</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0.1590 × 0.3000</w:t>
            </w:r>
          </w:p>
        </w:tc>
        <w:tc>
          <w:tcPr>
            <w:tcW w:type="dxa" w:w="1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4.77%</w:t>
            </w:r>
          </w:p>
        </w:tc>
      </w:tr>
      <w:tr>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Reliance Ind. Bond</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Bonds</w:t>
            </w:r>
          </w:p>
        </w:tc>
        <w:tc>
          <w:tcPr>
            <w:tcW w:type="dxa" w:w="2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25.00% of bond</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0.1590 × 0.2500</w:t>
            </w:r>
          </w:p>
        </w:tc>
        <w:tc>
          <w:tcPr>
            <w:tcW w:type="dxa" w:w="18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3.98%</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TOTAL</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t>
            </w:r>
          </w:p>
        </w:tc>
        <w:tc>
          <w:tcPr>
            <w:tcW w:type="dxa" w:w="18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≈100%</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7. CONCLUSION</w:t>
            </w:r>
          </w:p>
        </w:tc>
      </w:tr>
    </w:tbl>
    <w:p>
      <w:pPr>
        <w:spacing w:before="6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color="FFFFFF" w:sz="0"/>
              <w:left w:val="none" w:color="FFFFFF" w:sz="0"/>
              <w:bottom w:val="none" w:color="FFFFFF" w:sz="0"/>
              <w:right w:val="none" w:color="FFFFFF" w:sz="0"/>
            </w:tcBorders>
            <w:shd w:fill="2E7D8C" w:val="clear"/>
            <w:tcMar>
              <w:top w:type="dxa" w:w="0"/>
              <w:left w:type="dxa" w:w="0"/>
              <w:bottom w:type="dxa" w:w="0"/>
              <w:right w:type="dxa" w:w="0"/>
            </w:tcMar>
          </w:tcPr>
          <w:p>
            <w:pPr>
              <w:spacing w:before="0" w:after="80" w:line="276"/>
              <w:jc w:val="left"/>
            </w:pPr>
            <w:r>
              <w:rPr>
                <w:rFonts w:ascii="Arial" w:cs="Arial" w:eastAsia="Arial" w:hAnsi="Arial"/>
                <w:b w:val="false"/>
                <w:bCs w:val="false"/>
                <w:i w:val="false"/>
                <w:iCs w:val="false"/>
                <w:color w:val="222222"/>
                <w:sz w:val="20"/>
                <w:szCs w:val="20"/>
              </w:rPr>
              <w:t xml:space="preserve"/>
            </w:r>
          </w:p>
        </w:tc>
        <w:tc>
          <w:tcPr>
            <w:tcW w:type="dxa" w:w="99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pPr>
              <w:spacing w:before="0" w:after="80" w:line="264"/>
              <w:jc w:val="left"/>
            </w:pPr>
            <w:r>
              <w:rPr>
                <w:rFonts w:ascii="Arial" w:cs="Arial" w:eastAsia="Arial" w:hAnsi="Arial"/>
                <w:b/>
                <w:bCs/>
                <w:i w:val="false"/>
                <w:iCs w:val="false"/>
                <w:color w:val="1B2A4A"/>
                <w:sz w:val="19"/>
                <w:szCs w:val="19"/>
              </w:rPr>
              <w:t xml:space="preserve">Final Portfolio: E(RP) = 11.42%  ·  σP = 5.66%  ·  Risk Aversion A = 4  ·  Correlation ρ = 0.12  ·  100% invested in Optimised Risky Portfolio</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This project successfully applied Mean-Variance Optimization to construct a highly efficient portfolio by combining a diversified Stock Portfolio and a Duration-Weighted Bond Portfolio. The final allocation maximizes expected return for a specific level of risk tolerance (A = 4) by strategically exploiting the low correlation between the two asset classes.</w:t>
      </w:r>
    </w:p>
    <w:p>
      <w:pPr>
        <w:spacing w:before="0" w:after="80" w:line="276"/>
        <w:jc w:val="left"/>
      </w:pPr>
      <w:r>
        <w:rPr>
          <w:rFonts w:ascii="Arial" w:cs="Arial" w:eastAsia="Arial" w:hAnsi="Arial"/>
          <w:b w:val="false"/>
          <w:bCs w:val="false"/>
          <w:i w:val="false"/>
          <w:iCs w:val="false"/>
          <w:color w:val="222222"/>
          <w:sz w:val="20"/>
          <w:szCs w:val="20"/>
        </w:rPr>
        <w:t xml:space="preserve">The low correlation of 0.12 was critical, resulting in a Combined Risky Portfolio (P) with an overall risk of only 5.66%. This risk level is significantly lower than that of the Stock Portfolio alone, demonstrating the powerful diversification benefit achieved by adding the bonds.</w:t>
      </w:r>
    </w:p>
    <w:p>
      <w:pPr>
        <w:spacing w:before="0" w:after="80" w:line="276"/>
        <w:jc w:val="left"/>
      </w:pPr>
      <w:r>
        <w:rPr>
          <w:rFonts w:ascii="Arial" w:cs="Arial" w:eastAsia="Arial" w:hAnsi="Arial"/>
          <w:b w:val="false"/>
          <w:bCs w:val="false"/>
          <w:i w:val="false"/>
          <w:iCs w:val="false"/>
          <w:color w:val="222222"/>
          <w:sz w:val="20"/>
          <w:szCs w:val="20"/>
        </w:rPr>
        <w:t xml:space="preserve">This final portfolio is heavily weighted toward high-quality equities, as indicated by the 84.10% total allocation to stocks. The 55.19% concentration in HDFC Bank stock reflects the model's preference for stable, low-beta anchors that generate high expected returns relative to their risk.</w:t>
      </w:r>
    </w:p>
    <w:p>
      <w:pPr>
        <w:spacing w:before="0" w:after="80" w:line="276"/>
        <w:jc w:val="left"/>
      </w:pPr>
      <w:r>
        <w:rPr>
          <w:rFonts w:ascii="Arial" w:cs="Arial" w:eastAsia="Arial" w:hAnsi="Arial"/>
          <w:b w:val="false"/>
          <w:bCs w:val="false"/>
          <w:i w:val="false"/>
          <w:iCs w:val="false"/>
          <w:color w:val="222222"/>
          <w:sz w:val="20"/>
          <w:szCs w:val="20"/>
        </w:rPr>
        <w:t xml:space="preserve">The inclusion of bonds, though small at 15.90%, is vital: (1) Risk Mitigation — the bonds act as a critical hedge; if the equity market experiences a downturn, the low correlation (ρ = 0.12) suggests the bonds are unlikely to fall as much (or may even rise slightly), absorbing some of the shock and keeping the overall portfolio volatility at a minimum (5.66%); and (2) Optimal Utility — by accepting a low-risk portfolio structure, a superior return of 11.42% with minimal risk overlap is projected, effectively maximising financial satisfaction (utility) for every unit of risk taken.</w:t>
      </w:r>
    </w:p>
    <w:p>
      <w:pPr>
        <w:spacing w:before="0" w:after="80" w:line="276"/>
        <w:jc w:val="left"/>
      </w:pPr>
      <w:r>
        <w:rPr>
          <w:rFonts w:ascii="Arial" w:cs="Arial" w:eastAsia="Arial" w:hAnsi="Arial"/>
          <w:b w:val="false"/>
          <w:bCs w:val="false"/>
          <w:i w:val="false"/>
          <w:iCs w:val="false"/>
          <w:color w:val="222222"/>
          <w:sz w:val="20"/>
          <w:szCs w:val="20"/>
        </w:rPr>
        <w:t xml:space="preserve">In essence, this portfolio is a robust growth strategy that uses high-credit, low-duration fixed income to stabilise the returns generated by a concentrated selection of India's most dependable and strategically positioned stocks.</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REFERENCES</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hyperlink w:history="1" r:id="rIdyb7mtlf-3jvgdaskvwqhu">
        <w:r>
          <w:rPr>
            <w:rFonts w:ascii="Arial" w:cs="Arial" w:eastAsia="Arial" w:hAnsi="Arial"/>
            <w:color w:val="2E7D8C"/>
            <w:sz w:val="18"/>
            <w:szCs w:val="18"/>
            <w:u w:val="single"/>
          </w:rPr>
          <w:t xml:space="preserve">Google Docs — Sentiment Analysis Dataset</w:t>
        </w:r>
      </w:hyperlink>
    </w:p>
    <w:p>
      <w:pPr>
        <w:spacing w:before="0" w:after="80" w:line="276"/>
        <w:jc w:val="left"/>
      </w:pPr>
      <w:hyperlink w:history="1" r:id="rIdj80isls06f5t46ewvujyp">
        <w:r>
          <w:rPr>
            <w:rFonts w:ascii="Arial" w:cs="Arial" w:eastAsia="Arial" w:hAnsi="Arial"/>
            <w:color w:val="2E7D8C"/>
            <w:sz w:val="18"/>
            <w:szCs w:val="18"/>
            <w:u w:val="single"/>
          </w:rPr>
          <w:t xml:space="preserve">Screener — Banking Sector P/E</w:t>
        </w:r>
      </w:hyperlink>
    </w:p>
    <w:p>
      <w:pPr>
        <w:spacing w:before="0" w:after="80" w:line="276"/>
        <w:jc w:val="left"/>
      </w:pPr>
      <w:hyperlink w:history="1" r:id="rIdwwjj1i8mziccrrsrg6lnz">
        <w:r>
          <w:rPr>
            <w:rFonts w:ascii="Arial" w:cs="Arial" w:eastAsia="Arial" w:hAnsi="Arial"/>
            <w:color w:val="2E7D8C"/>
            <w:sz w:val="18"/>
            <w:szCs w:val="18"/>
            <w:u w:val="single"/>
          </w:rPr>
          <w:t xml:space="preserve">Screener — Nifty IT Sector P/E</w:t>
        </w:r>
      </w:hyperlink>
    </w:p>
    <w:p>
      <w:pPr>
        <w:spacing w:before="0" w:after="80" w:line="276"/>
        <w:jc w:val="left"/>
      </w:pPr>
      <w:hyperlink w:history="1" r:id="rIdhpkldu5u07b5jaws9ambv">
        <w:r>
          <w:rPr>
            <w:rFonts w:ascii="Arial" w:cs="Arial" w:eastAsia="Arial" w:hAnsi="Arial"/>
            <w:color w:val="2E7D8C"/>
            <w:sz w:val="18"/>
            <w:szCs w:val="18"/>
            <w:u w:val="single"/>
          </w:rPr>
          <w:t xml:space="preserve">Screener — Electrical Equipment Sector</w:t>
        </w:r>
      </w:hyperlink>
    </w:p>
    <w:p>
      <w:pPr>
        <w:spacing w:before="0" w:after="80" w:line="276"/>
        <w:jc w:val="left"/>
      </w:pPr>
      <w:hyperlink w:history="1" r:id="rIdjgyvwxywg2la6od4kbfz5">
        <w:r>
          <w:rPr>
            <w:rFonts w:ascii="Arial" w:cs="Arial" w:eastAsia="Arial" w:hAnsi="Arial"/>
            <w:color w:val="2E7D8C"/>
            <w:sz w:val="18"/>
            <w:szCs w:val="18"/>
            <w:u w:val="single"/>
          </w:rPr>
          <w:t xml:space="preserve">Trendlyne — Wires &amp; Cables Industry ROE</w:t>
        </w:r>
      </w:hyperlink>
    </w:p>
    <w:p>
      <w:pPr>
        <w:spacing w:before="0" w:after="80" w:line="276"/>
        <w:jc w:val="left"/>
      </w:pPr>
      <w:hyperlink w:history="1" r:id="rIdutnwlu434dhxg6avvnr6p">
        <w:r>
          <w:rPr>
            <w:rFonts w:ascii="Arial" w:cs="Arial" w:eastAsia="Arial" w:hAnsi="Arial"/>
            <w:color w:val="2E7D8C"/>
            <w:sz w:val="18"/>
            <w:szCs w:val="18"/>
            <w:u w:val="single"/>
          </w:rPr>
          <w:t xml:space="preserve">Trendlyne — Agrochemicals Industry ROE</w:t>
        </w:r>
      </w:hyperlink>
    </w:p>
    <w:p>
      <w:pPr>
        <w:spacing w:before="0" w:after="80" w:line="276"/>
        <w:jc w:val="left"/>
      </w:pPr>
      <w:hyperlink w:history="1" r:id="rIdyfsy_-wwtmdozyhvxdtko">
        <w:r>
          <w:rPr>
            <w:rFonts w:ascii="Arial" w:cs="Arial" w:eastAsia="Arial" w:hAnsi="Arial"/>
            <w:color w:val="2E7D8C"/>
            <w:sz w:val="18"/>
            <w:szCs w:val="18"/>
            <w:u w:val="single"/>
          </w:rPr>
          <w:t xml:space="preserve">BondsIndia — Reliance Bond</w:t>
        </w:r>
      </w:hyperlink>
    </w:p>
    <w:p>
      <w:pPr>
        <w:spacing w:before="0" w:after="80" w:line="276"/>
        <w:jc w:val="left"/>
      </w:pPr>
      <w:hyperlink w:history="1" r:id="rIdagwchujsb4tod5lklgnz4">
        <w:r>
          <w:rPr>
            <w:rFonts w:ascii="Arial" w:cs="Arial" w:eastAsia="Arial" w:hAnsi="Arial"/>
            <w:color w:val="2E7D8C"/>
            <w:sz w:val="18"/>
            <w:szCs w:val="18"/>
            <w:u w:val="single"/>
          </w:rPr>
          <w:t xml:space="preserve">BondsIndia — HDFC Bond</w:t>
        </w:r>
      </w:hyperlink>
    </w:p>
    <w:p>
      <w:pPr>
        <w:spacing w:before="0" w:after="80" w:line="276"/>
        <w:jc w:val="left"/>
      </w:pPr>
      <w:hyperlink w:history="1" r:id="rIdnm4v9rpia0milod6pjlgv">
        <w:r>
          <w:rPr>
            <w:rFonts w:ascii="Arial" w:cs="Arial" w:eastAsia="Arial" w:hAnsi="Arial"/>
            <w:color w:val="2E7D8C"/>
            <w:sz w:val="18"/>
            <w:szCs w:val="18"/>
            <w:u w:val="single"/>
          </w:rPr>
          <w:t xml:space="preserve">BondsIndia — Piramal Bond</w:t>
        </w:r>
      </w:hyperlink>
    </w:p>
    <w:p>
      <w:pPr>
        <w:spacing w:before="0" w:after="80" w:line="276"/>
        <w:jc w:val="left"/>
      </w:pPr>
      <w:hyperlink w:history="1" r:id="rIdrqq7tgnz1ggufcrgm7hws">
        <w:r>
          <w:rPr>
            <w:rFonts w:ascii="Arial" w:cs="Arial" w:eastAsia="Arial" w:hAnsi="Arial"/>
            <w:color w:val="2E7D8C"/>
            <w:sz w:val="18"/>
            <w:szCs w:val="18"/>
            <w:u w:val="single"/>
          </w:rPr>
          <w:t xml:space="preserve">DIVA Portal — Bond Duration Research</w:t>
        </w:r>
      </w:hyperlink>
    </w:p>
    <w:p>
      <w:pPr>
        <w:spacing w:before="0" w:after="80" w:line="276"/>
        <w:jc w:val="left"/>
      </w:pPr>
      <w:hyperlink w:history="1" r:id="rIddyooqbhemnusxhkztmyyu">
        <w:r>
          <w:rPr>
            <w:rFonts w:ascii="Arial" w:cs="Arial" w:eastAsia="Arial" w:hAnsi="Arial"/>
            <w:color w:val="2E7D8C"/>
            <w:sz w:val="18"/>
            <w:szCs w:val="18"/>
            <w:u w:val="single"/>
          </w:rPr>
          <w:t xml:space="preserve">Ticker Finology — HDFC Bank</w:t>
        </w:r>
      </w:hyperlink>
    </w:p>
    <w:p>
      <w:pPr>
        <w:spacing w:before="0" w:after="80" w:line="276"/>
        <w:jc w:val="left"/>
      </w:pPr>
      <w:hyperlink w:history="1" r:id="rIdzueyjssw465fehqs_ajw-">
        <w:r>
          <w:rPr>
            <w:rFonts w:ascii="Arial" w:cs="Arial" w:eastAsia="Arial" w:hAnsi="Arial"/>
            <w:color w:val="2E7D8C"/>
            <w:sz w:val="18"/>
            <w:szCs w:val="18"/>
            <w:u w:val="single"/>
          </w:rPr>
          <w:t xml:space="preserve">Markets Mojo — Infosys Stock Analysis</w:t>
        </w:r>
      </w:hyperlink>
    </w:p>
    <w:p>
      <w:pPr>
        <w:spacing w:before="40" w:after="80" w:line="240"/>
        <w:jc w:val="left"/>
      </w:pPr>
      <w:r>
        <w:rPr>
          <w:rFonts w:ascii="Arial" w:cs="Arial" w:eastAsia="Arial" w:hAnsi="Arial"/>
          <w:b w:val="false"/>
          <w:bCs w:val="false"/>
          <w:i w:val="false"/>
          <w:iCs w:val="false"/>
          <w:color w:val="222222"/>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D8C"/>
        <w:sz w:val="16"/>
        <w:szCs w:val="16"/>
      </w:rPr>
    </w:lvl>
    <w:lvl w:ilvl="1" w15:tentative="1">
      <w:start w:val="1"/>
      <w:numFmt w:val="bullet"/>
      <w:lvlText w:val="○"/>
      <w:lvlJc w:val="left"/>
      <w:pPr>
        <w:ind w:left="760" w:hanging="280"/>
      </w:pPr>
      <w:rPr>
        <w:rFonts w:ascii="Arial" w:cs="Arial" w:eastAsia="Arial" w:hAnsi="Arial"/>
        <w:color w:val="555555"/>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vvvfvknbhgzawutxmgy8" Type="http://schemas.openxmlformats.org/officeDocument/2006/relationships/hyperlink" Target="https://www.bondsindia.com/bond-directory/bonddetail/INE002A08567" TargetMode="External"/><Relationship Id="rId4xhtckzrzcbpkkqrv2mlq" Type="http://schemas.openxmlformats.org/officeDocument/2006/relationships/hyperlink" Target="https://www.bondsindia.com/bond-directory/bonddetail/INE040A08567" TargetMode="External"/><Relationship Id="rIdksejlwsse1bbonpcuxww7" Type="http://schemas.openxmlformats.org/officeDocument/2006/relationships/hyperlink" Target="https://www.bondsindia.com/bond-directory/bonddetail/INE140A07765" TargetMode="External"/><Relationship Id="rId1hqi35ybavxpkrnp3j0yj" Type="http://schemas.openxmlformats.org/officeDocument/2006/relationships/hyperlink" Target="https://www.screener.in/market/IN05/IN0501/IN050102/IN050102002/" TargetMode="External"/><Relationship Id="rIdvpekvjirp24curms1ju2m" Type="http://schemas.openxmlformats.org/officeDocument/2006/relationships/hyperlink" Target="https://www.screener.in/market/IN08/IN0801/IN080101/?limit=25&amp;page=1" TargetMode="External"/><Relationship Id="rIdij-2xxuag2px5d4ms_jgb" Type="http://schemas.openxmlformats.org/officeDocument/2006/relationships/hyperlink" Target="https://docs.google.com/document/d/1Tn9ajK1e2sxl16n8W5IsqaLertgqEqMjF2vSJqCuZlM/edit?usp=sharing" TargetMode="External"/><Relationship Id="rIdyb7mtlf-3jvgdaskvwqhu" Type="http://schemas.openxmlformats.org/officeDocument/2006/relationships/hyperlink" Target="https://docs.google.com/document/d/1Tn9ajK1e2sxl16n8W5IsqaLertgqEqMjF2vSJqCuZlM/edit?usp=sharing" TargetMode="External"/><Relationship Id="rIdj80isls06f5t46ewvujyp" Type="http://schemas.openxmlformats.org/officeDocument/2006/relationships/hyperlink" Target="https://www.screener.in/market/IN05/IN0501/IN050102/IN050102002/" TargetMode="External"/><Relationship Id="rIdwwjj1i8mziccrrsrg6lnz" Type="http://schemas.openxmlformats.org/officeDocument/2006/relationships/hyperlink" Target="https://www.screener.in/market/IN08/IN0801/IN080101/?limit=25&amp;page=1" TargetMode="External"/><Relationship Id="rIdhpkldu5u07b5jaws9ambv" Type="http://schemas.openxmlformats.org/officeDocument/2006/relationships/hyperlink" Target="https://www.screener.in/market/IN07/IN0702/IN070205/IN070205003/" TargetMode="External"/><Relationship Id="rIdjgyvwxywg2la6od4kbfz5" Type="http://schemas.openxmlformats.org/officeDocument/2006/relationships/hyperlink" Target="https://trendlyne.com/equity/industry/283/wires-cables/" TargetMode="External"/><Relationship Id="rIdutnwlu434dhxg6avvnr6p" Type="http://schemas.openxmlformats.org/officeDocument/2006/relationships/hyperlink" Target="https://trendlyne.com/equity/industry/5/agrochemicals/" TargetMode="External"/><Relationship Id="rIdyfsy_-wwtmdozyhvxdtko" Type="http://schemas.openxmlformats.org/officeDocument/2006/relationships/hyperlink" Target="https://www.bondsindia.com/bond-directory/bonddetail/INE002A08567" TargetMode="External"/><Relationship Id="rIdagwchujsb4tod5lklgnz4" Type="http://schemas.openxmlformats.org/officeDocument/2006/relationships/hyperlink" Target="https://www.bondsindia.com/bond-directory/bonddetail/INE040A08567" TargetMode="External"/><Relationship Id="rIdnm4v9rpia0milod6pjlgv" Type="http://schemas.openxmlformats.org/officeDocument/2006/relationships/hyperlink" Target="https://www.bondsindia.com/bond-directory/bonddetail/INE140A07765" TargetMode="External"/><Relationship Id="rIdrqq7tgnz1ggufcrgm7hws" Type="http://schemas.openxmlformats.org/officeDocument/2006/relationships/hyperlink" Target="https://www.diva-portal.org/smash/get/diva2:1473206/FULLTEXT01.pdf" TargetMode="External"/><Relationship Id="rIddyooqbhemnusxhkztmyyu" Type="http://schemas.openxmlformats.org/officeDocument/2006/relationships/hyperlink" Target="https://ticker.finology.in/company/HDFCBANK" TargetMode="External"/><Relationship Id="rIdzueyjssw465fehqs_ajw-" Type="http://schemas.openxmlformats.org/officeDocument/2006/relationships/hyperlink" Target="https://www.marketsmojo.com/news/stocks-in-action/infosys-stock-declines-108-over-two-days-amid-mixed-performance-3647244" TargetMode="Externa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2026-03-16T13:04:29.840Z</dcterms:created>
  <dcterms:modified xsi:type="dcterms:W3CDTF">2026-03-16T13:04:29.841Z</dcterms:modified>
</cp:coreProperties>
</file>

<file path=docProps/custom.xml><?xml version="1.0" encoding="utf-8"?>
<Properties xmlns="http://schemas.openxmlformats.org/officeDocument/2006/custom-properties" xmlns:vt="http://schemas.openxmlformats.org/officeDocument/2006/docPropsVTypes"/>
</file>