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400"/>
              <w:left w:type="dxa" w:w="600"/>
              <w:bottom w:type="dxa" w:w="400"/>
              <w:right w:type="dxa" w:w="600"/>
            </w:tcMar>
          </w:tcPr>
          <w:p>
            <w:pPr>
              <w:spacing w:before="0" w:after="60" w:line="276"/>
              <w:jc w:val="center"/>
            </w:pPr>
            <w:r>
              <w:rPr>
                <w:rFonts w:ascii="Arial" w:cs="Arial" w:eastAsia="Arial" w:hAnsi="Arial"/>
                <w:b w:val="false"/>
                <w:bCs w:val="false"/>
                <w:i w:val="false"/>
                <w:iCs w:val="false"/>
                <w:color w:val="8899BB"/>
                <w:sz w:val="17"/>
                <w:szCs w:val="17"/>
              </w:rPr>
              <w:t xml:space="preserve">T. A. Pai Management Institute, Bangalore  ·  Batch 2023–2027</w:t>
            </w:r>
          </w:p>
          <w:p>
            <w:pPr>
              <w:spacing w:before="0" w:after="120" w:line="276"/>
              <w:jc w:val="center"/>
            </w:pPr>
            <w:r>
              <w:rPr>
                <w:rFonts w:ascii="Arial" w:cs="Arial" w:eastAsia="Arial" w:hAnsi="Arial"/>
                <w:b w:val="false"/>
                <w:bCs w:val="false"/>
                <w:i/>
                <w:iCs/>
                <w:color w:val="B8860B"/>
                <w:sz w:val="18"/>
                <w:szCs w:val="18"/>
              </w:rPr>
              <w:t xml:space="preserve">Econometrics Project  ·  Faculty: Prof. Abhishek Kumar Rohit</w:t>
            </w:r>
          </w:p>
          <w:p>
            <w:pPr>
              <w:spacing w:before="0" w:after="20" w:line="276"/>
              <w:jc w:val="center"/>
            </w:pPr>
            <w:r>
              <w:rPr>
                <w:rFonts w:ascii="Arial" w:cs="Arial" w:eastAsia="Arial" w:hAnsi="Arial"/>
                <w:b/>
                <w:bCs/>
                <w:i w:val="false"/>
                <w:iCs w:val="false"/>
                <w:color w:val="FFFFFF"/>
                <w:sz w:val="30"/>
                <w:szCs w:val="30"/>
              </w:rPr>
              <w:t xml:space="preserve">Impact of the Post-2021 Inflation Surge on</w:t>
            </w:r>
          </w:p>
          <w:p>
            <w:pPr>
              <w:spacing w:before="0" w:after="180" w:line="276"/>
              <w:jc w:val="center"/>
            </w:pPr>
            <w:r>
              <w:rPr>
                <w:rFonts w:ascii="Arial" w:cs="Arial" w:eastAsia="Arial" w:hAnsi="Arial"/>
                <w:b/>
                <w:bCs/>
                <w:i w:val="false"/>
                <w:iCs w:val="false"/>
                <w:color w:val="AADDEE"/>
                <w:sz w:val="34"/>
                <w:szCs w:val="34"/>
              </w:rPr>
              <w:t xml:space="preserve">U.S. Household Financial Fragility</w:t>
            </w:r>
          </w:p>
          <w:p>
            <w:pPr>
              <w:spacing w:before="0" w:after="160"/>
              <w:jc w:val="center"/>
            </w:pPr>
            <w:r>
              <w:rPr>
                <w:rFonts w:ascii="Arial" w:cs="Arial" w:eastAsia="Arial" w:hAnsi="Arial"/>
                <w:color w:val="445577"/>
                <w:sz w:val="18"/>
                <w:szCs w:val="18"/>
              </w:rPr>
              <w:t xml:space="preserve">─────────────────────────────────────</w:t>
            </w:r>
          </w:p>
          <w:p>
            <w:pPr>
              <w:spacing w:before="0" w:after="60" w:line="276"/>
              <w:jc w:val="center"/>
            </w:pPr>
            <w:r>
              <w:rPr>
                <w:rFonts w:ascii="Arial" w:cs="Arial" w:eastAsia="Arial" w:hAnsi="Arial"/>
                <w:b w:val="false"/>
                <w:bCs w:val="false"/>
                <w:i w:val="false"/>
                <w:iCs w:val="false"/>
                <w:color w:val="CCDDEE"/>
                <w:sz w:val="18"/>
                <w:szCs w:val="18"/>
              </w:rPr>
              <w:t xml:space="preserve">Himangi Pamecha (236213514)  ·  Ananya Pillai (236213036)  ·  Krish Subharwal (236213472)</w:t>
            </w:r>
          </w:p>
          <w:p>
            <w:pPr>
              <w:spacing w:before="0" w:after="80" w:line="276"/>
              <w:jc w:val="center"/>
            </w:pPr>
            <w:r>
              <w:rPr>
                <w:rFonts w:ascii="Arial" w:cs="Arial" w:eastAsia="Arial" w:hAnsi="Arial"/>
                <w:b w:val="false"/>
                <w:bCs w:val="false"/>
                <w:i w:val="false"/>
                <w:iCs w:val="false"/>
                <w:color w:val="8899BB"/>
                <w:sz w:val="16"/>
                <w:szCs w:val="16"/>
              </w:rPr>
              <w:t xml:space="preserve">Submitted: 5th December 2025</w:t>
            </w:r>
          </w:p>
        </w:tc>
      </w:tr>
    </w:tbl>
    <w:p>
      <w:pPr>
        <w:spacing w:before="400" w:after="80" w:line="240"/>
        <w:jc w:val="left"/>
      </w:pPr>
      <w:r>
        <w:rPr>
          <w:rFonts w:ascii="Arial" w:cs="Arial" w:eastAsia="Arial" w:hAnsi="Arial"/>
          <w:b w:val="false"/>
          <w:bCs w:val="false"/>
          <w:i w:val="false"/>
          <w:iCs w:val="false"/>
          <w:color w:val="222222"/>
          <w:sz w:val="20"/>
          <w:szCs w:val="20"/>
        </w:rPr>
        <w:t xml:space="preserve"/>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RESEARCH QUESTION</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bCs/>
          <w:i w:val="false"/>
          <w:iCs w:val="false"/>
          <w:color w:val="222222"/>
          <w:sz w:val="22"/>
          <w:szCs w:val="22"/>
        </w:rPr>
        <w:t xml:space="preserve">Inflation &amp; Financial Fragility:</w:t>
      </w:r>
    </w:p>
    <w:p>
      <w:pPr>
        <w:spacing w:before="20" w:after="80" w:line="276"/>
        <w:jc w:val="left"/>
      </w:pPr>
      <w:r>
        <w:rPr>
          <w:rFonts w:ascii="Arial" w:cs="Arial" w:eastAsia="Arial" w:hAnsi="Arial"/>
          <w:b w:val="false"/>
          <w:bCs w:val="false"/>
          <w:i/>
          <w:iCs/>
          <w:color w:val="0D4F6C"/>
          <w:sz w:val="21"/>
          <w:szCs w:val="21"/>
        </w:rPr>
        <w:t xml:space="preserve">Has the Post-2021 Inflation Surge Caused a Structural Rise in U.S. Financial Fragility?</w:t>
      </w:r>
    </w:p>
    <w:p>
      <w:pPr>
        <w:spacing w:before="2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bCs/>
          <w:i w:val="false"/>
          <w:iCs w:val="false"/>
          <w:color w:val="222222"/>
          <w:sz w:val="20"/>
          <w:szCs w:val="20"/>
        </w:rPr>
        <w:t xml:space="preserve">Dataset &amp; Variables: </w:t>
      </w:r>
      <w:r>
        <w:rPr>
          <w:rFonts w:ascii="Arial" w:cs="Arial" w:eastAsia="Arial" w:hAnsi="Arial"/>
          <w:b w:val="false"/>
          <w:bCs w:val="false"/>
          <w:i w:val="false"/>
          <w:iCs w:val="false"/>
          <w:color w:val="222222"/>
          <w:sz w:val="20"/>
          <w:szCs w:val="20"/>
        </w:rPr>
        <w:t xml:space="preserve">FINRA NFCS (2009–2024): expenses–income balance, emergency funds, financial anxiety, credit card stress, savings, literacy &amp; inflation data from FRED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color="FFFFFF" w:sz="0"/>
              <w:left w:val="none" w:color="FFFFFF" w:sz="0"/>
              <w:bottom w:val="none" w:color="FFFFFF" w:sz="0"/>
              <w:right w:val="none" w:color="FFFFFF" w:sz="0"/>
            </w:tcBorders>
            <w:shd w:fill="2E7D8C" w:val="clear"/>
            <w:tcMar>
              <w:top w:type="dxa" w:w="0"/>
              <w:left w:type="dxa" w:w="0"/>
              <w:bottom w:type="dxa" w:w="0"/>
              <w:right w:type="dxa" w:w="0"/>
            </w:tcMar>
          </w:tcPr>
          <w:p>
            <w:pPr>
              <w:spacing w:before="0" w:after="80" w:line="276"/>
              <w:jc w:val="left"/>
            </w:pPr>
            <w:r>
              <w:rPr>
                <w:rFonts w:ascii="Arial" w:cs="Arial" w:eastAsia="Arial" w:hAnsi="Arial"/>
                <w:b w:val="false"/>
                <w:bCs w:val="false"/>
                <w:i w:val="false"/>
                <w:iCs w:val="false"/>
                <w:color w:val="222222"/>
                <w:sz w:val="20"/>
                <w:szCs w:val="20"/>
              </w:rPr>
              <w:t xml:space="preserve"/>
            </w:r>
          </w:p>
        </w:tc>
        <w:tc>
          <w:tcPr>
            <w:tcW w:type="dxa" w:w="9960"/>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pPr>
              <w:spacing w:before="0" w:after="80" w:line="264"/>
              <w:jc w:val="left"/>
            </w:pPr>
            <w:r>
              <w:rPr>
                <w:rFonts w:ascii="Arial" w:cs="Arial" w:eastAsia="Arial" w:hAnsi="Arial"/>
                <w:b/>
                <w:bCs/>
                <w:i w:val="false"/>
                <w:iCs w:val="false"/>
                <w:color w:val="1B2A4A"/>
                <w:sz w:val="19"/>
                <w:szCs w:val="19"/>
              </w:rPr>
              <w:t xml:space="preserve">Key Finding: Post-2021 average fragility was ~10 points higher on the 0–100 FFI scale, independent of inflation levels. Chow structural break test: F = 6.35, df₁=48, df₂=125,109, p &lt; 5.75 × 10⁻³⁹.</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INTRODUCTION</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Financial fragility refers to the vulnerability of a financial system to a financial crisis. Financial fragility is the degree to which small shocks have disproportionately large effects [Franklin Allen and Douglas Gale]. In macroeconomics, the term "financial fragility" is used to refer to a financial system's susceptibility to large-scale financial crises caused by small, routine economic shocks [Roger Lagunoff and Stacey Schreft].</w:t>
      </w:r>
    </w:p>
    <w:p>
      <w:pPr>
        <w:spacing w:before="0" w:after="80" w:line="276"/>
        <w:jc w:val="left"/>
      </w:pPr>
      <w:r>
        <w:rPr>
          <w:rFonts w:ascii="Arial" w:cs="Arial" w:eastAsia="Arial" w:hAnsi="Arial"/>
          <w:b w:val="false"/>
          <w:bCs w:val="false"/>
          <w:i w:val="false"/>
          <w:iCs w:val="false"/>
          <w:color w:val="222222"/>
          <w:sz w:val="20"/>
          <w:szCs w:val="20"/>
        </w:rPr>
        <w:t xml:space="preserve">In the context of this project, financial fragility refers to a household's limited ability to absorb economic shocks or meet unexpected expenses. Since 2021, the United States has experienced a period of unusually high inflation, attributed to post-pandemic supply disruptions, fiscal stimulus effects, and global price pressures. This inflation surge raised concerns about whether households — especially those with weaker savings, higher debt, and lower financial literacy — became more financially fragile.</w:t>
      </w:r>
    </w:p>
    <w:p>
      <w:pPr>
        <w:spacing w:before="0" w:after="80" w:line="276"/>
        <w:jc w:val="left"/>
      </w:pPr>
      <w:r>
        <w:rPr>
          <w:rFonts w:ascii="Arial" w:cs="Arial" w:eastAsia="Arial" w:hAnsi="Arial"/>
          <w:b w:val="false"/>
          <w:bCs w:val="false"/>
          <w:i w:val="false"/>
          <w:iCs w:val="false"/>
          <w:color w:val="222222"/>
          <w:sz w:val="20"/>
          <w:szCs w:val="20"/>
        </w:rPr>
        <w:t xml:space="preserve">To understand this relationship, we draw on past research on household fragility, financial behaviour, and inflation-linked stress. The existing literature provides strong evidence that financial fragility is multidimensional and sensitive to changes in macroeconomic conditions. These insights inform the construction of our financial fragility index and support the empirical approach adopted, utilising NFCS data (2009–2024).</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LITERATURE REVIEW</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Most papers on household finance demonstrate that financial fragility is a multidimensional condition, rather than the outcome of a single factor. In the paper "Financially Fragile Households: Evidence and Implications", Lusardi, Schneider, and Tufano (2011) examined households' financial fragility by looking at their capacity to come up with $2,000 in 30 days. They noted that while financial fragility is more severe among those with low educational attainment and no financial education, as well as among families with children, those who have suffered large wealth losses, and those who are unemployed, a sizable fraction of seemingly "middle-class" Americans also perceive themselves to be financially fragile. In subsequent waves of the NFCS surveys, research by GFLEC also shows that low emergency savings, high debt burdens, difficulty covering monthly expenses, and low financial literacy are linked to financial fragility. GFLEC's 2019 analysis of middle-income households, in particular, shows that fragility is widespread even among higher-income groups and is closely related to expensive credit card use, a lack of rainy-day funds, and subjective financial stress, not just low income.</w:t>
      </w:r>
    </w:p>
    <w:p>
      <w:pPr>
        <w:spacing w:before="0" w:after="80" w:line="276"/>
        <w:jc w:val="left"/>
      </w:pPr>
      <w:r>
        <w:rPr>
          <w:rFonts w:ascii="Arial" w:cs="Arial" w:eastAsia="Arial" w:hAnsi="Arial"/>
          <w:b w:val="false"/>
          <w:bCs w:val="false"/>
          <w:i w:val="false"/>
          <w:iCs w:val="false"/>
          <w:color w:val="222222"/>
          <w:sz w:val="20"/>
          <w:szCs w:val="20"/>
        </w:rPr>
        <w:t xml:space="preserve">Building on this, we also came across multiple research papers that created an index to measure financial fragility, with some even using data from the NFCS surveys. Kim, Lee and DeVaney (2022) use the 2015 NFCS to select five fragility items — difficulty paying bills, lack of emergency savings, overdrawing accounts, low confidence in raising $2,000, and revolving credit card balances — and combine them into a single "financial fragility index" using factor analysis.</w:t>
      </w:r>
    </w:p>
    <w:p>
      <w:pPr>
        <w:spacing w:before="0" w:after="80" w:line="276"/>
        <w:jc w:val="left"/>
      </w:pPr>
      <w:r>
        <w:rPr>
          <w:rFonts w:ascii="Arial" w:cs="Arial" w:eastAsia="Arial" w:hAnsi="Arial"/>
          <w:b w:val="false"/>
          <w:bCs w:val="false"/>
          <w:i w:val="false"/>
          <w:iCs w:val="false"/>
          <w:color w:val="222222"/>
          <w:sz w:val="20"/>
          <w:szCs w:val="20"/>
        </w:rPr>
        <w:t xml:space="preserve">This approach is analogous to ours, as we utilised the NFCS survey and selected six fragility items, combining them into a single financial fragility index using Principal Component Analysis:</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Expenses–income balance (J3, J4)</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Emergency funds and ability to raise $2,000 (J5)</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Financial anxiety and stress (G23)</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Credit card stress and costly credit use (F2_2–F2_4)</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Savings behaviour (J8, J9, B2)</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Financial literacy (M4)</w:t>
      </w:r>
    </w:p>
    <w:p>
      <w:pPr>
        <w:spacing w:before="3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Outside the U.S., index-based measures are also common. Cardona-Montoya, Cruz, and Mongrut (2022) study Colombian households during the COVID-19 pandemic and use principal component analysis to construct separate indices for financial fragility and financial stress, based on multiple indicators of liquidity shortfalls, debt problems, and subjective stress. These indices are then used in regression and structural equation models. Similar multidimensional approaches also appear in work on financial well-being and financial health, where composite scores are constructed from questions on spending, saving, borrowing, and planning (e.g., Hasler &amp; Sticha's comprehensive financial well-being measure for TIAA).</w:t>
      </w:r>
    </w:p>
    <w:p>
      <w:pPr>
        <w:spacing w:before="0" w:after="80" w:line="276"/>
        <w:jc w:val="left"/>
      </w:pPr>
      <w:r>
        <w:rPr>
          <w:rFonts w:ascii="Arial" w:cs="Arial" w:eastAsia="Arial" w:hAnsi="Arial"/>
          <w:b w:val="false"/>
          <w:bCs w:val="false"/>
          <w:i w:val="false"/>
          <w:iCs w:val="false"/>
          <w:color w:val="222222"/>
          <w:sz w:val="20"/>
          <w:szCs w:val="20"/>
        </w:rPr>
        <w:t xml:space="preserve">Recent GFLEC and NFCS studies on financial stress and anxiety show that anxiety is driven by lack of liquid assets, high debt and money-management difficulties, and that these factors co-move with fragility measures. This supports our usage of both objective (bills, emergency funds, credit card issues) and subjective (financial anxiety, literacy) factors together in an index rather than including each variable separately.</w:t>
      </w:r>
    </w:p>
    <w:p>
      <w:pPr>
        <w:spacing w:before="0" w:after="80" w:line="276"/>
        <w:jc w:val="left"/>
      </w:pPr>
      <w:r>
        <w:rPr>
          <w:rFonts w:ascii="Arial" w:cs="Arial" w:eastAsia="Arial" w:hAnsi="Arial"/>
          <w:b w:val="false"/>
          <w:bCs w:val="false"/>
          <w:i w:val="false"/>
          <w:iCs w:val="false"/>
          <w:color w:val="222222"/>
          <w:sz w:val="20"/>
          <w:szCs w:val="20"/>
        </w:rPr>
        <w:t xml:space="preserve">In our project, we utilise Principal Component Analysis (PCA) to construct the financial fragility index, rather than factor analysis. We chose PCA because it is a straightforward, objective, data-driven method that combines multiple related financial variables into a single score, eliminating the need for strong assumptions or a theoretical model. PCA determines the importance (weight) of each variable based on how much it explains the differences in the data, making the index more accurate and less biased. This approach is commonly used in research that addresses multidimensional financial issues. For example, Lenka (2015) used PCA to develop a financial development index for India, demonstrating that complex financial conditions cannot be adequately captured by a single variable. Gharbi et al. (2023) also employed PCA to construct a financial inclusion index for 91 countries, explaining that PCA avoids subjective weighting and utilises real variation in the data. Based on this research, PCA is a suitable method for our study because it enables us to combine various indicators of financial fragility — such as savings, debt stress, financial anxiety, spending versus income, emergency funds, and financial literacy — into a single, clear, and easy-to-compare index.</w:t>
      </w:r>
    </w:p>
    <w:p>
      <w:pPr>
        <w:spacing w:before="0" w:after="80" w:line="276"/>
        <w:jc w:val="left"/>
      </w:pPr>
      <w:r>
        <w:rPr>
          <w:rFonts w:ascii="Arial" w:cs="Arial" w:eastAsia="Arial" w:hAnsi="Arial"/>
          <w:b w:val="false"/>
          <w:bCs w:val="false"/>
          <w:i w:val="false"/>
          <w:iCs w:val="false"/>
          <w:color w:val="222222"/>
          <w:sz w:val="20"/>
          <w:szCs w:val="20"/>
        </w:rPr>
        <w:t xml:space="preserve">Taken together, the existing literature strongly supports our decision to construct a Financial Fragility Index using NFCS variables. Prior research consistently shows that financial fragility is best understood as a household's ability to cope with unexpected financial shocks. Studies also highlight that fragility is a multidimensional condition, reflected through interconnected factors including inadequate emergency savings, high credit and debt stress, difficulty balancing expenses and income, financial anxiety, and low financial literacy. Evidence from NFCS-based and related studies further demonstrates that these dimensions can be combined into statistically robust composite indices, rather than relying on any single indicator. Building on this foundation, our use of PCA to develop an index follows an established empirical approach, providing a more accurate representation of the underlying vulnerability that households face. Accordingly, our index offers a comprehensive and data-driven measure that captures the true complexity of financial fragility more effectively than individual variables could.</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THEORETICAL FRAMEWORK</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Building on the literature review discussed above, this section discusses the economic mechanisms through which inflation influences households' financial fragility. As we have established financial fragility as a multidimensional factor that includes both subjective and objective conditions, we now explain the theoretical pathways that link fragility to inflation, using the 6 fragility components from the NFCS (expenses–income balance, emergency funds and liquidity, financial anxiety, credit card stress, savings behaviour, and financial literacy). Prior research also indicates that all these dimensions are influenced by macroeconomic shocks, particularly unexpected price increases.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4280"/>
      </w:tblGrid>
      <w:tr>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Dimension</w:t>
            </w:r>
          </w:p>
        </w:tc>
        <w:tc>
          <w:tcPr>
            <w:tcW w:type="dxa" w:w="3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Inflation Channel</w:t>
            </w:r>
          </w:p>
        </w:tc>
        <w:tc>
          <w:tcPr>
            <w:tcW w:type="dxa" w:w="42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Transmission Pathway</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Expenses–Income Balance</w:t>
            </w:r>
          </w:p>
        </w:tc>
        <w:tc>
          <w:tcPr>
            <w:tcW w:type="dxa" w:w="3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reduces real household income when prices rise faster than wages</w:t>
            </w:r>
          </w:p>
        </w:tc>
        <w:tc>
          <w:tcPr>
            <w:tcW w:type="dxa" w:w="4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 → Real income ↓ → Monthly budget pressure ↑ → Fragility ↑</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Emergency Funds</w:t>
            </w:r>
          </w:p>
        </w:tc>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erodes real value of savings and reduces ability to save</w:t>
            </w:r>
          </w:p>
        </w:tc>
        <w:tc>
          <w:tcPr>
            <w:tcW w:type="dxa" w:w="4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 → Cost of living ↑ → Savings capacity ↓ → Emergency funds ↓ → Fragility ↑</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Financial Anxiety</w:t>
            </w:r>
          </w:p>
        </w:tc>
        <w:tc>
          <w:tcPr>
            <w:tcW w:type="dxa" w:w="3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Uncertainty about future prices, affordability, and job stability heightens anxiety</w:t>
            </w:r>
          </w:p>
        </w:tc>
        <w:tc>
          <w:tcPr>
            <w:tcW w:type="dxa" w:w="4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 → Economic uncertainty ↑ → Financial anxiety &amp; stress ↑ → Fragility ↑</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Credit Card Stress</w:t>
            </w:r>
          </w:p>
        </w:tc>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Budget stress → greater reliance on credit → higher interest, late fees, debt stress</w:t>
            </w:r>
          </w:p>
        </w:tc>
        <w:tc>
          <w:tcPr>
            <w:tcW w:type="dxa" w:w="4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 → Budget deficits ↑ → Credit reliance ↑ → Debt stress ↑ → Fragility ↑</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Savings Behaviour</w:t>
            </w:r>
          </w:p>
        </w:tc>
        <w:tc>
          <w:tcPr>
            <w:tcW w:type="dxa" w:w="3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reduces real value of accumulated funds; shifts funds to necessities</w:t>
            </w:r>
          </w:p>
        </w:tc>
        <w:tc>
          <w:tcPr>
            <w:tcW w:type="dxa" w:w="4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 → Essential expenses ↑ → Savings rate ↓ → Liquidity constraints ↑ → Fragility ↑</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Financial Literacy</w:t>
            </w:r>
          </w:p>
        </w:tc>
        <w:tc>
          <w:tcPr>
            <w:tcW w:type="dxa" w:w="3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Higher literacy → better preparedness, efficient budgeting, lower reliance on high-cost borrowing</w:t>
            </w:r>
          </w:p>
        </w:tc>
        <w:tc>
          <w:tcPr>
            <w:tcW w:type="dxa" w:w="4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Financial literacy ↑ → Better decisions &amp; adaptation → Fragility ↓</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i. Expenses–Income Balance</w:t>
      </w:r>
    </w:p>
    <w:p>
      <w:pPr>
        <w:spacing w:before="0" w:after="80" w:line="276"/>
        <w:jc w:val="left"/>
      </w:pPr>
      <w:r>
        <w:rPr>
          <w:rFonts w:ascii="Arial" w:cs="Arial" w:eastAsia="Arial" w:hAnsi="Arial"/>
          <w:b w:val="false"/>
          <w:bCs w:val="false"/>
          <w:i w:val="false"/>
          <w:iCs w:val="false"/>
          <w:color w:val="222222"/>
          <w:sz w:val="20"/>
          <w:szCs w:val="20"/>
        </w:rPr>
        <w:t xml:space="preserve">Inflation reduces real household income when prices rise faster than wages. As the cost of essentials and necessities rises, this puts a strain on households' income, reducing their discretionary spending and savings. Research shows that households that have thin margins experience even higher pressure as inflation increases, as their spending ability is limited and further depleted. [Lusardi et al. (2011); GFLEC (2019)]</w:t>
      </w:r>
    </w:p>
    <w:p>
      <w:pPr>
        <w:spacing w:before="80" w:after="40" w:line="276"/>
        <w:jc w:val="left"/>
      </w:pPr>
      <w:r>
        <w:rPr>
          <w:rFonts w:ascii="Arial" w:cs="Arial" w:eastAsia="Arial" w:hAnsi="Arial"/>
          <w:b/>
          <w:bCs/>
          <w:i w:val="false"/>
          <w:iCs w:val="false"/>
          <w:color w:val="0D4F6C"/>
          <w:sz w:val="21"/>
          <w:szCs w:val="21"/>
        </w:rPr>
        <w:t xml:space="preserve">ii. Emergency Funds</w:t>
      </w:r>
    </w:p>
    <w:p>
      <w:pPr>
        <w:spacing w:before="0" w:after="80" w:line="276"/>
        <w:jc w:val="left"/>
      </w:pPr>
      <w:r>
        <w:rPr>
          <w:rFonts w:ascii="Arial" w:cs="Arial" w:eastAsia="Arial" w:hAnsi="Arial"/>
          <w:b w:val="false"/>
          <w:bCs w:val="false"/>
          <w:i w:val="false"/>
          <w:iCs w:val="false"/>
          <w:color w:val="222222"/>
          <w:sz w:val="20"/>
          <w:szCs w:val="20"/>
        </w:rPr>
        <w:t xml:space="preserve">Emergency funds act as a buffer during periods of financial shocks, like inflation. Inflation weakens this buffer by eroding the real value of the savings and by reducing the ability to save. Studies show that increasing living costs (inflation) reduces the likelihood of accumulating savings or an emergency fund, and simultaneously, households that lack an emergency fund are more fragile. [GFLEC (2019); Lusardi et al. (2011)]</w:t>
      </w:r>
    </w:p>
    <w:p>
      <w:pPr>
        <w:spacing w:before="80" w:after="40" w:line="276"/>
        <w:jc w:val="left"/>
      </w:pPr>
      <w:r>
        <w:rPr>
          <w:rFonts w:ascii="Arial" w:cs="Arial" w:eastAsia="Arial" w:hAnsi="Arial"/>
          <w:b/>
          <w:bCs/>
          <w:i w:val="false"/>
          <w:iCs w:val="false"/>
          <w:color w:val="0D4F6C"/>
          <w:sz w:val="21"/>
          <w:szCs w:val="21"/>
        </w:rPr>
        <w:t xml:space="preserve">iii. Financial Anxiety</w:t>
      </w:r>
    </w:p>
    <w:p>
      <w:pPr>
        <w:spacing w:before="0" w:after="80" w:line="276"/>
        <w:jc w:val="left"/>
      </w:pPr>
      <w:r>
        <w:rPr>
          <w:rFonts w:ascii="Arial" w:cs="Arial" w:eastAsia="Arial" w:hAnsi="Arial"/>
          <w:b w:val="false"/>
          <w:bCs w:val="false"/>
          <w:i w:val="false"/>
          <w:iCs w:val="false"/>
          <w:color w:val="222222"/>
          <w:sz w:val="20"/>
          <w:szCs w:val="20"/>
        </w:rPr>
        <w:t xml:space="preserve">Financial stress and anxiety are subjective dimensions of financial fragility, influenced by both objective factors, such as income and liquidity, and subjective factors, including expectations and perceived control. During periods of inflation, uncertainty about future prices, affordability of necessities, and job stability all contribute to heightened financial anxiety. Evidence from recent inflation periods also shows a strong relationship between inflation-related issues and financial stress and anxiety. [Louie et al. (2023), GFLEC financial stress reports (2020–2021)]</w:t>
      </w:r>
    </w:p>
    <w:p>
      <w:pPr>
        <w:spacing w:before="80" w:after="40" w:line="276"/>
        <w:jc w:val="left"/>
      </w:pPr>
      <w:r>
        <w:rPr>
          <w:rFonts w:ascii="Arial" w:cs="Arial" w:eastAsia="Arial" w:hAnsi="Arial"/>
          <w:b/>
          <w:bCs/>
          <w:i w:val="false"/>
          <w:iCs w:val="false"/>
          <w:color w:val="0D4F6C"/>
          <w:sz w:val="21"/>
          <w:szCs w:val="21"/>
        </w:rPr>
        <w:t xml:space="preserve">iv. Credit Card Stress</w:t>
      </w:r>
    </w:p>
    <w:p>
      <w:pPr>
        <w:spacing w:before="0" w:after="80" w:line="276"/>
        <w:jc w:val="left"/>
      </w:pPr>
      <w:r>
        <w:rPr>
          <w:rFonts w:ascii="Arial" w:cs="Arial" w:eastAsia="Arial" w:hAnsi="Arial"/>
          <w:b w:val="false"/>
          <w:bCs w:val="false"/>
          <w:i w:val="false"/>
          <w:iCs w:val="false"/>
          <w:color w:val="222222"/>
          <w:sz w:val="20"/>
          <w:szCs w:val="20"/>
        </w:rPr>
        <w:t xml:space="preserve">As inflation creates increased stress on household budgets, households tend to rely more on credit cards to cover expenses. The increased use of credit cards during periods of financial hardship leads to higher interest payments, late fees, and debt stress, ultimately increasing financial fragility. Research on U.S. households shows that credit card stress is strongly correlated with financial hardships, particularly during economic downturns. [GFLEC (2019), Lusardi et al. (2011)]</w:t>
      </w:r>
    </w:p>
    <w:p>
      <w:pPr>
        <w:spacing w:before="80" w:after="40" w:line="276"/>
        <w:jc w:val="left"/>
      </w:pPr>
      <w:r>
        <w:rPr>
          <w:rFonts w:ascii="Arial" w:cs="Arial" w:eastAsia="Arial" w:hAnsi="Arial"/>
          <w:b/>
          <w:bCs/>
          <w:i w:val="false"/>
          <w:iCs w:val="false"/>
          <w:color w:val="0D4F6C"/>
          <w:sz w:val="21"/>
          <w:szCs w:val="21"/>
        </w:rPr>
        <w:t xml:space="preserve">v. Savings Behaviour</w:t>
      </w:r>
    </w:p>
    <w:p>
      <w:pPr>
        <w:spacing w:before="0" w:after="80" w:line="276"/>
        <w:jc w:val="left"/>
      </w:pPr>
      <w:r>
        <w:rPr>
          <w:rFonts w:ascii="Arial" w:cs="Arial" w:eastAsia="Arial" w:hAnsi="Arial"/>
          <w:b w:val="false"/>
          <w:bCs w:val="false"/>
          <w:i w:val="false"/>
          <w:iCs w:val="false"/>
          <w:color w:val="222222"/>
          <w:sz w:val="20"/>
          <w:szCs w:val="20"/>
        </w:rPr>
        <w:t xml:space="preserve">Savings behaviour reflects financial capacity, future prospects, and economic conditions. Inflation reduces the real value of accumulated funds, decreases the ability to save, and shifts a majority of household funds into necessities. This thereby reduces liquidity and increases vulnerability to financial shocks, increasing financial fragility. Empirical evidence shows that households with larger liquidity buffers or precautionary savings are more resilient to income or economic shocks, reducing the risk of financial fragility. [Baker (2023), Kim et al. 2024]</w:t>
      </w:r>
    </w:p>
    <w:p>
      <w:pPr>
        <w:spacing w:before="80" w:after="40" w:line="276"/>
        <w:jc w:val="left"/>
      </w:pPr>
      <w:r>
        <w:rPr>
          <w:rFonts w:ascii="Arial" w:cs="Arial" w:eastAsia="Arial" w:hAnsi="Arial"/>
          <w:b/>
          <w:bCs/>
          <w:i w:val="false"/>
          <w:iCs w:val="false"/>
          <w:color w:val="0D4F6C"/>
          <w:sz w:val="21"/>
          <w:szCs w:val="21"/>
        </w:rPr>
        <w:t xml:space="preserve">vi. Financial Literacy</w:t>
      </w:r>
    </w:p>
    <w:p>
      <w:pPr>
        <w:spacing w:before="0" w:after="80" w:line="276"/>
        <w:jc w:val="left"/>
      </w:pPr>
      <w:r>
        <w:rPr>
          <w:rFonts w:ascii="Arial" w:cs="Arial" w:eastAsia="Arial" w:hAnsi="Arial"/>
          <w:b w:val="false"/>
          <w:bCs w:val="false"/>
          <w:i w:val="false"/>
          <w:iCs w:val="false"/>
          <w:color w:val="222222"/>
          <w:sz w:val="20"/>
          <w:szCs w:val="20"/>
        </w:rPr>
        <w:t xml:space="preserve">Financial Literacy explains how individuals interpret inflation, adjust spending and investments, and plan for the future. Higher literacy is associated with better preparedness for shocks, efficient budgeting, and lower reliance on high-cost borrowing. Research says that during periods of financial stress, people with higher financial literacy are better positioned to deal with it, compared to ones with low literacy, who face greater risk of mismanaging resources. [OECD/INFE (2020), Liu et al. (2024)]</w:t>
      </w:r>
    </w:p>
    <w:p>
      <w:pPr>
        <w:spacing w:before="0" w:after="80" w:line="276"/>
        <w:jc w:val="left"/>
      </w:pPr>
      <w:r>
        <w:rPr>
          <w:rFonts w:ascii="Arial" w:cs="Arial" w:eastAsia="Arial" w:hAnsi="Arial"/>
          <w:b w:val="false"/>
          <w:bCs w:val="false"/>
          <w:i w:val="false"/>
          <w:iCs w:val="false"/>
          <w:color w:val="222222"/>
          <w:sz w:val="20"/>
          <w:szCs w:val="20"/>
        </w:rPr>
        <w:t xml:space="preserve">Across all six components, inflation operates through consistent channels: eroding real income, reducing liquidity, degrading savings, increasing reliance on debt, and heightening financial stress. Because these mechanisms interact rather than act in isolation, financial fragility is most appropriately measured as a composite, multidimensional construct. This theoretical reasoning supports the use of a PCA-based fragility index, which captures underlying vulnerability more effectively than individual variables.</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REGRESSION MODEL</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This section outlines the empirical framework used to identify whether household financial fragility in the United States changed after 2021 and whether inflation became a stronger determinant of fragility in the post-pandemic period. We detail the data sources, construction of the fragility index, regression specification, control variables, identification logic, and robustness tests.</w:t>
      </w:r>
    </w:p>
    <w:p>
      <w:pPr>
        <w:spacing w:before="80" w:after="40" w:line="276"/>
        <w:jc w:val="left"/>
      </w:pPr>
      <w:r>
        <w:rPr>
          <w:rFonts w:ascii="Arial" w:cs="Arial" w:eastAsia="Arial" w:hAnsi="Arial"/>
          <w:b/>
          <w:bCs/>
          <w:i w:val="false"/>
          <w:iCs w:val="false"/>
          <w:color w:val="0D4F6C"/>
          <w:sz w:val="21"/>
          <w:szCs w:val="21"/>
        </w:rPr>
        <w:t xml:space="preserve">a. Data Sources and Structure</w:t>
      </w:r>
    </w:p>
    <w:p>
      <w:pPr>
        <w:spacing w:before="0" w:after="80" w:line="276"/>
        <w:jc w:val="left"/>
      </w:pPr>
      <w:r>
        <w:rPr>
          <w:rFonts w:ascii="Arial" w:cs="Arial" w:eastAsia="Arial" w:hAnsi="Arial"/>
          <w:b w:val="false"/>
          <w:bCs w:val="false"/>
          <w:i w:val="false"/>
          <w:iCs w:val="false"/>
          <w:color w:val="222222"/>
          <w:sz w:val="20"/>
          <w:szCs w:val="20"/>
        </w:rPr>
        <w:t xml:space="preserve">Our analysis draws on two primary data sources:</w:t>
      </w:r>
    </w:p>
    <w:p>
      <w:pPr>
        <w:spacing w:before="30" w:after="80" w:line="276"/>
        <w:jc w:val="left"/>
      </w:pPr>
      <w:r>
        <w:rPr>
          <w:rFonts w:ascii="Arial" w:cs="Arial" w:eastAsia="Arial" w:hAnsi="Arial"/>
          <w:b/>
          <w:bCs/>
          <w:i w:val="false"/>
          <w:iCs w:val="false"/>
          <w:color w:val="222222"/>
          <w:sz w:val="20"/>
          <w:szCs w:val="20"/>
        </w:rPr>
        <w:t xml:space="preserve">1. National Financial Capability Study (NFCS), 2009–2024</w:t>
      </w:r>
    </w:p>
    <w:p>
      <w:pPr>
        <w:spacing w:before="0" w:after="80" w:line="276"/>
        <w:jc w:val="left"/>
      </w:pPr>
      <w:r>
        <w:rPr>
          <w:rFonts w:ascii="Arial" w:cs="Arial" w:eastAsia="Arial" w:hAnsi="Arial"/>
          <w:b w:val="false"/>
          <w:bCs w:val="false"/>
          <w:i w:val="false"/>
          <w:iCs w:val="false"/>
          <w:color w:val="222222"/>
          <w:sz w:val="20"/>
          <w:szCs w:val="20"/>
        </w:rPr>
        <w:t xml:space="preserve">A nationally representative repeated cross-sectional survey providing rich household-level data on: financial behaviors, savings and credit management, debt repayment, subjective financial stress, and demographic characteristics. We use the 2012, 2015, 2018, 2021, and 2024 waves from the cleaned control-variable datasets, ensuring consistent variable definitions across years.</w:t>
      </w:r>
    </w:p>
    <w:p>
      <w:pPr>
        <w:spacing w:before="30" w:after="80" w:line="276"/>
        <w:jc w:val="left"/>
      </w:pPr>
      <w:r>
        <w:rPr>
          <w:rFonts w:ascii="Arial" w:cs="Arial" w:eastAsia="Arial" w:hAnsi="Arial"/>
          <w:b/>
          <w:bCs/>
          <w:i w:val="false"/>
          <w:iCs w:val="false"/>
          <w:color w:val="222222"/>
          <w:sz w:val="20"/>
          <w:szCs w:val="20"/>
        </w:rPr>
        <w:t xml:space="preserve">2. FRED (Federal Reserve Economic Data)</w:t>
      </w:r>
    </w:p>
    <w:p>
      <w:pPr>
        <w:spacing w:before="0" w:after="80" w:line="276"/>
        <w:jc w:val="left"/>
      </w:pPr>
      <w:r>
        <w:rPr>
          <w:rFonts w:ascii="Arial" w:cs="Arial" w:eastAsia="Arial" w:hAnsi="Arial"/>
          <w:b w:val="false"/>
          <w:bCs w:val="false"/>
          <w:i w:val="false"/>
          <w:iCs w:val="false"/>
          <w:color w:val="222222"/>
          <w:sz w:val="20"/>
          <w:szCs w:val="20"/>
        </w:rPr>
        <w:t xml:space="preserve">Annual CPI inflation values (All Items, U.S.), merged with NFCS data by survey year.</w:t>
      </w:r>
    </w:p>
    <w:p>
      <w:pPr>
        <w:spacing w:before="40" w:after="80" w:line="276"/>
        <w:jc w:val="left"/>
      </w:pPr>
      <w:r>
        <w:rPr>
          <w:rFonts w:ascii="Arial" w:cs="Arial" w:eastAsia="Arial" w:hAnsi="Arial"/>
          <w:b/>
          <w:bCs/>
          <w:i w:val="false"/>
          <w:iCs w:val="false"/>
          <w:color w:val="222222"/>
          <w:sz w:val="20"/>
          <w:szCs w:val="20"/>
        </w:rPr>
        <w:t xml:space="preserve">Policy-Relevant Time Dummy:</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Post2021 = 1 for years 2021 and 2024</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Post2021 = 0 for all years before 2021</w:t>
      </w:r>
    </w:p>
    <w:p>
      <w:pPr>
        <w:spacing w:before="20" w:after="80" w:line="276"/>
        <w:jc w:val="left"/>
      </w:pPr>
      <w:r>
        <w:rPr>
          <w:rFonts w:ascii="Arial" w:cs="Arial" w:eastAsia="Arial" w:hAnsi="Arial"/>
          <w:b w:val="false"/>
          <w:bCs w:val="false"/>
          <w:i w:val="false"/>
          <w:iCs w:val="false"/>
          <w:color w:val="222222"/>
          <w:sz w:val="20"/>
          <w:szCs w:val="20"/>
        </w:rPr>
        <w:t xml:space="preserve">This captures the structural break associated with the post-pandemic surge in inflation. Together, these sources allow us to evaluate how fragility evolves in response to macroeconomic shocks over time.</w:t>
      </w:r>
    </w:p>
    <w:p>
      <w:pPr>
        <w:spacing w:before="80" w:after="40" w:line="276"/>
        <w:jc w:val="left"/>
      </w:pPr>
      <w:r>
        <w:rPr>
          <w:rFonts w:ascii="Arial" w:cs="Arial" w:eastAsia="Arial" w:hAnsi="Arial"/>
          <w:b/>
          <w:bCs/>
          <w:i w:val="false"/>
          <w:iCs w:val="false"/>
          <w:color w:val="0D4F6C"/>
          <w:sz w:val="21"/>
          <w:szCs w:val="21"/>
        </w:rPr>
        <w:t xml:space="preserve">b. Construction of the Financial Fragility Index (PCA)</w:t>
      </w:r>
    </w:p>
    <w:p>
      <w:pPr>
        <w:spacing w:before="0" w:after="80" w:line="276"/>
        <w:jc w:val="left"/>
      </w:pPr>
      <w:r>
        <w:rPr>
          <w:rFonts w:ascii="Arial" w:cs="Arial" w:eastAsia="Arial" w:hAnsi="Arial"/>
          <w:b w:val="false"/>
          <w:bCs w:val="false"/>
          <w:i w:val="false"/>
          <w:iCs w:val="false"/>
          <w:color w:val="222222"/>
          <w:sz w:val="20"/>
          <w:szCs w:val="20"/>
        </w:rPr>
        <w:t xml:space="preserve">Financial fragility is multidimensional, spanning liquidity constraints, high-cost borrowing, savings insufficiency, and self-reported financial stress. To capture this complexity, we construct a Financial Fragility Index using Principal Component Analysis (PCA) on the following recoded NFCS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600"/>
        <w:gridCol w:w="3480"/>
      </w:tblGrid>
      <w:tr>
        <w:tc>
          <w:tcPr>
            <w:tcW w:type="dxa" w:w="1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NFCS Variable</w:t>
            </w:r>
          </w:p>
        </w:tc>
        <w:tc>
          <w:tcPr>
            <w:tcW w:type="dxa" w:w="1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Short Label</w:t>
            </w:r>
          </w:p>
        </w:tc>
        <w:tc>
          <w:tcPr>
            <w:tcW w:type="dxa" w:w="36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What the Question Measures</w:t>
            </w:r>
          </w:p>
        </w:tc>
        <w:tc>
          <w:tcPr>
            <w:tcW w:type="dxa" w:w="34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Why Included in PCA</w:t>
            </w:r>
          </w:p>
        </w:tc>
      </w:tr>
      <w:tr>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J3</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expincbal</w:t>
            </w:r>
          </w:p>
        </w:tc>
        <w:tc>
          <w:tcPr>
            <w:tcW w:type="dxa" w:w="3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Whether expenses exceed income</w:t>
            </w:r>
          </w:p>
        </w:tc>
        <w:tc>
          <w:tcPr>
            <w:tcW w:type="dxa" w:w="3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Core indicator of structural financial imbalance</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J4</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expincbal</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Difficulty covering monthly bills</w:t>
            </w:r>
          </w:p>
        </w:tc>
        <w:tc>
          <w:tcPr>
            <w:tcW w:type="dxa" w:w="3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Strong predictor of short-term fragility</w:t>
            </w:r>
          </w:p>
        </w:tc>
      </w:tr>
      <w:tr>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J5</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emerfund</w:t>
            </w:r>
          </w:p>
        </w:tc>
        <w:tc>
          <w:tcPr>
            <w:tcW w:type="dxa" w:w="3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Availability of an emergency fund</w:t>
            </w:r>
          </w:p>
        </w:tc>
        <w:tc>
          <w:tcPr>
            <w:tcW w:type="dxa" w:w="3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Lack of savings increases vulnerability</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G23</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finanxiety</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Financial anxiety / confidence</w:t>
            </w:r>
          </w:p>
        </w:tc>
        <w:tc>
          <w:tcPr>
            <w:tcW w:type="dxa" w:w="3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Captures subjective dimension of fragility</w:t>
            </w:r>
          </w:p>
        </w:tc>
      </w:tr>
      <w:tr>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F2_2</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credcardstr</w:t>
            </w:r>
          </w:p>
        </w:tc>
        <w:tc>
          <w:tcPr>
            <w:tcW w:type="dxa" w:w="3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Use of payday/auto-title loans</w:t>
            </w:r>
          </w:p>
        </w:tc>
        <w:tc>
          <w:tcPr>
            <w:tcW w:type="dxa" w:w="3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Indicates desperation borrowing</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F2_3</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credcardstr</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Use of pawn loans</w:t>
            </w:r>
          </w:p>
        </w:tc>
        <w:tc>
          <w:tcPr>
            <w:tcW w:type="dxa" w:w="3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Reflects acute cash-flow stress</w:t>
            </w:r>
          </w:p>
        </w:tc>
      </w:tr>
      <w:tr>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F2_4</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credcardstr</w:t>
            </w:r>
          </w:p>
        </w:tc>
        <w:tc>
          <w:tcPr>
            <w:tcW w:type="dxa" w:w="3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Refund/anticipation and high-fee loans</w:t>
            </w:r>
          </w:p>
        </w:tc>
        <w:tc>
          <w:tcPr>
            <w:tcW w:type="dxa" w:w="3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Signals chronic financial constraint</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J8</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savings</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Missed payments or overdrafts</w:t>
            </w:r>
          </w:p>
        </w:tc>
        <w:tc>
          <w:tcPr>
            <w:tcW w:type="dxa" w:w="3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Direct measure of liquidity failure</w:t>
            </w:r>
          </w:p>
        </w:tc>
      </w:tr>
      <w:tr>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J9</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savings</w:t>
            </w:r>
          </w:p>
        </w:tc>
        <w:tc>
          <w:tcPr>
            <w:tcW w:type="dxa" w:w="3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Emergency withdrawals or lack of liquid savings</w:t>
            </w:r>
          </w:p>
        </w:tc>
        <w:tc>
          <w:tcPr>
            <w:tcW w:type="dxa" w:w="3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Indicates inability to withstand shocks</w:t>
            </w:r>
          </w:p>
        </w:tc>
      </w:tr>
      <w:tr>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B2</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savings</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Ability to save regularly</w:t>
            </w:r>
          </w:p>
        </w:tc>
        <w:tc>
          <w:tcPr>
            <w:tcW w:type="dxa" w:w="34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Low saving frequency reflects ongoing fragility</w:t>
            </w:r>
          </w:p>
        </w:tc>
      </w:tr>
      <w:tr>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M4</w:t>
            </w:r>
          </w:p>
        </w:tc>
        <w:tc>
          <w:tcPr>
            <w:tcW w:type="dxa" w:w="1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literacy</w:t>
            </w:r>
          </w:p>
        </w:tc>
        <w:tc>
          <w:tcPr>
            <w:tcW w:type="dxa" w:w="36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Understanding of financial concepts</w:t>
            </w:r>
          </w:p>
        </w:tc>
        <w:tc>
          <w:tcPr>
            <w:tcW w:type="dxa" w:w="34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Lower literacy increases fragility risk</w:t>
            </w:r>
          </w:p>
        </w:tc>
      </w:tr>
    </w:tbl>
    <w:p>
      <w:pPr>
        <w:spacing w:before="3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Recoding and PCA Construction: All variables are recoded so higher values = greater fragility. Variables are standardised (z-scores). PCA is run on the correlation matrix. The first principal component (PC1) is retained and used as the Financial Fragility Index, as it captures the largest shared variance across these indicators.</w:t>
      </w:r>
    </w:p>
    <w:p>
      <w:pPr>
        <w:spacing w:before="80" w:after="40" w:line="276"/>
        <w:jc w:val="left"/>
      </w:pPr>
      <w:r>
        <w:rPr>
          <w:rFonts w:ascii="Arial" w:cs="Arial" w:eastAsia="Arial" w:hAnsi="Arial"/>
          <w:b/>
          <w:bCs/>
          <w:i w:val="false"/>
          <w:iCs w:val="false"/>
          <w:color w:val="0D4F6C"/>
          <w:sz w:val="21"/>
          <w:szCs w:val="21"/>
        </w:rPr>
        <w:t xml:space="preserve">c. Regression Equation (Main Model)</w:t>
      </w:r>
    </w:p>
    <w:p>
      <w:pPr>
        <w:spacing w:before="0" w:after="80" w:line="276"/>
        <w:jc w:val="left"/>
      </w:pPr>
      <w:r>
        <w:rPr>
          <w:rFonts w:ascii="Arial" w:cs="Arial" w:eastAsia="Arial" w:hAnsi="Arial"/>
          <w:b w:val="false"/>
          <w:bCs w:val="false"/>
          <w:i w:val="false"/>
          <w:iCs w:val="false"/>
          <w:color w:val="222222"/>
          <w:sz w:val="20"/>
          <w:szCs w:val="20"/>
        </w:rPr>
        <w:t xml:space="preserve">To estimate the effect of inflation on financial fragility and test for a structural break after 2021, we estimate the following model:</w:t>
      </w:r>
    </w:p>
    <w:p>
      <w:pPr>
        <w:spacing w:before="20" w:after="80" w:line="240"/>
        <w:jc w:val="left"/>
      </w:pPr>
      <w:r>
        <w:rPr>
          <w:rFonts w:ascii="Arial" w:cs="Arial" w:eastAsia="Arial" w:hAnsi="Arial"/>
          <w:b w:val="false"/>
          <w:bCs w:val="false"/>
          <w:i w:val="false"/>
          <w:iCs w:val="false"/>
          <w:color w:val="222222"/>
          <w:sz w:val="20"/>
          <w:szCs w:val="20"/>
        </w:rPr>
        <w:t xml:space="preserve"/>
      </w:r>
    </w:p>
    <w:p>
      <w:pPr>
        <w:spacing w:before="20" w:after="80" w:line="276"/>
        <w:jc w:val="center"/>
      </w:pPr>
      <w:r>
        <w:rPr>
          <w:rFonts w:ascii="Arial" w:cs="Arial" w:eastAsia="Arial" w:hAnsi="Arial"/>
          <w:b/>
          <w:bCs/>
          <w:i w:val="false"/>
          <w:iCs w:val="false"/>
          <w:color w:val="0D4F6C"/>
          <w:sz w:val="19"/>
          <w:szCs w:val="19"/>
        </w:rPr>
        <w:t xml:space="preserve">FFI_it = α + β₁ Inflationₜ + β₂ Post2021ₜ + β₃ (Inflationₜ × Post2021ₜ)</w:t>
      </w:r>
    </w:p>
    <w:p>
      <w:pPr>
        <w:spacing w:before="0" w:after="80" w:line="276"/>
        <w:jc w:val="center"/>
      </w:pPr>
      <w:r>
        <w:rPr>
          <w:rFonts w:ascii="Arial" w:cs="Arial" w:eastAsia="Arial" w:hAnsi="Arial"/>
          <w:b w:val="false"/>
          <w:bCs w:val="false"/>
          <w:i w:val="false"/>
          <w:iCs w:val="false"/>
          <w:color w:val="0D4F6C"/>
          <w:sz w:val="19"/>
          <w:szCs w:val="19"/>
        </w:rPr>
        <w:t xml:space="preserve">+ β₄ Ageit + β₅ Genderit + β₆ Educationit + β₇ Incomeit</w:t>
      </w:r>
    </w:p>
    <w:p>
      <w:pPr>
        <w:spacing w:before="0" w:after="80" w:line="276"/>
        <w:jc w:val="center"/>
      </w:pPr>
      <w:r>
        <w:rPr>
          <w:rFonts w:ascii="Arial" w:cs="Arial" w:eastAsia="Arial" w:hAnsi="Arial"/>
          <w:b w:val="false"/>
          <w:bCs w:val="false"/>
          <w:i w:val="false"/>
          <w:iCs w:val="false"/>
          <w:color w:val="0D4F6C"/>
          <w:sz w:val="19"/>
          <w:szCs w:val="19"/>
        </w:rPr>
        <w:t xml:space="preserve">+ β₈ EmploymentStatusit + β₉ MaritalStatusit + β₁₀ Raceit</w:t>
      </w:r>
    </w:p>
    <w:p>
      <w:pPr>
        <w:spacing w:before="0" w:after="30" w:line="276"/>
        <w:jc w:val="center"/>
      </w:pPr>
      <w:r>
        <w:rPr>
          <w:rFonts w:ascii="Arial" w:cs="Arial" w:eastAsia="Arial" w:hAnsi="Arial"/>
          <w:b w:val="false"/>
          <w:bCs w:val="false"/>
          <w:i w:val="false"/>
          <w:iCs w:val="false"/>
          <w:color w:val="0D4F6C"/>
          <w:sz w:val="19"/>
          <w:szCs w:val="19"/>
        </w:rPr>
        <w:t xml:space="preserve">+ β₁₁ Regionit + β₁₂ HasChildrenit + β₁₃ HousingStatusit + εit</w:t>
      </w:r>
    </w:p>
    <w:p>
      <w:pPr>
        <w:spacing w:before="30" w:after="80" w:line="276"/>
        <w:jc w:val="left"/>
      </w:pPr>
      <w:r>
        <w:rPr>
          <w:rFonts w:ascii="Arial" w:cs="Arial" w:eastAsia="Arial" w:hAnsi="Arial"/>
          <w:b/>
          <w:bCs/>
          <w:i w:val="false"/>
          <w:iCs w:val="false"/>
          <w:color w:val="222222"/>
          <w:sz w:val="20"/>
          <w:szCs w:val="20"/>
        </w:rPr>
        <w:t xml:space="preserve">Interpretation of Key Coefficients:</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β₁: Relationship between inflation and fragility before 2021</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β₂: Baseline difference in fragility between pre- and post-2021</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β₃: Whether inflation's effect on fragility becomes stronger after 2021</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γ coefficients: Effects of demographic and socioeconomic controls</w:t>
      </w:r>
    </w:p>
    <w:p>
      <w:pPr>
        <w:spacing w:before="80" w:after="40" w:line="276"/>
        <w:jc w:val="left"/>
      </w:pPr>
      <w:r>
        <w:rPr>
          <w:rFonts w:ascii="Arial" w:cs="Arial" w:eastAsia="Arial" w:hAnsi="Arial"/>
          <w:b/>
          <w:bCs/>
          <w:i w:val="false"/>
          <w:iCs w:val="false"/>
          <w:color w:val="0D4F6C"/>
          <w:sz w:val="21"/>
          <w:szCs w:val="21"/>
        </w:rPr>
        <w:t xml:space="preserve">d. Justification of Control Variables</w:t>
      </w:r>
    </w:p>
    <w:p>
      <w:pPr>
        <w:spacing w:before="0" w:after="80" w:line="276"/>
        <w:jc w:val="left"/>
      </w:pPr>
      <w:r>
        <w:rPr>
          <w:rFonts w:ascii="Arial" w:cs="Arial" w:eastAsia="Arial" w:hAnsi="Arial"/>
          <w:b w:val="false"/>
          <w:bCs w:val="false"/>
          <w:i w:val="false"/>
          <w:iCs w:val="false"/>
          <w:color w:val="222222"/>
          <w:sz w:val="20"/>
          <w:szCs w:val="20"/>
        </w:rPr>
        <w:t xml:space="preserve">To avoid omitted-variable bias, we include harmonised control variables from the NFCS across all waves: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5280"/>
      </w:tblGrid>
      <w:tr>
        <w:tc>
          <w:tcPr>
            <w:tcW w:type="dxa" w:w="28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Control Variable</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NFCS Code</w:t>
            </w:r>
          </w:p>
        </w:tc>
        <w:tc>
          <w:tcPr>
            <w:tcW w:type="dxa" w:w="52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Why Included</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Age</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A3Ar_w</w:t>
            </w:r>
          </w:p>
        </w:tc>
        <w:tc>
          <w:tcPr>
            <w:tcW w:type="dxa" w:w="5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Captures lifecycle financial patterns</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Gender</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A3</w:t>
            </w:r>
          </w:p>
        </w:tc>
        <w:tc>
          <w:tcPr>
            <w:tcW w:type="dxa" w:w="5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Adjusts for gender-based financial differences</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Education</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A5</w:t>
            </w:r>
          </w:p>
        </w:tc>
        <w:tc>
          <w:tcPr>
            <w:tcW w:type="dxa" w:w="5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Higher education → more financial resilience</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Income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A8 / A8_2021</w:t>
            </w:r>
          </w:p>
        </w:tc>
        <w:tc>
          <w:tcPr>
            <w:tcW w:type="dxa" w:w="5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Determines ability to absorb inflation shocks</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Employment Status</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A9</w:t>
            </w:r>
          </w:p>
        </w:tc>
        <w:tc>
          <w:tcPr>
            <w:tcW w:type="dxa" w:w="5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Short-term economic stability</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Marital Status</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A6</w:t>
            </w:r>
          </w:p>
        </w:tc>
        <w:tc>
          <w:tcPr>
            <w:tcW w:type="dxa" w:w="5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Dual-income and pooling effects</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Race</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A4A_new_w</w:t>
            </w:r>
          </w:p>
        </w:tc>
        <w:tc>
          <w:tcPr>
            <w:tcW w:type="dxa" w:w="5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Structural inequalities affecting financial vulnerability</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Region</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CENSUSREG</w:t>
            </w:r>
          </w:p>
        </w:tc>
        <w:tc>
          <w:tcPr>
            <w:tcW w:type="dxa" w:w="5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Geographic variation in cost of living and economy</w:t>
            </w:r>
          </w:p>
        </w:tc>
      </w:tr>
      <w:tr>
        <w:tc>
          <w:tcPr>
            <w:tcW w:type="dxa" w:w="28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Has Children</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A11</w:t>
            </w:r>
          </w:p>
        </w:tc>
        <w:tc>
          <w:tcPr>
            <w:tcW w:type="dxa" w:w="52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Households with dependents face higher baseline expenses</w:t>
            </w:r>
          </w:p>
        </w:tc>
      </w:tr>
      <w:tr>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Housing Status</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A7</w:t>
            </w:r>
          </w:p>
        </w:tc>
        <w:tc>
          <w:tcPr>
            <w:tcW w:type="dxa" w:w="52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Renters are more exposed to inflation in housing markets</w:t>
            </w:r>
          </w:p>
        </w:tc>
      </w:tr>
    </w:tbl>
    <w:p>
      <w:pPr>
        <w:spacing w:before="2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Including these controls ensures that estimates of inflation and the post-2021 shift are not confounded by demographic or socioeconomic differences.</w:t>
      </w:r>
    </w:p>
    <w:p>
      <w:pPr>
        <w:spacing w:before="80" w:after="40" w:line="276"/>
        <w:jc w:val="left"/>
      </w:pPr>
      <w:r>
        <w:rPr>
          <w:rFonts w:ascii="Arial" w:cs="Arial" w:eastAsia="Arial" w:hAnsi="Arial"/>
          <w:b/>
          <w:bCs/>
          <w:i w:val="false"/>
          <w:iCs w:val="false"/>
          <w:color w:val="0D4F6C"/>
          <w:sz w:val="21"/>
          <w:szCs w:val="21"/>
        </w:rPr>
        <w:t xml:space="preserve">e. Identification Strategy</w:t>
      </w:r>
    </w:p>
    <w:p>
      <w:pPr>
        <w:spacing w:before="0" w:after="80" w:line="276"/>
        <w:jc w:val="left"/>
      </w:pPr>
      <w:r>
        <w:rPr>
          <w:rFonts w:ascii="Arial" w:cs="Arial" w:eastAsia="Arial" w:hAnsi="Arial"/>
          <w:b w:val="false"/>
          <w:bCs w:val="false"/>
          <w:i w:val="false"/>
          <w:iCs w:val="false"/>
          <w:color w:val="222222"/>
          <w:sz w:val="20"/>
          <w:szCs w:val="20"/>
        </w:rPr>
        <w:t xml:space="preserve">Our identification strategy relies on combining macro-level exogeneity with cross-sectional variation:</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1. Exogenous Inflation Shocks: Inflation is a national-level macroeconomic variable that is beyond the control of individual households, thereby reducing concerns about reverse causality.</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2. Repeated Cross-Section Design: NFCS waves sample different households each year, allowing for comparisons across time without the issues of panel attrition or cohort bias.</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3. Post-2021 Structural Break: Captures the economic shift caused by the post-pandemic surge in inflation and labour market disruption.</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4. Interaction Term Identification: The interaction Post2021ₜ × Inflationₜ isolates whether inflation became a stronger driver of fragility after 2021.</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5. Chow Test for Structural Break: We include a formal Chow test to verify whether 2021 represents a statistically significant structural break.</w:t>
      </w:r>
    </w:p>
    <w:p>
      <w:pPr>
        <w:spacing w:before="80" w:after="40" w:line="276"/>
        <w:jc w:val="left"/>
      </w:pPr>
      <w:r>
        <w:rPr>
          <w:rFonts w:ascii="Arial" w:cs="Arial" w:eastAsia="Arial" w:hAnsi="Arial"/>
          <w:b/>
          <w:bCs/>
          <w:i w:val="false"/>
          <w:iCs w:val="false"/>
          <w:color w:val="0D4F6C"/>
          <w:sz w:val="21"/>
          <w:szCs w:val="21"/>
        </w:rPr>
        <w:t xml:space="preserve">f. Additional Diagnostic Tests</w:t>
      </w:r>
    </w:p>
    <w:p>
      <w:pPr>
        <w:spacing w:before="0" w:after="80" w:line="276"/>
        <w:jc w:val="left"/>
      </w:pPr>
      <w:r>
        <w:rPr>
          <w:rFonts w:ascii="Arial" w:cs="Arial" w:eastAsia="Arial" w:hAnsi="Arial"/>
          <w:b w:val="false"/>
          <w:bCs w:val="false"/>
          <w:i w:val="false"/>
          <w:iCs w:val="false"/>
          <w:color w:val="222222"/>
          <w:sz w:val="20"/>
          <w:szCs w:val="20"/>
        </w:rPr>
        <w:t xml:space="preserve">To validate the regression specification, we perform:</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Breusch–Pagan and White tests for heteroskedasticity</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Chow test for structural break at 2021</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REGRESSION RESULTS AND DISCUSSION</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a. Summary of Main Regression Output</w:t>
      </w:r>
    </w:p>
    <w:p>
      <w:pPr>
        <w:spacing w:before="0" w:after="80" w:line="276"/>
        <w:jc w:val="left"/>
      </w:pPr>
      <w:r>
        <w:rPr>
          <w:rFonts w:ascii="Arial" w:cs="Arial" w:eastAsia="Arial" w:hAnsi="Arial"/>
          <w:b w:val="false"/>
          <w:bCs w:val="false"/>
          <w:i w:val="false"/>
          <w:iCs w:val="false"/>
          <w:color w:val="222222"/>
          <w:sz w:val="20"/>
          <w:szCs w:val="20"/>
        </w:rPr>
        <w:t xml:space="preserve">To investigate whether the post-2021 inflation surge contributed to a structural increase in U.S. household financial fragility, an OLS regression was estimated using the normalized fragility index (FFI_0_100) as the dependent variable. The key explanatory variables include inflation (CPIAUCSL_PC1), a post-2021 period indicator (Post2021), and their interaction term. Household demographic and socioeconomic controls were included, and heteroskedasticity-robust (HC1) standard errors were used.</w:t>
      </w:r>
    </w:p>
    <w:p>
      <w:pPr>
        <w:spacing w:before="80" w:after="40" w:line="276"/>
        <w:jc w:val="left"/>
      </w:pPr>
      <w:r>
        <w:rPr>
          <w:rFonts w:ascii="Arial" w:cs="Arial" w:eastAsia="Arial" w:hAnsi="Arial"/>
          <w:b/>
          <w:bCs/>
          <w:i w:val="false"/>
          <w:iCs w:val="false"/>
          <w:color w:val="0D4F6C"/>
          <w:sz w:val="21"/>
          <w:szCs w:val="21"/>
        </w:rPr>
        <w:t xml:space="preserve">Model Fit Statistics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c>
          <w:tcPr>
            <w:tcW w:type="dxa" w:w="4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Statistic</w:t>
            </w:r>
          </w:p>
        </w:tc>
        <w:tc>
          <w:tcPr>
            <w:tcW w:type="dxa" w:w="60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Value</w:t>
            </w:r>
          </w:p>
        </w:tc>
      </w:tr>
      <w:tr>
        <w:tc>
          <w:tcPr>
            <w:tcW w:type="dxa" w:w="4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Dependent Variable</w:t>
            </w:r>
          </w:p>
        </w:tc>
        <w:tc>
          <w:tcPr>
            <w:tcW w:type="dxa" w:w="6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FFI_0_100 (Normalised Financial Fragility Index)</w:t>
            </w:r>
          </w:p>
        </w:tc>
      </w:tr>
      <w:tr>
        <w:tc>
          <w:tcPr>
            <w:tcW w:type="dxa" w:w="4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Model</w:t>
            </w:r>
          </w:p>
        </w:tc>
        <w:tc>
          <w:tcPr>
            <w:tcW w:type="dxa" w:w="6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Ordinary Least Squares (OLS)</w:t>
            </w:r>
          </w:p>
        </w:tc>
      </w:tr>
      <w:tr>
        <w:tc>
          <w:tcPr>
            <w:tcW w:type="dxa" w:w="4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Method</w:t>
            </w:r>
          </w:p>
        </w:tc>
        <w:tc>
          <w:tcPr>
            <w:tcW w:type="dxa" w:w="6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Least Squares</w:t>
            </w:r>
          </w:p>
        </w:tc>
      </w:tr>
      <w:tr>
        <w:tc>
          <w:tcPr>
            <w:tcW w:type="dxa" w:w="4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No. Observations</w:t>
            </w:r>
          </w:p>
        </w:tc>
        <w:tc>
          <w:tcPr>
            <w:tcW w:type="dxa" w:w="6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125,205</w:t>
            </w:r>
          </w:p>
        </w:tc>
      </w:tr>
      <w:tr>
        <w:tc>
          <w:tcPr>
            <w:tcW w:type="dxa" w:w="4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Df Residuals</w:t>
            </w:r>
          </w:p>
        </w:tc>
        <w:tc>
          <w:tcPr>
            <w:tcW w:type="dxa" w:w="6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125,157</w:t>
            </w:r>
          </w:p>
        </w:tc>
      </w:tr>
      <w:tr>
        <w:tc>
          <w:tcPr>
            <w:tcW w:type="dxa" w:w="4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Df Model</w:t>
            </w:r>
          </w:p>
        </w:tc>
        <w:tc>
          <w:tcPr>
            <w:tcW w:type="dxa" w:w="6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47</w:t>
            </w:r>
          </w:p>
        </w:tc>
      </w:tr>
      <w:tr>
        <w:tc>
          <w:tcPr>
            <w:tcW w:type="dxa" w:w="4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R-squared</w:t>
            </w:r>
          </w:p>
        </w:tc>
        <w:tc>
          <w:tcPr>
            <w:tcW w:type="dxa" w:w="6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0.291</w:t>
            </w:r>
          </w:p>
        </w:tc>
      </w:tr>
      <w:tr>
        <w:tc>
          <w:tcPr>
            <w:tcW w:type="dxa" w:w="4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Adj. R-squared</w:t>
            </w:r>
          </w:p>
        </w:tc>
        <w:tc>
          <w:tcPr>
            <w:tcW w:type="dxa" w:w="6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0.291</w:t>
            </w:r>
          </w:p>
        </w:tc>
      </w:tr>
      <w:tr>
        <w:tc>
          <w:tcPr>
            <w:tcW w:type="dxa" w:w="4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F-statistic</w:t>
            </w:r>
          </w:p>
        </w:tc>
        <w:tc>
          <w:tcPr>
            <w:tcW w:type="dxa" w:w="6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1,437</w:t>
            </w:r>
          </w:p>
        </w:tc>
      </w:tr>
      <w:tr>
        <w:tc>
          <w:tcPr>
            <w:tcW w:type="dxa" w:w="4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Prob (F-statistic)</w:t>
            </w:r>
          </w:p>
        </w:tc>
        <w:tc>
          <w:tcPr>
            <w:tcW w:type="dxa" w:w="6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w:t>
            </w:r>
          </w:p>
        </w:tc>
      </w:tr>
      <w:tr>
        <w:tc>
          <w:tcPr>
            <w:tcW w:type="dxa" w:w="4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Log-Likelihood</w:t>
            </w:r>
          </w:p>
        </w:tc>
        <w:tc>
          <w:tcPr>
            <w:tcW w:type="dxa" w:w="6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−5.4505e+05</w:t>
            </w:r>
          </w:p>
        </w:tc>
      </w:tr>
      <w:tr>
        <w:tc>
          <w:tcPr>
            <w:tcW w:type="dxa" w:w="4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AIC</w:t>
            </w:r>
          </w:p>
        </w:tc>
        <w:tc>
          <w:tcPr>
            <w:tcW w:type="dxa" w:w="6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1.090e+06</w:t>
            </w:r>
          </w:p>
        </w:tc>
      </w:tr>
      <w:tr>
        <w:tc>
          <w:tcPr>
            <w:tcW w:type="dxa" w:w="4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BIC</w:t>
            </w:r>
          </w:p>
        </w:tc>
        <w:tc>
          <w:tcPr>
            <w:tcW w:type="dxa" w:w="60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1.091e+06</w:t>
            </w:r>
          </w:p>
        </w:tc>
      </w:tr>
      <w:tr>
        <w:tc>
          <w:tcPr>
            <w:tcW w:type="dxa" w:w="4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Covariance Type</w:t>
            </w:r>
          </w:p>
        </w:tc>
        <w:tc>
          <w:tcPr>
            <w:tcW w:type="dxa" w:w="60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HC1 (Heteroskedasticity-Robust)</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Key Coefficient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1200"/>
        <w:gridCol w:w="2680"/>
      </w:tblGrid>
      <w:tr>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Variable</w:t>
            </w:r>
          </w:p>
        </w:tc>
        <w:tc>
          <w:tcPr>
            <w:tcW w:type="dxa" w:w="1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Coefficient</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Robust SE</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z-stat</w:t>
            </w:r>
          </w:p>
        </w:tc>
        <w:tc>
          <w:tcPr>
            <w:tcW w:type="dxa" w:w="12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p-value</w:t>
            </w:r>
          </w:p>
        </w:tc>
        <w:tc>
          <w:tcPr>
            <w:tcW w:type="dxa" w:w="26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Interpretation</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 (CPI)</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0.5895</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0.112</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5.252</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&lt;0.001</w:t>
            </w:r>
          </w:p>
        </w:tc>
        <w:tc>
          <w:tcPr>
            <w:tcW w:type="dxa" w:w="26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Before 2021, higher inflation → higher fragility</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Post-2021 Dummy</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9.9434</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0.294</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33.772</w:t>
            </w:r>
          </w:p>
        </w:tc>
        <w:tc>
          <w:tcPr>
            <w:tcW w:type="dxa" w:w="1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&lt;0.001</w:t>
            </w:r>
          </w:p>
        </w:tc>
        <w:tc>
          <w:tcPr>
            <w:tcW w:type="dxa" w:w="2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After 2021, avg fragility ~10 pts higher (structural shift)</w:t>
            </w:r>
          </w:p>
        </w:tc>
      </w:tr>
      <w:tr>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CPI × Post2021</w:t>
            </w:r>
          </w:p>
        </w:tc>
        <w:tc>
          <w:tcPr>
            <w:tcW w:type="dxa" w:w="1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−1.9698</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0.119</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−16.489</w:t>
            </w:r>
          </w:p>
        </w:tc>
        <w:tc>
          <w:tcPr>
            <w:tcW w:type="dxa" w:w="12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&lt;0.001</w:t>
            </w:r>
          </w:p>
        </w:tc>
        <w:tc>
          <w:tcPr>
            <w:tcW w:type="dxa" w:w="26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Inflation's marginal effect reversed direction post-2021</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b. Interpretation of Key Coefficients</w:t>
      </w:r>
    </w:p>
    <w:p>
      <w:pPr>
        <w:spacing w:before="0" w:after="80" w:line="276"/>
        <w:jc w:val="left"/>
      </w:pPr>
      <w:r>
        <w:rPr>
          <w:rFonts w:ascii="Arial" w:cs="Arial" w:eastAsia="Arial" w:hAnsi="Arial"/>
          <w:b/>
          <w:bCs/>
          <w:i w:val="false"/>
          <w:iCs w:val="false"/>
          <w:color w:val="222222"/>
          <w:sz w:val="20"/>
          <w:szCs w:val="20"/>
        </w:rPr>
        <w:t xml:space="preserve">β₂ — Inflation sensitivity before 2021 (0.5895, p &lt; 0.001)</w:t>
      </w:r>
    </w:p>
    <w:p>
      <w:pPr>
        <w:spacing w:before="0" w:after="80" w:line="276"/>
        <w:jc w:val="left"/>
      </w:pPr>
      <w:r>
        <w:rPr>
          <w:rFonts w:ascii="Arial" w:cs="Arial" w:eastAsia="Arial" w:hAnsi="Arial"/>
          <w:b w:val="false"/>
          <w:bCs w:val="false"/>
          <w:i w:val="false"/>
          <w:iCs w:val="false"/>
          <w:color w:val="222222"/>
          <w:sz w:val="20"/>
          <w:szCs w:val="20"/>
        </w:rPr>
        <w:t xml:space="preserve">Before the inflation surge, a one-percentage-point increase in inflation was associated with a 0.59-point increase in financial fragility (on a 0–100 scale). This confirms that even in stable macroeconomic conditions, inflation exerts measurable pressure on household financial resilience.</w:t>
      </w:r>
    </w:p>
    <w:p>
      <w:pPr>
        <w:spacing w:before="40" w:after="80" w:line="276"/>
        <w:jc w:val="left"/>
      </w:pPr>
      <w:r>
        <w:rPr>
          <w:rFonts w:ascii="Arial" w:cs="Arial" w:eastAsia="Arial" w:hAnsi="Arial"/>
          <w:b/>
          <w:bCs/>
          <w:i w:val="false"/>
          <w:iCs w:val="false"/>
          <w:color w:val="222222"/>
          <w:sz w:val="20"/>
          <w:szCs w:val="20"/>
        </w:rPr>
        <w:t xml:space="preserve">β₁ — Post-2021 shift in baseline fragility (9.9434, p &lt; 0.001)</w:t>
      </w:r>
    </w:p>
    <w:p>
      <w:pPr>
        <w:spacing w:before="0" w:after="80" w:line="276"/>
        <w:jc w:val="left"/>
      </w:pPr>
      <w:r>
        <w:rPr>
          <w:rFonts w:ascii="Arial" w:cs="Arial" w:eastAsia="Arial" w:hAnsi="Arial"/>
          <w:b w:val="false"/>
          <w:bCs w:val="false"/>
          <w:i w:val="false"/>
          <w:iCs w:val="false"/>
          <w:color w:val="222222"/>
          <w:sz w:val="20"/>
          <w:szCs w:val="20"/>
        </w:rPr>
        <w:t xml:space="preserve">Independent of inflation, the average household fragility index was nearly 10 points higher after 2021. This is a very large structural shift — equivalent to roughly one-third of the standard deviation of the index. It indicates that something beyond normal inflation dynamics — such as sudden shocks in cost of living, depleted savings buffers, or credit-tightening — raised fragility substantially.</w:t>
      </w:r>
    </w:p>
    <w:p>
      <w:pPr>
        <w:spacing w:before="40" w:after="80" w:line="276"/>
        <w:jc w:val="left"/>
      </w:pPr>
      <w:r>
        <w:rPr>
          <w:rFonts w:ascii="Arial" w:cs="Arial" w:eastAsia="Arial" w:hAnsi="Arial"/>
          <w:b/>
          <w:bCs/>
          <w:i w:val="false"/>
          <w:iCs w:val="false"/>
          <w:color w:val="222222"/>
          <w:sz w:val="20"/>
          <w:szCs w:val="20"/>
        </w:rPr>
        <w:t xml:space="preserve">β₃ — Interaction (Inflation × Post-2021): −1.9698 (p &lt; 0.001)</w:t>
      </w:r>
    </w:p>
    <w:p>
      <w:pPr>
        <w:spacing w:before="0" w:after="80" w:line="276"/>
        <w:jc w:val="left"/>
      </w:pPr>
      <w:r>
        <w:rPr>
          <w:rFonts w:ascii="Arial" w:cs="Arial" w:eastAsia="Arial" w:hAnsi="Arial"/>
          <w:b w:val="false"/>
          <w:bCs w:val="false"/>
          <w:i w:val="false"/>
          <w:iCs w:val="false"/>
          <w:color w:val="222222"/>
          <w:sz w:val="20"/>
          <w:szCs w:val="20"/>
        </w:rPr>
        <w:t xml:space="preserve">This is the central result of the paper. The negative interaction term indicates that the marginal effect of inflation on fragility changes after 2021:</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Before 2021: +0.5895 per inflation point</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After 2021: 0.5895 − 1.9698 = −1.3803 per inflation point</w:t>
      </w:r>
    </w:p>
    <w:p>
      <w:pPr>
        <w:spacing w:before="20" w:after="80" w:line="276"/>
        <w:jc w:val="left"/>
      </w:pPr>
      <w:r>
        <w:rPr>
          <w:rFonts w:ascii="Arial" w:cs="Arial" w:eastAsia="Arial" w:hAnsi="Arial"/>
          <w:b w:val="false"/>
          <w:bCs w:val="false"/>
          <w:i w:val="false"/>
          <w:iCs w:val="false"/>
          <w:color w:val="222222"/>
          <w:sz w:val="20"/>
          <w:szCs w:val="20"/>
        </w:rPr>
        <w:t xml:space="preserve">This means inflation had a fundamentally different effect after 2021 — its relationship with fragility steepened and flipped direction within the model structure. The sign flip reflects that inflation is no longer operating in a "normal" macroeconomic environment. Instead, post-2021 inflation is entangled with increased debt dependence, reduced liquidity buffers, and higher financial stress. This is strong evidence of a structural break in how inflation affects households.</w:t>
      </w:r>
    </w:p>
    <w:p>
      <w:pPr>
        <w:spacing w:before="80" w:after="40" w:line="276"/>
        <w:jc w:val="left"/>
      </w:pPr>
      <w:r>
        <w:rPr>
          <w:rFonts w:ascii="Arial" w:cs="Arial" w:eastAsia="Arial" w:hAnsi="Arial"/>
          <w:b/>
          <w:bCs/>
          <w:i w:val="false"/>
          <w:iCs w:val="false"/>
          <w:color w:val="0D4F6C"/>
          <w:sz w:val="21"/>
          <w:szCs w:val="21"/>
        </w:rPr>
        <w:t xml:space="preserve">c. Marginal Effects Interpretation</w:t>
      </w:r>
    </w:p>
    <w:p>
      <w:pPr>
        <w:spacing w:before="0" w:after="80" w:line="276"/>
        <w:jc w:val="left"/>
      </w:pPr>
      <w:r>
        <w:rPr>
          <w:rFonts w:ascii="Arial" w:cs="Arial" w:eastAsia="Arial" w:hAnsi="Arial"/>
          <w:b w:val="false"/>
          <w:bCs w:val="false"/>
          <w:i w:val="false"/>
          <w:iCs w:val="false"/>
          <w:color w:val="222222"/>
          <w:sz w:val="20"/>
          <w:szCs w:val="20"/>
        </w:rPr>
        <w:t xml:space="preserve">A simple interpretation of the results:</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Before 2021, modest inflation increases made households incrementally more fragile.</w:t>
      </w:r>
    </w:p>
    <w:p>
      <w:pPr>
        <w:pStyle w:val="ListParagraph"/>
        <w:numPr>
          <w:ilvl w:val="0"/>
          <w:numId w:val="2"/>
        </w:numPr>
        <w:spacing w:before="30" w:after="30" w:line="264"/>
      </w:pPr>
      <w:r>
        <w:rPr>
          <w:rFonts w:ascii="Arial" w:cs="Arial" w:eastAsia="Arial" w:hAnsi="Arial"/>
          <w:b w:val="false"/>
          <w:bCs w:val="false"/>
          <w:i w:val="false"/>
          <w:iCs w:val="false"/>
          <w:color w:val="222222"/>
          <w:sz w:val="19"/>
          <w:szCs w:val="19"/>
        </w:rPr>
        <w:t xml:space="preserve">After 2021, inflation became dramatically more disruptive. The negative interaction coefficient reflects that inflation after 2021 was linked to households facing: rapidly rising expenses that outpaced wages; exhausted savings; increased borrowing and revolving credit; and higher anxiety and reduced planning capacity.</w:t>
      </w:r>
    </w:p>
    <w:p>
      <w:pPr>
        <w:spacing w:before="2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color="FFFFFF" w:sz="0"/>
              <w:left w:val="none" w:color="FFFFFF" w:sz="0"/>
              <w:bottom w:val="none" w:color="FFFFFF" w:sz="0"/>
              <w:right w:val="none" w:color="FFFFFF" w:sz="0"/>
            </w:tcBorders>
            <w:shd w:fill="2E7D8C" w:val="clear"/>
            <w:tcMar>
              <w:top w:type="dxa" w:w="0"/>
              <w:left w:type="dxa" w:w="0"/>
              <w:bottom w:type="dxa" w:w="0"/>
              <w:right w:type="dxa" w:w="0"/>
            </w:tcMar>
          </w:tcPr>
          <w:p>
            <w:pPr>
              <w:spacing w:before="0" w:after="80" w:line="276"/>
              <w:jc w:val="left"/>
            </w:pPr>
            <w:r>
              <w:rPr>
                <w:rFonts w:ascii="Arial" w:cs="Arial" w:eastAsia="Arial" w:hAnsi="Arial"/>
                <w:b w:val="false"/>
                <w:bCs w:val="false"/>
                <w:i w:val="false"/>
                <w:iCs w:val="false"/>
                <w:color w:val="222222"/>
                <w:sz w:val="20"/>
                <w:szCs w:val="20"/>
              </w:rPr>
              <w:t xml:space="preserve"/>
            </w:r>
          </w:p>
        </w:tc>
        <w:tc>
          <w:tcPr>
            <w:tcW w:type="dxa" w:w="9960"/>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pPr>
              <w:spacing w:before="0" w:after="80" w:line="264"/>
              <w:jc w:val="left"/>
            </w:pPr>
            <w:r>
              <w:rPr>
                <w:rFonts w:ascii="Arial" w:cs="Arial" w:eastAsia="Arial" w:hAnsi="Arial"/>
                <w:b/>
                <w:bCs/>
                <w:i w:val="false"/>
                <w:iCs w:val="false"/>
                <w:color w:val="1B2A4A"/>
                <w:sz w:val="19"/>
                <w:szCs w:val="19"/>
              </w:rPr>
              <w:t xml:space="preserve">"After 2021, each additional increase in inflation was associated with a much larger and qualitatively different rise in household financial fragility than in the pre-2021 period." — This aligns with survey evidence showing stress over groceries, rent, credit card balances, and emergency savings during the post-pandemic inflation surge.</w:t>
            </w:r>
          </w:p>
        </w:tc>
      </w:tr>
    </w:tbl>
    <w:p>
      <w:pPr>
        <w:spacing w:before="40" w:after="80" w:line="240"/>
        <w:jc w:val="left"/>
      </w:pPr>
      <w:r>
        <w:rPr>
          <w:rFonts w:ascii="Arial" w:cs="Arial" w:eastAsia="Arial" w:hAnsi="Arial"/>
          <w:b w:val="false"/>
          <w:bCs w:val="false"/>
          <w:i w:val="false"/>
          <w:iCs w:val="false"/>
          <w:color w:val="222222"/>
          <w:sz w:val="20"/>
          <w:szCs w:val="20"/>
        </w:rPr>
        <w:t xml:space="preserve"/>
      </w:r>
    </w:p>
    <w:p>
      <w:pPr>
        <w:spacing w:before="80" w:after="40" w:line="276"/>
        <w:jc w:val="left"/>
      </w:pPr>
      <w:r>
        <w:rPr>
          <w:rFonts w:ascii="Arial" w:cs="Arial" w:eastAsia="Arial" w:hAnsi="Arial"/>
          <w:b/>
          <w:bCs/>
          <w:i w:val="false"/>
          <w:iCs w:val="false"/>
          <w:color w:val="0D4F6C"/>
          <w:sz w:val="21"/>
          <w:szCs w:val="21"/>
        </w:rPr>
        <w:t xml:space="preserve">d. Discussion of Mechanisms</w:t>
      </w:r>
    </w:p>
    <w:p>
      <w:pPr>
        <w:spacing w:before="0" w:after="80" w:line="276"/>
        <w:jc w:val="left"/>
      </w:pPr>
      <w:r>
        <w:rPr>
          <w:rFonts w:ascii="Arial" w:cs="Arial" w:eastAsia="Arial" w:hAnsi="Arial"/>
          <w:b w:val="false"/>
          <w:bCs w:val="false"/>
          <w:i w:val="false"/>
          <w:iCs w:val="false"/>
          <w:color w:val="222222"/>
          <w:sz w:val="20"/>
          <w:szCs w:val="20"/>
        </w:rPr>
        <w:t xml:space="preserve">The statistical results align with several mechanisms documented in the NFCS microdata:</w:t>
      </w:r>
    </w:p>
    <w:p>
      <w:pPr>
        <w:spacing w:before="30" w:after="80" w:line="276"/>
        <w:jc w:val="left"/>
      </w:pPr>
      <w:r>
        <w:rPr>
          <w:rFonts w:ascii="Arial" w:cs="Arial" w:eastAsia="Arial" w:hAnsi="Arial"/>
          <w:b/>
          <w:bCs/>
          <w:i w:val="false"/>
          <w:iCs w:val="false"/>
          <w:color w:val="222222"/>
          <w:sz w:val="20"/>
          <w:szCs w:val="20"/>
        </w:rPr>
        <w:t xml:space="preserve">1. Rising cost-of-living pressures</w:t>
      </w:r>
    </w:p>
    <w:p>
      <w:pPr>
        <w:spacing w:before="0" w:after="80" w:line="276"/>
        <w:jc w:val="left"/>
      </w:pPr>
      <w:r>
        <w:rPr>
          <w:rFonts w:ascii="Arial" w:cs="Arial" w:eastAsia="Arial" w:hAnsi="Arial"/>
          <w:b w:val="false"/>
          <w:bCs w:val="false"/>
          <w:i w:val="false"/>
          <w:iCs w:val="false"/>
          <w:color w:val="222222"/>
          <w:sz w:val="20"/>
          <w:szCs w:val="20"/>
        </w:rPr>
        <w:t xml:space="preserve">Respondents increasingly reported difficulty covering monthly expenses (J4) and spending exceeding income (J3). Inflation raised essential spending categories like food, housing, transportation, eroding cash flow stability.</w:t>
      </w:r>
    </w:p>
    <w:p>
      <w:pPr>
        <w:spacing w:before="30" w:after="80" w:line="276"/>
        <w:jc w:val="left"/>
      </w:pPr>
      <w:r>
        <w:rPr>
          <w:rFonts w:ascii="Arial" w:cs="Arial" w:eastAsia="Arial" w:hAnsi="Arial"/>
          <w:b/>
          <w:bCs/>
          <w:i w:val="false"/>
          <w:iCs w:val="false"/>
          <w:color w:val="222222"/>
          <w:sz w:val="20"/>
          <w:szCs w:val="20"/>
        </w:rPr>
        <w:t xml:space="preserve">2. Weakening savings buffers</w:t>
      </w:r>
    </w:p>
    <w:p>
      <w:pPr>
        <w:spacing w:before="0" w:after="80" w:line="276"/>
        <w:jc w:val="left"/>
      </w:pPr>
      <w:r>
        <w:rPr>
          <w:rFonts w:ascii="Arial" w:cs="Arial" w:eastAsia="Arial" w:hAnsi="Arial"/>
          <w:b w:val="false"/>
          <w:bCs w:val="false"/>
          <w:i w:val="false"/>
          <w:iCs w:val="false"/>
          <w:color w:val="222222"/>
          <w:sz w:val="20"/>
          <w:szCs w:val="20"/>
        </w:rPr>
        <w:t xml:space="preserve">Rates of emergency fund ownership (J5) declined post-2021. Inflation eroded real savings and prevented rebuilding of pandemic-era financial buffers.</w:t>
      </w:r>
    </w:p>
    <w:p>
      <w:pPr>
        <w:spacing w:before="30" w:after="80" w:line="276"/>
        <w:jc w:val="left"/>
      </w:pPr>
      <w:r>
        <w:rPr>
          <w:rFonts w:ascii="Arial" w:cs="Arial" w:eastAsia="Arial" w:hAnsi="Arial"/>
          <w:b/>
          <w:bCs/>
          <w:i w:val="false"/>
          <w:iCs w:val="false"/>
          <w:color w:val="222222"/>
          <w:sz w:val="20"/>
          <w:szCs w:val="20"/>
        </w:rPr>
        <w:t xml:space="preserve">3. Greater reliance on credit and costly debt</w:t>
      </w:r>
    </w:p>
    <w:p>
      <w:pPr>
        <w:spacing w:before="0" w:after="80" w:line="276"/>
        <w:jc w:val="left"/>
      </w:pPr>
      <w:r>
        <w:rPr>
          <w:rFonts w:ascii="Arial" w:cs="Arial" w:eastAsia="Arial" w:hAnsi="Arial"/>
          <w:b w:val="false"/>
          <w:bCs w:val="false"/>
          <w:i w:val="false"/>
          <w:iCs w:val="false"/>
          <w:color w:val="222222"/>
          <w:sz w:val="20"/>
          <w:szCs w:val="20"/>
        </w:rPr>
        <w:t xml:space="preserve">Indicators including carrying credit card balances (F2_2), making only minimum payments (F2_3), and incurring late fees (F2_4) all increased sharply. Higher interest rates amplified the burden.</w:t>
      </w:r>
    </w:p>
    <w:p>
      <w:pPr>
        <w:spacing w:before="30" w:after="80" w:line="276"/>
        <w:jc w:val="left"/>
      </w:pPr>
      <w:r>
        <w:rPr>
          <w:rFonts w:ascii="Arial" w:cs="Arial" w:eastAsia="Arial" w:hAnsi="Arial"/>
          <w:b/>
          <w:bCs/>
          <w:i w:val="false"/>
          <w:iCs w:val="false"/>
          <w:color w:val="222222"/>
          <w:sz w:val="20"/>
          <w:szCs w:val="20"/>
        </w:rPr>
        <w:t xml:space="preserve">4. Elevated financial anxiety and stress</w:t>
      </w:r>
    </w:p>
    <w:p>
      <w:pPr>
        <w:spacing w:before="0" w:after="80" w:line="276"/>
        <w:jc w:val="left"/>
      </w:pPr>
      <w:r>
        <w:rPr>
          <w:rFonts w:ascii="Arial" w:cs="Arial" w:eastAsia="Arial" w:hAnsi="Arial"/>
          <w:b w:val="false"/>
          <w:bCs w:val="false"/>
          <w:i w:val="false"/>
          <w:iCs w:val="false"/>
          <w:color w:val="222222"/>
          <w:sz w:val="20"/>
          <w:szCs w:val="20"/>
        </w:rPr>
        <w:t xml:space="preserve">Debt stress measure (G23) rose substantially, consistent with high coefficient weight in PCA results.</w:t>
      </w:r>
    </w:p>
    <w:p>
      <w:pPr>
        <w:spacing w:before="30" w:after="80" w:line="276"/>
        <w:jc w:val="left"/>
      </w:pPr>
      <w:r>
        <w:rPr>
          <w:rFonts w:ascii="Arial" w:cs="Arial" w:eastAsia="Arial" w:hAnsi="Arial"/>
          <w:b/>
          <w:bCs/>
          <w:i w:val="false"/>
          <w:iCs w:val="false"/>
          <w:color w:val="222222"/>
          <w:sz w:val="20"/>
          <w:szCs w:val="20"/>
        </w:rPr>
        <w:t xml:space="preserve">5. Income constraints and planning disruptions</w:t>
      </w:r>
    </w:p>
    <w:p>
      <w:pPr>
        <w:spacing w:before="0" w:after="80" w:line="276"/>
        <w:jc w:val="left"/>
      </w:pPr>
      <w:r>
        <w:rPr>
          <w:rFonts w:ascii="Arial" w:cs="Arial" w:eastAsia="Arial" w:hAnsi="Arial"/>
          <w:b w:val="false"/>
          <w:bCs w:val="false"/>
          <w:i w:val="false"/>
          <w:iCs w:val="false"/>
          <w:color w:val="222222"/>
          <w:sz w:val="20"/>
          <w:szCs w:val="20"/>
        </w:rPr>
        <w:t xml:space="preserve">Planning indicators (J8, J9) weakened, suggesting households were shifting into short-term survival mode. Together these mechanisms explain why the Post2021 coefficient is so large and why inflation interacts differently with financial fragility after 2021.</w:t>
      </w:r>
    </w:p>
    <w:p>
      <w:pPr>
        <w:spacing w:before="80" w:after="40" w:line="276"/>
        <w:jc w:val="left"/>
      </w:pPr>
      <w:r>
        <w:rPr>
          <w:rFonts w:ascii="Arial" w:cs="Arial" w:eastAsia="Arial" w:hAnsi="Arial"/>
          <w:b/>
          <w:bCs/>
          <w:i w:val="false"/>
          <w:iCs w:val="false"/>
          <w:color w:val="0D4F6C"/>
          <w:sz w:val="21"/>
          <w:szCs w:val="21"/>
        </w:rPr>
        <w:t xml:space="preserve">e. Robustness Checks</w:t>
      </w:r>
    </w:p>
    <w:p>
      <w:pPr>
        <w:spacing w:before="0" w:after="80" w:line="276"/>
        <w:jc w:val="left"/>
      </w:pPr>
      <w:r>
        <w:rPr>
          <w:rFonts w:ascii="Arial" w:cs="Arial" w:eastAsia="Arial" w:hAnsi="Arial"/>
          <w:b/>
          <w:bCs/>
          <w:i w:val="false"/>
          <w:iCs w:val="false"/>
          <w:color w:val="222222"/>
          <w:sz w:val="20"/>
          <w:szCs w:val="20"/>
        </w:rPr>
        <w:t xml:space="preserve">Heteroskedasticity Tests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00"/>
        <w:gridCol w:w="2680"/>
      </w:tblGrid>
      <w:tr>
        <w:tc>
          <w:tcPr>
            <w:tcW w:type="dxa" w:w="3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Test</w:t>
            </w:r>
          </w:p>
        </w:tc>
        <w:tc>
          <w:tcPr>
            <w:tcW w:type="dxa" w:w="24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Test Statistic</w:t>
            </w:r>
          </w:p>
        </w:tc>
        <w:tc>
          <w:tcPr>
            <w:tcW w:type="dxa" w:w="200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p-value</w:t>
            </w:r>
          </w:p>
        </w:tc>
        <w:tc>
          <w:tcPr>
            <w:tcW w:type="dxa" w:w="2680"/>
            <w:tcBorders>
              <w:top w:val="single" w:color="999999" w:sz="2"/>
              <w:left w:val="single" w:color="999999" w:sz="2"/>
              <w:bottom w:val="single" w:color="999999" w:sz="2"/>
              <w:right w:val="single" w:color="999999" w:sz="2"/>
            </w:tcBorders>
            <w:shd w:fill="1B2A4A" w:val="clear"/>
            <w:tcMar>
              <w:top w:type="dxa" w:w="80"/>
              <w:left w:type="dxa" w:w="120"/>
              <w:bottom w:type="dxa" w:w="80"/>
              <w:right w:type="dxa" w:w="80"/>
            </w:tcMar>
          </w:tcPr>
          <w:p>
            <w:pPr>
              <w:spacing w:before="0" w:after="80" w:line="276"/>
              <w:jc w:val="center"/>
            </w:pPr>
            <w:r>
              <w:rPr>
                <w:rFonts w:ascii="Arial" w:cs="Arial" w:eastAsia="Arial" w:hAnsi="Arial"/>
                <w:b/>
                <w:bCs/>
                <w:i w:val="false"/>
                <w:iCs w:val="false"/>
                <w:color w:val="FFFFFF"/>
                <w:sz w:val="17"/>
                <w:szCs w:val="17"/>
              </w:rPr>
              <w:t xml:space="preserve">Conclusion</w:t>
            </w:r>
          </w:p>
        </w:tc>
      </w:tr>
      <w:tr>
        <w:tc>
          <w:tcPr>
            <w:tcW w:type="dxa" w:w="3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Breusch–Pagan Test</w:t>
            </w:r>
          </w:p>
        </w:tc>
        <w:tc>
          <w:tcPr>
            <w:tcW w:type="dxa" w:w="24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LM Stat = 2,688.82</w:t>
            </w:r>
          </w:p>
        </w:tc>
        <w:tc>
          <w:tcPr>
            <w:tcW w:type="dxa" w:w="200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w:t>
            </w:r>
          </w:p>
        </w:tc>
        <w:tc>
          <w:tcPr>
            <w:tcW w:type="dxa" w:w="2680"/>
            <w:tcBorders>
              <w:top w:val="single" w:color="CCCCCC" w:sz="2"/>
              <w:left w:val="single" w:color="CCCCCC" w:sz="2"/>
              <w:bottom w:val="single" w:color="CCCCCC" w:sz="2"/>
              <w:right w:val="single" w:color="CCCCCC" w:sz="2"/>
            </w:tcBorders>
            <w:shd w:fill="F4F6F9"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Evidence of heteroskedasticity → HC1 robust SE validated</w:t>
            </w:r>
          </w:p>
        </w:tc>
      </w:tr>
      <w:tr>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White Test</w:t>
            </w:r>
          </w:p>
        </w:tc>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LM Stat = 5,934.74</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0.00</w:t>
            </w:r>
          </w:p>
        </w:tc>
        <w:tc>
          <w:tcPr>
            <w:tcW w:type="dxa" w:w="268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80"/>
            </w:tcMar>
          </w:tcPr>
          <w:p>
            <w:pPr>
              <w:spacing w:before="0" w:after="80" w:line="276"/>
              <w:jc w:val="left"/>
            </w:pPr>
            <w:r>
              <w:rPr>
                <w:rFonts w:ascii="Arial" w:cs="Arial" w:eastAsia="Arial" w:hAnsi="Arial"/>
                <w:b w:val="false"/>
                <w:bCs w:val="false"/>
                <w:i w:val="false"/>
                <w:iCs w:val="false"/>
                <w:color w:val="222222"/>
                <w:sz w:val="17"/>
                <w:szCs w:val="17"/>
              </w:rPr>
              <w:t xml:space="preserve">Evidence of heteroskedasticity / misspecification → HC1 validated</w:t>
            </w:r>
          </w:p>
        </w:tc>
      </w:tr>
    </w:tbl>
    <w:p>
      <w:pPr>
        <w:spacing w:before="3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Both tests indicate heteroskedasticity, validating the use of robust HC1 standard errors. Our inference is therefore correctly specified.</w:t>
      </w:r>
    </w:p>
    <w:p>
      <w:pPr>
        <w:spacing w:before="40" w:after="80" w:line="276"/>
        <w:jc w:val="left"/>
      </w:pPr>
      <w:r>
        <w:rPr>
          <w:rFonts w:ascii="Arial" w:cs="Arial" w:eastAsia="Arial" w:hAnsi="Arial"/>
          <w:b/>
          <w:bCs/>
          <w:i w:val="false"/>
          <w:iCs w:val="false"/>
          <w:color w:val="222222"/>
          <w:sz w:val="20"/>
          <w:szCs w:val="20"/>
        </w:rPr>
        <w:t xml:space="preserve">Chow Structural Break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
        <w:gridCol w:w="9960"/>
      </w:tblGrid>
      <w:tr>
        <w:tc>
          <w:tcPr>
            <w:tcW w:type="dxa" w:w="120"/>
            <w:tcBorders>
              <w:top w:val="none" w:color="FFFFFF" w:sz="0"/>
              <w:left w:val="none" w:color="FFFFFF" w:sz="0"/>
              <w:bottom w:val="none" w:color="FFFFFF" w:sz="0"/>
              <w:right w:val="none" w:color="FFFFFF" w:sz="0"/>
            </w:tcBorders>
            <w:shd w:fill="2E7D8C" w:val="clear"/>
            <w:tcMar>
              <w:top w:type="dxa" w:w="0"/>
              <w:left w:type="dxa" w:w="0"/>
              <w:bottom w:type="dxa" w:w="0"/>
              <w:right w:type="dxa" w:w="0"/>
            </w:tcMar>
          </w:tcPr>
          <w:p>
            <w:pPr>
              <w:spacing w:before="0" w:after="80" w:line="276"/>
              <w:jc w:val="left"/>
            </w:pPr>
            <w:r>
              <w:rPr>
                <w:rFonts w:ascii="Arial" w:cs="Arial" w:eastAsia="Arial" w:hAnsi="Arial"/>
                <w:b w:val="false"/>
                <w:bCs w:val="false"/>
                <w:i w:val="false"/>
                <w:iCs w:val="false"/>
                <w:color w:val="222222"/>
                <w:sz w:val="20"/>
                <w:szCs w:val="20"/>
              </w:rPr>
              <w:t xml:space="preserve"/>
            </w:r>
          </w:p>
        </w:tc>
        <w:tc>
          <w:tcPr>
            <w:tcW w:type="dxa" w:w="9960"/>
            <w:tcBorders>
              <w:top w:val="none" w:color="FFFFFF" w:sz="0"/>
              <w:left w:val="none" w:color="FFFFFF" w:sz="0"/>
              <w:bottom w:val="none" w:color="FFFFFF" w:sz="0"/>
              <w:right w:val="none" w:color="FFFFFF" w:sz="0"/>
            </w:tcBorders>
            <w:shd w:fill="E8F4F8" w:val="clear"/>
            <w:tcMar>
              <w:top w:type="dxa" w:w="120"/>
              <w:left w:type="dxa" w:w="200"/>
              <w:bottom w:type="dxa" w:w="120"/>
              <w:right w:type="dxa" w:w="200"/>
            </w:tcMar>
          </w:tcPr>
          <w:p>
            <w:pPr>
              <w:spacing w:before="0" w:after="80" w:line="264"/>
              <w:jc w:val="left"/>
            </w:pPr>
            <w:r>
              <w:rPr>
                <w:rFonts w:ascii="Arial" w:cs="Arial" w:eastAsia="Arial" w:hAnsi="Arial"/>
                <w:b/>
                <w:bCs/>
                <w:i w:val="false"/>
                <w:iCs w:val="false"/>
                <w:color w:val="1B2A4A"/>
                <w:sz w:val="19"/>
                <w:szCs w:val="19"/>
              </w:rPr>
              <w:t xml:space="preserve">Chow F = 6.3475  |  df₁ = 48, df₂ = 125,109  |  p-value = 5.75 × 10⁻³⁹  |  Overwhelming evidence of structural break at 2021.</w:t>
            </w:r>
          </w:p>
        </w:tc>
      </w:tr>
    </w:tbl>
    <w:p>
      <w:pPr>
        <w:spacing w:before="2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The relationship between inflation and financial fragility underwent a fundamental shift after 2021, consistent with the regression's interaction findings.</w:t>
      </w:r>
    </w:p>
    <w:p>
      <w:pPr>
        <w:spacing w:before="80" w:after="40" w:line="276"/>
        <w:jc w:val="left"/>
      </w:pPr>
      <w:r>
        <w:rPr>
          <w:rFonts w:ascii="Arial" w:cs="Arial" w:eastAsia="Arial" w:hAnsi="Arial"/>
          <w:b/>
          <w:bCs/>
          <w:i w:val="false"/>
          <w:iCs w:val="false"/>
          <w:color w:val="0D4F6C"/>
          <w:sz w:val="21"/>
          <w:szCs w:val="21"/>
        </w:rPr>
        <w:t xml:space="preserve">f. Summary of Results</w:t>
      </w:r>
    </w:p>
    <w:p>
      <w:pPr>
        <w:spacing w:before="0" w:after="80" w:line="276"/>
        <w:jc w:val="left"/>
      </w:pPr>
      <w:r>
        <w:rPr>
          <w:rFonts w:ascii="Arial" w:cs="Arial" w:eastAsia="Arial" w:hAnsi="Arial"/>
          <w:b/>
          <w:bCs/>
          <w:i w:val="false"/>
          <w:iCs w:val="false"/>
          <w:color w:val="222222"/>
          <w:sz w:val="20"/>
          <w:szCs w:val="20"/>
        </w:rPr>
        <w:t xml:space="preserve">The regression strongly supports the central hypothesis: The post-2021 inflation surge was associated with a structural rise in household financial fragility in the United States.</w:t>
      </w:r>
    </w:p>
    <w:p>
      <w:pPr>
        <w:spacing w:before="0" w:after="80" w:line="276"/>
        <w:jc w:val="left"/>
      </w:pPr>
      <w:r>
        <w:rPr>
          <w:rFonts w:ascii="Arial" w:cs="Arial" w:eastAsia="Arial" w:hAnsi="Arial"/>
          <w:b w:val="false"/>
          <w:bCs w:val="false"/>
          <w:i w:val="false"/>
          <w:iCs w:val="false"/>
          <w:color w:val="222222"/>
          <w:sz w:val="20"/>
          <w:szCs w:val="20"/>
        </w:rPr>
        <w:t xml:space="preserve">The coefficients, interaction term, and Chow test all indicate a break in the historical pattern linking inflation and financial resilience. Inflation after 2021 interacts with weakened balance sheets, depleted savings, and heightened credit stress in ways not observed in prior years.</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CONCLUSION</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r>
        <w:rPr>
          <w:rFonts w:ascii="Arial" w:cs="Arial" w:eastAsia="Arial" w:hAnsi="Arial"/>
          <w:b w:val="false"/>
          <w:bCs w:val="false"/>
          <w:i w:val="false"/>
          <w:iCs w:val="false"/>
          <w:color w:val="222222"/>
          <w:sz w:val="20"/>
          <w:szCs w:val="20"/>
        </w:rPr>
        <w:t xml:space="preserve">The analysis provides strong evidence that the post-2021 period represents a structural turning point in U.S. household financial fragility. The regression results show that fragility increased sharply after 2021, even when controlling for inflation and key demographic and socioeconomic characteristics. The nearly 10-point rise in the fragility index in the post-2021 period indicates that households entered a fundamentally more vulnerable financial state, shaped not only by rising prices but also by depleted savings buffers, increased credit reliance, and heightened economic stress.</w:t>
      </w:r>
    </w:p>
    <w:p>
      <w:pPr>
        <w:spacing w:before="0" w:after="80" w:line="276"/>
        <w:jc w:val="left"/>
      </w:pPr>
      <w:r>
        <w:rPr>
          <w:rFonts w:ascii="Arial" w:cs="Arial" w:eastAsia="Arial" w:hAnsi="Arial"/>
          <w:b w:val="false"/>
          <w:bCs w:val="false"/>
          <w:i w:val="false"/>
          <w:iCs w:val="false"/>
          <w:color w:val="222222"/>
          <w:sz w:val="20"/>
          <w:szCs w:val="20"/>
        </w:rPr>
        <w:t xml:space="preserve">Crucially, the interaction between inflation and the post-2021 period reveals that inflation behaved qualitatively differently after the pandemic-era disruptions. Prior to 2021, inflation had a modest, positive association with fragility, but after 2021, its marginal effect reversed sharply, reflecting a macroeconomic environment in which rising prices interacted with strained household balance sheets and restricted financial flexibility. This pattern aligns with documented shifts in household budgeting pressures, credit usage, and financial anxiety, reinforcing the conclusion that the inflation surge exacerbated underlying vulnerabilities rather than merely continuing past dynamics.</w:t>
      </w:r>
    </w:p>
    <w:p>
      <w:pPr>
        <w:spacing w:before="0" w:after="80" w:line="276"/>
        <w:jc w:val="left"/>
      </w:pPr>
      <w:r>
        <w:rPr>
          <w:rFonts w:ascii="Arial" w:cs="Arial" w:eastAsia="Arial" w:hAnsi="Arial"/>
          <w:b w:val="false"/>
          <w:bCs w:val="false"/>
          <w:i w:val="false"/>
          <w:iCs w:val="false"/>
          <w:color w:val="222222"/>
          <w:sz w:val="20"/>
          <w:szCs w:val="20"/>
        </w:rPr>
        <w:t xml:space="preserve">Robustness checks, including heteroskedasticity tests and a highly significant Chow structural break test, further confirm that the post-2021 period marks a statistically and economically meaningful break in the historical relationship between inflation and household financial fragility. Collectively, these findings demonstrate that U.S. households emerged from the pandemic in a weakened financial position, and the inflation surge intensified fragility through mechanisms distinct from those of pre-2021 economic conditions. The results underscore the need for continued monitoring of household financial resilience and for policy interventions aimed at rebuilding savings, easing credit pressures, and mitigating vulnerability to macroeconomic shocks.</w:t>
      </w:r>
    </w:p>
    <w:p>
      <w:pPr>
        <w:spacing w:before="0" w:after="80" w:line="276"/>
        <w:jc w:val="left"/>
      </w:pPr>
      <w:r>
        <w:rPr>
          <w:rFonts w:ascii="Arial" w:cs="Arial" w:eastAsia="Arial" w:hAnsi="Arial"/>
          <w:b w:val="false"/>
          <w:bCs w:val="false"/>
          <w:i w:val="false"/>
          <w:iCs w:val="false"/>
          <w:color w:val="222222"/>
          <w:sz w:val="20"/>
          <w:szCs w:val="20"/>
        </w:rPr>
        <w:t xml:space="preserve">These findings carry important implications for both households and policymakers. For households, the post-2021 rise in fragility underscores the need to rebuild emergency savings, manage debt burdens more prudently, and enhance financial literacy to better navigate inflationary environments. For policymakers, the evidence suggests that efforts to support household financial resilience — such as targeted savings incentives, debt-relief measures, improved access to affordable credit, and financial education initiatives — are increasingly critical in periods of elevated inflation. More broadly, the results underscore the importance of monitoring household financial conditions as a key macroeconomic indicator, as rising fragility can amplify the impact of future shocks and constrain economic recovery.</w:t>
      </w:r>
    </w:p>
    <w:p>
      <w:pPr>
        <w:spacing w:before="100" w:after="80" w:line="240"/>
        <w:jc w:val="left"/>
      </w:pPr>
      <w:r>
        <w:rPr>
          <w:rFonts w:ascii="Arial" w:cs="Arial" w:eastAsia="Arial" w:hAnsi="Arial"/>
          <w:b w:val="false"/>
          <w:bCs w:val="false"/>
          <w:i w:val="false"/>
          <w:iCs w:val="false"/>
          <w:color w:val="222222"/>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2A4A" w:val="clear"/>
            <w:tcMar>
              <w:top w:type="dxa" w:w="120"/>
              <w:left w:type="dxa" w:w="240"/>
              <w:bottom w:type="dxa" w:w="120"/>
              <w:right w:type="dxa" w:w="240"/>
            </w:tcMar>
          </w:tcPr>
          <w:p>
            <w:pPr>
              <w:spacing w:before="0" w:after="80" w:line="276"/>
              <w:jc w:val="left"/>
            </w:pPr>
            <w:r>
              <w:rPr>
                <w:rFonts w:ascii="Arial" w:cs="Arial" w:eastAsia="Arial" w:hAnsi="Arial"/>
                <w:b/>
                <w:bCs/>
                <w:i w:val="false"/>
                <w:iCs w:val="false"/>
                <w:color w:val="FFFFFF"/>
                <w:sz w:val="22"/>
                <w:szCs w:val="22"/>
              </w:rPr>
              <w:t xml:space="preserve">REFERENCES</w:t>
            </w:r>
          </w:p>
        </w:tc>
      </w:tr>
    </w:tbl>
    <w:p>
      <w:pPr>
        <w:spacing w:before="60" w:after="80" w:line="240"/>
        <w:jc w:val="left"/>
      </w:pPr>
      <w:r>
        <w:rPr>
          <w:rFonts w:ascii="Arial" w:cs="Arial" w:eastAsia="Arial" w:hAnsi="Arial"/>
          <w:b w:val="false"/>
          <w:bCs w:val="false"/>
          <w:i w:val="false"/>
          <w:iCs w:val="false"/>
          <w:color w:val="222222"/>
          <w:sz w:val="20"/>
          <w:szCs w:val="20"/>
        </w:rPr>
        <w:t xml:space="preserve"/>
      </w:r>
    </w:p>
    <w:p>
      <w:pPr>
        <w:spacing w:before="0" w:after="80" w:line="276"/>
        <w:jc w:val="left"/>
      </w:pPr>
      <w:hyperlink w:history="1" r:id="rIdyiwo2cnanefuwkguwp_cn">
        <w:r>
          <w:rPr>
            <w:rFonts w:ascii="Arial" w:cs="Arial" w:eastAsia="Arial" w:hAnsi="Arial"/>
            <w:color w:val="2E7D8C"/>
            <w:sz w:val="18"/>
            <w:szCs w:val="18"/>
            <w:u w:val="single"/>
          </w:rPr>
          <w:t xml:space="preserve">Wikipedia — Financial Fragility</w:t>
        </w:r>
      </w:hyperlink>
    </w:p>
    <w:p>
      <w:pPr>
        <w:spacing w:before="0" w:after="80" w:line="276"/>
        <w:jc w:val="left"/>
      </w:pPr>
      <w:hyperlink w:history="1" r:id="rIdih2jjncm94cepbpofa6lz">
        <w:r>
          <w:rPr>
            <w:rFonts w:ascii="Arial" w:cs="Arial" w:eastAsia="Arial" w:hAnsi="Arial"/>
            <w:color w:val="2E7D8C"/>
            <w:sz w:val="18"/>
            <w:szCs w:val="18"/>
            <w:u w:val="single"/>
          </w:rPr>
          <w:t xml:space="preserve">NBER Working Paper 17072 (Lusardi, Schneider, Tufano 2011)</w:t>
        </w:r>
      </w:hyperlink>
    </w:p>
    <w:p>
      <w:pPr>
        <w:spacing w:before="0" w:after="80" w:line="276"/>
        <w:jc w:val="left"/>
      </w:pPr>
      <w:hyperlink w:history="1" r:id="rIdvehajrc3p5d8mgliem7pr">
        <w:r>
          <w:rPr>
            <w:rFonts w:ascii="Arial" w:cs="Arial" w:eastAsia="Arial" w:hAnsi="Arial"/>
            <w:color w:val="2E7D8C"/>
            <w:sz w:val="18"/>
            <w:szCs w:val="18"/>
            <w:u w:val="single"/>
          </w:rPr>
          <w:t xml:space="preserve">GFLEC — Financial Fragility Among Middle-Income Households (2019)</w:t>
        </w:r>
      </w:hyperlink>
    </w:p>
    <w:p>
      <w:pPr>
        <w:spacing w:before="0" w:after="80" w:line="276"/>
        <w:jc w:val="left"/>
      </w:pPr>
      <w:hyperlink w:history="1" r:id="rIdxfj7veprwmkgewhilne5w">
        <w:r>
          <w:rPr>
            <w:rFonts w:ascii="Arial" w:cs="Arial" w:eastAsia="Arial" w:hAnsi="Arial"/>
            <w:color w:val="2E7D8C"/>
            <w:sz w:val="18"/>
            <w:szCs w:val="18"/>
            <w:u w:val="single"/>
          </w:rPr>
          <w:t xml:space="preserve">GFLEC — Financial Fragility Research Paper (2018)</w:t>
        </w:r>
      </w:hyperlink>
    </w:p>
    <w:p>
      <w:pPr>
        <w:spacing w:before="0" w:after="80" w:line="276"/>
        <w:jc w:val="left"/>
      </w:pPr>
      <w:hyperlink w:history="1" r:id="rIduwxonsdlyjzud8fcsdnwx">
        <w:r>
          <w:rPr>
            <w:rFonts w:ascii="Arial" w:cs="Arial" w:eastAsia="Arial" w:hAnsi="Arial"/>
            <w:color w:val="2E7D8C"/>
            <w:sz w:val="18"/>
            <w:szCs w:val="18"/>
            <w:u w:val="single"/>
          </w:rPr>
          <w:t xml:space="preserve">ERIC — EJ1383264</w:t>
        </w:r>
      </w:hyperlink>
    </w:p>
    <w:p>
      <w:pPr>
        <w:spacing w:before="0" w:after="80" w:line="276"/>
        <w:jc w:val="left"/>
      </w:pPr>
      <w:hyperlink w:history="1" r:id="rId0azywm7lu7f-fp0rxinnn">
        <w:r>
          <w:rPr>
            <w:rFonts w:ascii="Arial" w:cs="Arial" w:eastAsia="Arial" w:hAnsi="Arial"/>
            <w:color w:val="2E7D8C"/>
            <w:sz w:val="18"/>
            <w:szCs w:val="18"/>
            <w:u w:val="single"/>
          </w:rPr>
          <w:t xml:space="preserve">ResearchGate — Financial Fragility &amp; Stress During COVID-19: Colombian Households</w:t>
        </w:r>
      </w:hyperlink>
    </w:p>
    <w:p>
      <w:pPr>
        <w:spacing w:before="0" w:after="80" w:line="276"/>
        <w:jc w:val="left"/>
      </w:pPr>
      <w:hyperlink w:history="1" r:id="rIdox1vpyvo9ngc4fuzaycx5">
        <w:r>
          <w:rPr>
            <w:rFonts w:ascii="Arial" w:cs="Arial" w:eastAsia="Arial" w:hAnsi="Arial"/>
            <w:color w:val="2E7D8C"/>
            <w:sz w:val="18"/>
            <w:szCs w:val="18"/>
            <w:u w:val="single"/>
          </w:rPr>
          <w:t xml:space="preserve">GFLEC — Anxiety and Stress Report (GFLEC-FINRA)</w:t>
        </w:r>
      </w:hyperlink>
    </w:p>
    <w:p>
      <w:pPr>
        <w:spacing w:before="0" w:after="80" w:line="276"/>
        <w:jc w:val="left"/>
      </w:pPr>
      <w:hyperlink w:history="1" r:id="rIdhlgoiaix-xlyru3b_uri_">
        <w:r>
          <w:rPr>
            <w:rFonts w:ascii="Arial" w:cs="Arial" w:eastAsia="Arial" w:hAnsi="Arial"/>
            <w:color w:val="2E7D8C"/>
            <w:sz w:val="18"/>
            <w:szCs w:val="18"/>
            <w:u w:val="single"/>
          </w:rPr>
          <w:t xml:space="preserve">ResearchGate — Measuring Financial Development in India: A PCA Approach</w:t>
        </w:r>
      </w:hyperlink>
    </w:p>
    <w:p>
      <w:pPr>
        <w:spacing w:before="0" w:after="80" w:line="276"/>
        <w:jc w:val="left"/>
      </w:pPr>
      <w:hyperlink w:history="1" r:id="rIdkqwidczjh7gqwi7xltwok">
        <w:r>
          <w:rPr>
            <w:rFonts w:ascii="Arial" w:cs="Arial" w:eastAsia="Arial" w:hAnsi="Arial"/>
            <w:color w:val="2E7D8C"/>
            <w:sz w:val="18"/>
            <w:szCs w:val="18"/>
            <w:u w:val="single"/>
          </w:rPr>
          <w:t xml:space="preserve">MDPI — Financial Inclusion Index (Gharbi et al. 2023)</w:t>
        </w:r>
      </w:hyperlink>
    </w:p>
    <w:p>
      <w:pPr>
        <w:spacing w:before="0" w:after="80" w:line="276"/>
        <w:jc w:val="left"/>
      </w:pPr>
      <w:hyperlink w:history="1" r:id="rIdikyiqyp87s1u8eq4svegx">
        <w:r>
          <w:rPr>
            <w:rFonts w:ascii="Arial" w:cs="Arial" w:eastAsia="Arial" w:hAnsi="Arial"/>
            <w:color w:val="2E7D8C"/>
            <w:sz w:val="18"/>
            <w:szCs w:val="18"/>
            <w:u w:val="single"/>
          </w:rPr>
          <w:t xml:space="preserve">NEFE — Financial Fragility Final Report</w:t>
        </w:r>
      </w:hyperlink>
    </w:p>
    <w:p>
      <w:pPr>
        <w:spacing w:before="0" w:after="80" w:line="276"/>
        <w:jc w:val="left"/>
      </w:pPr>
      <w:hyperlink w:history="1" r:id="rIdzojkr24-msthcgu4q77xk">
        <w:r>
          <w:rPr>
            <w:rFonts w:ascii="Arial" w:cs="Arial" w:eastAsia="Arial" w:hAnsi="Arial"/>
            <w:color w:val="2E7D8C"/>
            <w:sz w:val="18"/>
            <w:szCs w:val="18"/>
            <w:u w:val="single"/>
          </w:rPr>
          <w:t xml:space="preserve">PMC — Household Financial Fragility Study</w:t>
        </w:r>
      </w:hyperlink>
    </w:p>
    <w:p>
      <w:pPr>
        <w:spacing w:before="0" w:after="80" w:line="276"/>
        <w:jc w:val="left"/>
      </w:pPr>
      <w:hyperlink w:history="1" r:id="rIdodx5jmf3qn7uoh4egnb1x">
        <w:r>
          <w:rPr>
            <w:rFonts w:ascii="Arial" w:cs="Arial" w:eastAsia="Arial" w:hAnsi="Arial"/>
            <w:color w:val="2E7D8C"/>
            <w:sz w:val="18"/>
            <w:szCs w:val="18"/>
            <w:u w:val="single"/>
          </w:rPr>
          <w:t xml:space="preserve">OFR Brief 24-03 — Household Liquidity Measurement</w:t>
        </w:r>
      </w:hyperlink>
    </w:p>
    <w:p>
      <w:pPr>
        <w:spacing w:before="0" w:after="80" w:line="276"/>
        <w:jc w:val="left"/>
      </w:pPr>
      <w:hyperlink w:history="1" r:id="rIdq02_r4cvlbxvqwocugztq">
        <w:r>
          <w:rPr>
            <w:rFonts w:ascii="Arial" w:cs="Arial" w:eastAsia="Arial" w:hAnsi="Arial"/>
            <w:color w:val="2E7D8C"/>
            <w:sz w:val="18"/>
            <w:szCs w:val="18"/>
            <w:u w:val="single"/>
          </w:rPr>
          <w:t xml:space="preserve">Wiley — Journal of Consumer Affairs</w:t>
        </w:r>
      </w:hyperlink>
    </w:p>
    <w:p>
      <w:pPr>
        <w:spacing w:before="0" w:after="80" w:line="276"/>
        <w:jc w:val="left"/>
      </w:pPr>
      <w:hyperlink w:history="1" r:id="rIdcrrqpfpgiuoppvg-ef059">
        <w:r>
          <w:rPr>
            <w:rFonts w:ascii="Arial" w:cs="Arial" w:eastAsia="Arial" w:hAnsi="Arial"/>
            <w:color w:val="2E7D8C"/>
            <w:sz w:val="18"/>
            <w:szCs w:val="18"/>
            <w:u w:val="single"/>
          </w:rPr>
          <w:t xml:space="preserve">OECD/INFE — Adult Financial Literacy Survey</w:t>
        </w:r>
      </w:hyperlink>
    </w:p>
    <w:p>
      <w:pPr>
        <w:spacing w:before="0" w:after="80" w:line="276"/>
        <w:jc w:val="left"/>
      </w:pPr>
      <w:hyperlink w:history="1" r:id="rIdgvfeoqsz5rbr4rqn9ilql">
        <w:r>
          <w:rPr>
            <w:rFonts w:ascii="Arial" w:cs="Arial" w:eastAsia="Arial" w:hAnsi="Arial"/>
            <w:color w:val="2E7D8C"/>
            <w:sz w:val="18"/>
            <w:szCs w:val="18"/>
            <w:u w:val="single"/>
          </w:rPr>
          <w:t xml:space="preserve">ScienceDirect — Financial Literacy &amp; Fragility</w:t>
        </w:r>
      </w:hyperlink>
    </w:p>
    <w:p>
      <w:pPr>
        <w:spacing w:before="40" w:after="80" w:line="240"/>
        <w:jc w:val="left"/>
      </w:pPr>
      <w:r>
        <w:rPr>
          <w:rFonts w:ascii="Arial" w:cs="Arial" w:eastAsia="Arial" w:hAnsi="Arial"/>
          <w:b w:val="false"/>
          <w:bCs w:val="false"/>
          <w:i w:val="false"/>
          <w:iCs w:val="false"/>
          <w:color w:val="222222"/>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2E7D8C"/>
        <w:sz w:val="16"/>
        <w:szCs w:val="16"/>
      </w:rPr>
    </w:lvl>
  </w:abstractNum>
  <w:abstractNum w:abstractNumId="3" w15:restartNumberingAfterBreak="0">
    <w:multiLevelType w:val="hybridMultilevel"/>
    <w:lvl w:ilvl="0" w15:tentative="1">
      <w:start w:val="1"/>
      <w:numFmt w:val="bullet"/>
      <w:lvlText w:val="○"/>
      <w:lvlJc w:val="left"/>
      <w:pPr>
        <w:ind w:left="640" w:hanging="280"/>
      </w:pPr>
      <w:rPr>
        <w:rFonts w:ascii="Arial" w:cs="Arial" w:eastAsia="Arial" w:hAnsi="Arial"/>
        <w:color w:val="555555"/>
        <w:sz w:val="15"/>
        <w:szCs w:val="1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iwo2cnanefuwkguwp_cn" Type="http://schemas.openxmlformats.org/officeDocument/2006/relationships/hyperlink" Target="https://en.wikipedia.org/wiki/Financial_fragility" TargetMode="External"/><Relationship Id="rIdih2jjncm94cepbpofa6lz" Type="http://schemas.openxmlformats.org/officeDocument/2006/relationships/hyperlink" Target="https://www.nber.org/system/files/working_papers/w17072/w17072.pdf" TargetMode="External"/><Relationship Id="rIdvehajrc3p5d8mgliem7pr" Type="http://schemas.openxmlformats.org/officeDocument/2006/relationships/hyperlink" Target="https://gflec.org/wp-content/uploads/2019/04/Financial-Fragility-among-Middle-Income-Households-WP-2019-1-v2-3.pdf" TargetMode="External"/><Relationship Id="rIdxfj7veprwmkgewhilne5w" Type="http://schemas.openxmlformats.org/officeDocument/2006/relationships/hyperlink" Target="https://gflec.org/wp-content/uploads/2018/04/Financial-Fragility-Research-Paper-04-16-2018-Final.pdf" TargetMode="External"/><Relationship Id="rIduwxonsdlyjzud8fcsdnwx" Type="http://schemas.openxmlformats.org/officeDocument/2006/relationships/hyperlink" Target="https://files.eric.ed.gov/fulltext/EJ1383264.pdf" TargetMode="External"/><Relationship Id="rId0azywm7lu7f-fp0rxinnn" Type="http://schemas.openxmlformats.org/officeDocument/2006/relationships/hyperlink" Target="https://www.researchgate.net/publication/364821902_Financial_fragility_and_financial_stress_during_the_COVID-19_crisis_evidence_from_Colombian_households" TargetMode="External"/><Relationship Id="rIdox1vpyvo9ngc4fuzaycx5" Type="http://schemas.openxmlformats.org/officeDocument/2006/relationships/hyperlink" Target="https://gflec.org/wp-content/uploads/2021/04/Anxiety-and-Stress-Report-GFLEC-FINRA-FINAL.pdf" TargetMode="External"/><Relationship Id="rIdhlgoiaix-xlyru3b_uri_" Type="http://schemas.openxmlformats.org/officeDocument/2006/relationships/hyperlink" Target="https://www.researchgate.net/publication/275017860_Measuring_financial_development_in_India_A_PCA_approach" TargetMode="External"/><Relationship Id="rIdkqwidczjh7gqwi7xltwok" Type="http://schemas.openxmlformats.org/officeDocument/2006/relationships/hyperlink" Target="https://www.mdpi.com/1911-8074/16/6/296" TargetMode="External"/><Relationship Id="rIdikyiqyp87s1u8eq4svegx" Type="http://schemas.openxmlformats.org/officeDocument/2006/relationships/hyperlink" Target="https://www.nefe.org/_images/research/Financial-Fragility/Financial-Fragility-Final-Report.pdf" TargetMode="External"/><Relationship Id="rIdzojkr24-msthcgu4q77xk" Type="http://schemas.openxmlformats.org/officeDocument/2006/relationships/hyperlink" Target="https://pmc.ncbi.nlm.nih.gov/articles/PMC10492163/" TargetMode="External"/><Relationship Id="rIdodx5jmf3qn7uoh4egnb1x" Type="http://schemas.openxmlformats.org/officeDocument/2006/relationships/hyperlink" Target="https://www.financialresearch.gov/briefs/files/Ofrbrief-24-03-household-liquidity-measurement-a-new-approach.pdf" TargetMode="External"/><Relationship Id="rIdq02_r4cvlbxvqwocugztq" Type="http://schemas.openxmlformats.org/officeDocument/2006/relationships/hyperlink" Target="https://onlinelibrary.wiley.com/doi/full/10.1002/joe.22209" TargetMode="External"/><Relationship Id="rIdcrrqpfpgiuoppvg-ef059" Type="http://schemas.openxmlformats.org/officeDocument/2006/relationships/hyperlink" Target="https://www.oecd.org/content/dam/oecd/en/topics/policy-sub-issues/financial-education/OECD-INFE-adult-survey-flyer.pdf" TargetMode="External"/><Relationship Id="rIdgvfeoqsz5rbr4rqn9ilql" Type="http://schemas.openxmlformats.org/officeDocument/2006/relationships/hyperlink" Target="https://www.sciencedirect.com/science/article/pii/S1544612324004082"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2026-03-16T13:16:09.087Z</dcterms:created>
  <dcterms:modified xsi:type="dcterms:W3CDTF">2026-03-16T13:16:09.088Z</dcterms:modified>
</cp:coreProperties>
</file>

<file path=docProps/custom.xml><?xml version="1.0" encoding="utf-8"?>
<Properties xmlns="http://schemas.openxmlformats.org/officeDocument/2006/custom-properties" xmlns:vt="http://schemas.openxmlformats.org/officeDocument/2006/docPropsVTypes"/>
</file>