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4E71" w14:textId="77777777" w:rsidR="003B28C0" w:rsidRDefault="00000000">
      <w:pPr>
        <w:pStyle w:val="Heading1"/>
      </w:pPr>
      <w:bookmarkStart w:id="0" w:name="X4aec219b1ed0f3b73e9a4df568eaad259623d9f"/>
      <w:r>
        <w:t>Independent Case Analysis: Value Realization in Clorox’s SAP S/4HANA Transformation</w:t>
      </w:r>
    </w:p>
    <w:p w14:paraId="077A2717" w14:textId="1A299C8B" w:rsidR="003B28C0" w:rsidRDefault="00000000" w:rsidP="00B96F4B">
      <w:pPr>
        <w:pStyle w:val="FirstParagraph"/>
      </w:pPr>
      <w:r>
        <w:rPr>
          <w:b/>
          <w:bCs/>
        </w:rPr>
        <w:t>Author:</w:t>
      </w:r>
      <w:r>
        <w:t xml:space="preserve"> Himani Shah </w:t>
      </w:r>
      <w:r w:rsidR="00B96F4B">
        <w:br/>
      </w:r>
      <w:r>
        <w:rPr>
          <w:b/>
          <w:bCs/>
        </w:rPr>
        <w:t>Type:</w:t>
      </w:r>
      <w:r>
        <w:t xml:space="preserve"> Independent analysis based on public reporting. Not affiliated with Clorox, Accenture, or SAP. </w:t>
      </w:r>
      <w:r w:rsidR="00B96F4B">
        <w:br/>
      </w:r>
      <w:r>
        <w:rPr>
          <w:b/>
          <w:bCs/>
        </w:rPr>
        <w:t>Sources:</w:t>
      </w:r>
      <w:r>
        <w:t xml:space="preserve"> </w:t>
      </w:r>
      <w:proofErr w:type="spellStart"/>
      <w:r>
        <w:t>SAPinsider</w:t>
      </w:r>
      <w:proofErr w:type="spellEnd"/>
      <w:r>
        <w:t xml:space="preserve"> and </w:t>
      </w:r>
      <w:proofErr w:type="spellStart"/>
      <w:r>
        <w:t>ERP.today</w:t>
      </w:r>
      <w:proofErr w:type="spellEnd"/>
      <w:r>
        <w:t xml:space="preserve"> coverage of Clorox’s SAP S/4HANA program, published in 2026.</w:t>
      </w:r>
    </w:p>
    <w:p w14:paraId="743A4776" w14:textId="77777777" w:rsidR="003B28C0" w:rsidRDefault="00000000">
      <w:pPr>
        <w:pStyle w:val="Heading2"/>
      </w:pPr>
      <w:bookmarkStart w:id="1" w:name="a-note-on-what-this-is"/>
      <w:r>
        <w:t>A note on what this is</w:t>
      </w:r>
    </w:p>
    <w:p w14:paraId="44D490DB" w14:textId="562B421C" w:rsidR="003B28C0" w:rsidRDefault="00000000" w:rsidP="00B96F4B">
      <w:pPr>
        <w:pStyle w:val="FirstParagraph"/>
      </w:pPr>
      <w:r>
        <w:t>I did not work on this program. I have no connection to Clorox, Accenture, or SAP. I put this together to practice the kind of value realization and governance thinking that SAP transformation advisors actually do, using a real, well documented program instead of a made up scenario. Anywhere the public reporting does not give me a specific number or a decision rationale, I say so directly instead of filling the gap myself.</w:t>
      </w:r>
    </w:p>
    <w:p w14:paraId="29C5EE5D" w14:textId="77777777" w:rsidR="003B28C0" w:rsidRDefault="00000000">
      <w:pPr>
        <w:pStyle w:val="Heading2"/>
      </w:pPr>
      <w:bookmarkStart w:id="2" w:name="executive-summary"/>
      <w:bookmarkEnd w:id="1"/>
      <w:r>
        <w:t>Executive Summary</w:t>
      </w:r>
    </w:p>
    <w:p w14:paraId="681F44FB" w14:textId="0792DE9A" w:rsidR="003B28C0" w:rsidRDefault="00000000" w:rsidP="00B96F4B">
      <w:pPr>
        <w:pStyle w:val="FirstParagraph"/>
      </w:pPr>
      <w:r>
        <w:t xml:space="preserve">Clorox completed a five year, $580 million SAP S/4HANA transformation in January 2026, replacing a roughly 20 year old SAP environment across 21 manufacturing plants in the US and Canada. The program is a useful case because it was not a clean win: Clorox announced its acquisition of GOJO Industries in the same month it was still stabilizing the new system, and the cutover itself caused a real, acknowledged dip in supply chain performance. This analysis reconstructs the adoption and stability metrics Clorox tracked after go live, and examines the tradeoff created by the acquisition timing. My recommendation is that Clorox made the right call sequencing the acquisition after technical stabilization, but that the program’s real resilience depends on a technical question the public record does not </w:t>
      </w:r>
      <w:proofErr w:type="gramStart"/>
      <w:r>
        <w:t>answer:</w:t>
      </w:r>
      <w:proofErr w:type="gramEnd"/>
      <w:r>
        <w:t xml:space="preserve"> whether Clorox built on a clean core or carried forward significant custom code, since that determines how much risk the GOJO integration </w:t>
      </w:r>
      <w:proofErr w:type="gramStart"/>
      <w:r>
        <w:t>actually carries</w:t>
      </w:r>
      <w:proofErr w:type="gramEnd"/>
      <w:r>
        <w:t>.</w:t>
      </w:r>
    </w:p>
    <w:p w14:paraId="12A65150" w14:textId="77777777" w:rsidR="003B28C0" w:rsidRDefault="00000000">
      <w:pPr>
        <w:pStyle w:val="Heading2"/>
      </w:pPr>
      <w:bookmarkStart w:id="3" w:name="situation-and-background"/>
      <w:bookmarkEnd w:id="2"/>
      <w:r>
        <w:t>Situation and Background</w:t>
      </w:r>
    </w:p>
    <w:p w14:paraId="118A34C5" w14:textId="77777777" w:rsidR="003B28C0" w:rsidRDefault="00000000">
      <w:pPr>
        <w:pStyle w:val="FirstParagraph"/>
      </w:pPr>
      <w:r>
        <w:t>Clorox finished its transformation in January 2026, moving off a legacy SAP environment onto a cloud based S/4HANA platform. The rollout touched 21 manufacturing plants and required training more than 5,000 employees across about 38,000 hours of instruction. The new platform ties finance, supply chain, sales, and planning together on shared real time data.</w:t>
      </w:r>
    </w:p>
    <w:p w14:paraId="7E1720B6" w14:textId="77777777" w:rsidR="003B28C0" w:rsidRDefault="00000000">
      <w:pPr>
        <w:pStyle w:val="BodyText"/>
      </w:pPr>
      <w:r>
        <w:t>Two things about this program make it worth studying rather than just admiring. First, Clorox announced its acquisition of GOJO Industries, the maker of Purell, in January 2026, while it was still stabilizing operations after its own go live. Second, the transition caused real disruption. Some retailers ended up understocked as procurement issues surfaced, even though Clorox had deliberately built up extra inventory ahead of cutover to buffer against exactly that kind of problem.</w:t>
      </w:r>
    </w:p>
    <w:p w14:paraId="584EDA54" w14:textId="77777777" w:rsidR="003B28C0" w:rsidRDefault="00000000">
      <w:pPr>
        <w:pStyle w:val="Heading2"/>
      </w:pPr>
      <w:bookmarkStart w:id="4" w:name="problem-statement"/>
      <w:bookmarkEnd w:id="3"/>
      <w:r>
        <w:lastRenderedPageBreak/>
        <w:t>Problem Statement</w:t>
      </w:r>
    </w:p>
    <w:p w14:paraId="641ABE3A" w14:textId="77777777" w:rsidR="003B28C0" w:rsidRDefault="00000000">
      <w:pPr>
        <w:pStyle w:val="FirstParagraph"/>
      </w:pPr>
      <w:r>
        <w:t>Given that Clorox’s ERP stabilization period overlapped with a major acquisition announcement, was sequencing the acquisition after the technical rollout the right call, and what does the public record leave unanswered about the risk behind that decision?</w:t>
      </w:r>
    </w:p>
    <w:p w14:paraId="71009E9E" w14:textId="77777777" w:rsidR="003B28C0" w:rsidRDefault="00000000">
      <w:pPr>
        <w:pStyle w:val="Heading2"/>
      </w:pPr>
      <w:bookmarkStart w:id="5" w:name="analysis"/>
      <w:bookmarkEnd w:id="4"/>
      <w:r>
        <w:t>Analysis</w:t>
      </w:r>
    </w:p>
    <w:p w14:paraId="3FD214A6" w14:textId="77777777" w:rsidR="003B28C0" w:rsidRDefault="00000000">
      <w:pPr>
        <w:pStyle w:val="Heading3"/>
      </w:pPr>
      <w:bookmarkStart w:id="6" w:name="how-they-planned-it"/>
      <w:r>
        <w:t>How they planned it</w:t>
      </w:r>
    </w:p>
    <w:p w14:paraId="796F0AE1" w14:textId="77777777" w:rsidR="003B28C0" w:rsidRDefault="00000000">
      <w:pPr>
        <w:pStyle w:val="FirstParagraph"/>
      </w:pPr>
      <w:r>
        <w:t>Before making deployment decisions, Clorox and Accenture ran a structured planning phase. They analyzed end to end processes, systems, and performance using process mining and stakeholder input to build a baseline. Then they benchmarked Clorox against consumer goods peers and cross industry programs to build a credible business case, and adjusted those benchmarks to reflect Clorox’s own complexity: its product range, its manufacturing diversity, its supply chain.</w:t>
      </w:r>
    </w:p>
    <w:p w14:paraId="34014D21" w14:textId="77777777" w:rsidR="003B28C0" w:rsidRDefault="00000000">
      <w:pPr>
        <w:pStyle w:val="BodyText"/>
      </w:pPr>
      <w:r>
        <w:t>I think this sequence matters because it is basically what business case development is supposed to look like. You do not pick a plan first and then find data that supports it. You build a baseline, compare against real peers, and only then shape the plan around what is actually true about the organization.</w:t>
      </w:r>
    </w:p>
    <w:p w14:paraId="30F8BA57" w14:textId="77777777" w:rsidR="003B28C0" w:rsidRDefault="00000000">
      <w:pPr>
        <w:pStyle w:val="BodyText"/>
      </w:pPr>
      <w:r>
        <w:t>Each deployment wave was also built around real operational constraints, not just a calendar. Accenture’s Johan Opperman, who worked on the program directly, described sequencing waves around seasonality, product availability windows, and supply network dependencies. They tested each wave end to end before and during deployment, checking both system performance and business performance, and adjusted later waves based on what earlier ones showed them.</w:t>
      </w:r>
    </w:p>
    <w:p w14:paraId="51115CCB" w14:textId="77777777" w:rsidR="003B28C0" w:rsidRDefault="00000000">
      <w:pPr>
        <w:pStyle w:val="BodyText"/>
      </w:pPr>
      <w:r>
        <w:t>One thing the public reporting does not spell out, and that I think matters: whether this was a system conversion from their existing SAP environment or a full greenfield reimplementation, and whether Clorox followed SAP Activate, which is SAP’s own standard implementation methodology, or a customized version of it built with Accenture. A conversion carries forward existing configuration and historical data, which is faster but drags along years of custom code and workarounds. A greenfield build starts clean but costs more and takes longer to reach parity on reporting and historical analysis. Given that Clorox was replacing a roughly 20 year old environment, I would guess they leaned toward a fuller rebuild rather than a straight conversion, but the public record does not confirm this, so I am flagging it as an open question rather than a fact.</w:t>
      </w:r>
    </w:p>
    <w:p w14:paraId="2221B2A3" w14:textId="77777777" w:rsidR="003B28C0" w:rsidRDefault="00000000">
      <w:pPr>
        <w:pStyle w:val="Heading3"/>
      </w:pPr>
      <w:bookmarkStart w:id="7" w:name="X0eca950cb3ca710c89c7cd9ecd65a11f6b1787b"/>
      <w:bookmarkEnd w:id="6"/>
      <w:r>
        <w:t>Reconstructed value realization scorecard</w:t>
      </w:r>
    </w:p>
    <w:p w14:paraId="01CED75C" w14:textId="77777777" w:rsidR="003B28C0" w:rsidRDefault="00000000">
      <w:pPr>
        <w:pStyle w:val="FirstParagraph"/>
      </w:pPr>
      <w:r>
        <w:t>The SAPinsider reporting names specific indicators that Clorox and Accenture tracked after go live to check whether the transition was actually holding up. I organized these into a scorecard below. The categories and indicators come directly from the reporting. The columns showing targets or status are my own illustration of how you would use these indicators, not Clorox’s actual internal thresholds, which are not public.</w:t>
      </w:r>
    </w:p>
    <w:tbl>
      <w:tblPr>
        <w:tblStyle w:val="Table"/>
        <w:tblW w:w="5000" w:type="pct"/>
        <w:tblLook w:val="0020" w:firstRow="1" w:lastRow="0" w:firstColumn="0" w:lastColumn="0" w:noHBand="0" w:noVBand="0"/>
      </w:tblPr>
      <w:tblGrid>
        <w:gridCol w:w="1822"/>
        <w:gridCol w:w="3658"/>
        <w:gridCol w:w="4096"/>
      </w:tblGrid>
      <w:tr w:rsidR="003B28C0" w14:paraId="77F2C5FC" w14:textId="77777777" w:rsidTr="003B28C0">
        <w:trPr>
          <w:cnfStyle w:val="100000000000" w:firstRow="1" w:lastRow="0" w:firstColumn="0" w:lastColumn="0" w:oddVBand="0" w:evenVBand="0" w:oddHBand="0" w:evenHBand="0" w:firstRowFirstColumn="0" w:firstRowLastColumn="0" w:lastRowFirstColumn="0" w:lastRowLastColumn="0"/>
          <w:tblHeader/>
        </w:trPr>
        <w:tc>
          <w:tcPr>
            <w:tcW w:w="0" w:type="auto"/>
          </w:tcPr>
          <w:p w14:paraId="7728841D" w14:textId="77777777" w:rsidR="003B28C0" w:rsidRDefault="00000000">
            <w:pPr>
              <w:pStyle w:val="Compact"/>
            </w:pPr>
            <w:r>
              <w:lastRenderedPageBreak/>
              <w:t>Category</w:t>
            </w:r>
          </w:p>
        </w:tc>
        <w:tc>
          <w:tcPr>
            <w:tcW w:w="0" w:type="auto"/>
          </w:tcPr>
          <w:p w14:paraId="6861465E" w14:textId="77777777" w:rsidR="003B28C0" w:rsidRDefault="00000000">
            <w:pPr>
              <w:pStyle w:val="Compact"/>
            </w:pPr>
            <w:r>
              <w:t>Indicator (as reported)</w:t>
            </w:r>
          </w:p>
        </w:tc>
        <w:tc>
          <w:tcPr>
            <w:tcW w:w="0" w:type="auto"/>
          </w:tcPr>
          <w:p w14:paraId="76D58240" w14:textId="77777777" w:rsidR="003B28C0" w:rsidRDefault="00000000">
            <w:pPr>
              <w:pStyle w:val="Compact"/>
            </w:pPr>
            <w:r>
              <w:t>What it tells you</w:t>
            </w:r>
          </w:p>
        </w:tc>
      </w:tr>
      <w:tr w:rsidR="003B28C0" w14:paraId="007CACD7" w14:textId="77777777">
        <w:tc>
          <w:tcPr>
            <w:tcW w:w="0" w:type="auto"/>
          </w:tcPr>
          <w:p w14:paraId="37A2549A" w14:textId="77777777" w:rsidR="003B28C0" w:rsidRDefault="00000000">
            <w:pPr>
              <w:pStyle w:val="Compact"/>
            </w:pPr>
            <w:r>
              <w:t>Operational stability</w:t>
            </w:r>
          </w:p>
        </w:tc>
        <w:tc>
          <w:tcPr>
            <w:tcW w:w="0" w:type="auto"/>
          </w:tcPr>
          <w:p w14:paraId="69945BC1" w14:textId="77777777" w:rsidR="003B28C0" w:rsidRDefault="00000000">
            <w:pPr>
              <w:pStyle w:val="Compact"/>
            </w:pPr>
            <w:r>
              <w:t>Steady order flow</w:t>
            </w:r>
          </w:p>
        </w:tc>
        <w:tc>
          <w:tcPr>
            <w:tcW w:w="0" w:type="auto"/>
          </w:tcPr>
          <w:p w14:paraId="7B90E3B6" w14:textId="77777777" w:rsidR="003B28C0" w:rsidRDefault="00000000">
            <w:pPr>
              <w:pStyle w:val="Compact"/>
            </w:pPr>
            <w:r>
              <w:t>Whether core transactions are moving without manual workarounds</w:t>
            </w:r>
          </w:p>
        </w:tc>
      </w:tr>
      <w:tr w:rsidR="003B28C0" w14:paraId="0C61E3E2" w14:textId="77777777">
        <w:tc>
          <w:tcPr>
            <w:tcW w:w="0" w:type="auto"/>
          </w:tcPr>
          <w:p w14:paraId="49FF60FD" w14:textId="77777777" w:rsidR="003B28C0" w:rsidRDefault="00000000">
            <w:pPr>
              <w:pStyle w:val="Compact"/>
            </w:pPr>
            <w:r>
              <w:t>Operational stability</w:t>
            </w:r>
          </w:p>
        </w:tc>
        <w:tc>
          <w:tcPr>
            <w:tcW w:w="0" w:type="auto"/>
          </w:tcPr>
          <w:p w14:paraId="65389C2E" w14:textId="77777777" w:rsidR="003B28C0" w:rsidRDefault="00000000">
            <w:pPr>
              <w:pStyle w:val="Compact"/>
            </w:pPr>
            <w:r>
              <w:t>Predictable plant and warehouse execution</w:t>
            </w:r>
          </w:p>
        </w:tc>
        <w:tc>
          <w:tcPr>
            <w:tcW w:w="0" w:type="auto"/>
          </w:tcPr>
          <w:p w14:paraId="47CC86F3" w14:textId="77777777" w:rsidR="003B28C0" w:rsidRDefault="00000000">
            <w:pPr>
              <w:pStyle w:val="Compact"/>
            </w:pPr>
            <w:r>
              <w:t>Whether physical operations are keeping pace with the new system</w:t>
            </w:r>
          </w:p>
        </w:tc>
      </w:tr>
      <w:tr w:rsidR="003B28C0" w14:paraId="5C153314" w14:textId="77777777">
        <w:tc>
          <w:tcPr>
            <w:tcW w:w="0" w:type="auto"/>
          </w:tcPr>
          <w:p w14:paraId="22701325" w14:textId="77777777" w:rsidR="003B28C0" w:rsidRDefault="00000000">
            <w:pPr>
              <w:pStyle w:val="Compact"/>
            </w:pPr>
            <w:r>
              <w:t>Operational stability</w:t>
            </w:r>
          </w:p>
        </w:tc>
        <w:tc>
          <w:tcPr>
            <w:tcW w:w="0" w:type="auto"/>
          </w:tcPr>
          <w:p w14:paraId="409B3534" w14:textId="77777777" w:rsidR="003B28C0" w:rsidRDefault="00000000">
            <w:pPr>
              <w:pStyle w:val="Compact"/>
            </w:pPr>
            <w:r>
              <w:t>Declining high severity incidents</w:t>
            </w:r>
          </w:p>
        </w:tc>
        <w:tc>
          <w:tcPr>
            <w:tcW w:w="0" w:type="auto"/>
          </w:tcPr>
          <w:p w14:paraId="1D54DFAA" w14:textId="77777777" w:rsidR="003B28C0" w:rsidRDefault="00000000">
            <w:pPr>
              <w:pStyle w:val="Compact"/>
            </w:pPr>
            <w:r>
              <w:t>Whether the system is stabilizing over time instead of getting worse</w:t>
            </w:r>
          </w:p>
        </w:tc>
      </w:tr>
      <w:tr w:rsidR="003B28C0" w14:paraId="1568CBB5" w14:textId="77777777">
        <w:tc>
          <w:tcPr>
            <w:tcW w:w="0" w:type="auto"/>
          </w:tcPr>
          <w:p w14:paraId="34557A8E" w14:textId="77777777" w:rsidR="003B28C0" w:rsidRDefault="00000000">
            <w:pPr>
              <w:pStyle w:val="Compact"/>
            </w:pPr>
            <w:r>
              <w:t>User adoption</w:t>
            </w:r>
          </w:p>
        </w:tc>
        <w:tc>
          <w:tcPr>
            <w:tcW w:w="0" w:type="auto"/>
          </w:tcPr>
          <w:p w14:paraId="4E4B6FD4" w14:textId="77777777" w:rsidR="003B28C0" w:rsidRDefault="00000000">
            <w:pPr>
              <w:pStyle w:val="Compact"/>
            </w:pPr>
            <w:r>
              <w:t>People completing work without reverting to workarounds</w:t>
            </w:r>
          </w:p>
        </w:tc>
        <w:tc>
          <w:tcPr>
            <w:tcW w:w="0" w:type="auto"/>
          </w:tcPr>
          <w:p w14:paraId="3F0DF47A" w14:textId="77777777" w:rsidR="003B28C0" w:rsidRDefault="00000000">
            <w:pPr>
              <w:pStyle w:val="Compact"/>
            </w:pPr>
            <w:r>
              <w:t>The clearest sign of real adoption instead of surface level compliance</w:t>
            </w:r>
          </w:p>
        </w:tc>
      </w:tr>
      <w:tr w:rsidR="003B28C0" w14:paraId="5EB9B658" w14:textId="77777777">
        <w:tc>
          <w:tcPr>
            <w:tcW w:w="0" w:type="auto"/>
          </w:tcPr>
          <w:p w14:paraId="705B9AFE" w14:textId="77777777" w:rsidR="003B28C0" w:rsidRDefault="00000000">
            <w:pPr>
              <w:pStyle w:val="Compact"/>
            </w:pPr>
            <w:r>
              <w:t>User adoption</w:t>
            </w:r>
          </w:p>
        </w:tc>
        <w:tc>
          <w:tcPr>
            <w:tcW w:w="0" w:type="auto"/>
          </w:tcPr>
          <w:p w14:paraId="055603FA" w14:textId="77777777" w:rsidR="003B28C0" w:rsidRDefault="00000000">
            <w:pPr>
              <w:pStyle w:val="Compact"/>
            </w:pPr>
            <w:r>
              <w:t>Faster time to resolution on common issues</w:t>
            </w:r>
          </w:p>
        </w:tc>
        <w:tc>
          <w:tcPr>
            <w:tcW w:w="0" w:type="auto"/>
          </w:tcPr>
          <w:p w14:paraId="4FE3517B" w14:textId="77777777" w:rsidR="003B28C0" w:rsidRDefault="00000000">
            <w:pPr>
              <w:pStyle w:val="Compact"/>
            </w:pPr>
            <w:r>
              <w:t>Whether support processes and user familiarity are maturing</w:t>
            </w:r>
          </w:p>
        </w:tc>
      </w:tr>
      <w:tr w:rsidR="003B28C0" w14:paraId="7AA3AC27" w14:textId="77777777">
        <w:tc>
          <w:tcPr>
            <w:tcW w:w="0" w:type="auto"/>
          </w:tcPr>
          <w:p w14:paraId="159545EF" w14:textId="77777777" w:rsidR="003B28C0" w:rsidRDefault="00000000">
            <w:pPr>
              <w:pStyle w:val="Compact"/>
            </w:pPr>
            <w:r>
              <w:t>User adoption</w:t>
            </w:r>
          </w:p>
        </w:tc>
        <w:tc>
          <w:tcPr>
            <w:tcW w:w="0" w:type="auto"/>
          </w:tcPr>
          <w:p w14:paraId="1AA88DE2" w14:textId="77777777" w:rsidR="003B28C0" w:rsidRDefault="00000000">
            <w:pPr>
              <w:pStyle w:val="Compact"/>
            </w:pPr>
            <w:r>
              <w:t>Consistent adherence to new processes</w:t>
            </w:r>
          </w:p>
        </w:tc>
        <w:tc>
          <w:tcPr>
            <w:tcW w:w="0" w:type="auto"/>
          </w:tcPr>
          <w:p w14:paraId="4F57E972" w14:textId="77777777" w:rsidR="003B28C0" w:rsidRDefault="00000000">
            <w:pPr>
              <w:pStyle w:val="Compact"/>
            </w:pPr>
            <w:r>
              <w:t>Whether the redesigned processes are sticking, not just the software</w:t>
            </w:r>
          </w:p>
        </w:tc>
      </w:tr>
    </w:tbl>
    <w:p w14:paraId="74104A07" w14:textId="77777777" w:rsidR="003B28C0" w:rsidRDefault="00000000">
      <w:pPr>
        <w:pStyle w:val="BodyText"/>
      </w:pPr>
      <w:r>
        <w:t>What stands out to me is that every one of these is a behavioral or operational signal, not a project milestone like “go live achieved” or “training completed.” That lines up with what SAP’s own published guidance says about value realization: organizations that only track delivery milestones often find later that a lot of functionality goes unused and costs creep up, because nobody was actually measuring whether people changed how they work.</w:t>
      </w:r>
    </w:p>
    <w:p w14:paraId="2FF4E41B" w14:textId="77777777" w:rsidR="003B28C0" w:rsidRDefault="00000000">
      <w:pPr>
        <w:pStyle w:val="Heading2"/>
      </w:pPr>
      <w:bookmarkStart w:id="8" w:name="options-considered"/>
      <w:bookmarkEnd w:id="5"/>
      <w:bookmarkEnd w:id="7"/>
      <w:r>
        <w:t>Options Considered</w:t>
      </w:r>
    </w:p>
    <w:p w14:paraId="60DFB97F" w14:textId="77777777" w:rsidR="003B28C0" w:rsidRDefault="00000000">
      <w:pPr>
        <w:pStyle w:val="FirstParagraph"/>
      </w:pPr>
      <w:r>
        <w:rPr>
          <w:b/>
          <w:bCs/>
        </w:rPr>
        <w:t>Option A: Sequence the acquisition after ERP stabilization.</w:t>
      </w:r>
      <w:r>
        <w:t xml:space="preserve"> This is what Clorox actually did. It protects the integration timeline by making sure the underlying platform is proven before layering a second major change on top of it.</w:t>
      </w:r>
    </w:p>
    <w:p w14:paraId="01DC273D" w14:textId="77777777" w:rsidR="003B28C0" w:rsidRDefault="00000000">
      <w:pPr>
        <w:pStyle w:val="BodyText"/>
      </w:pPr>
      <w:r>
        <w:rPr>
          <w:b/>
          <w:bCs/>
        </w:rPr>
        <w:t>Option B: Run the acquisition integration in parallel with ERP stabilization.</w:t>
      </w:r>
      <w:r>
        <w:t xml:space="preserve"> This would compress overall timeline and let Clorox move faster on the GOJO opportunity, but it means absorbing two major sources of organizational and system risk at the same time, with no proven baseline to fall back on if either effort runs into trouble.</w:t>
      </w:r>
    </w:p>
    <w:p w14:paraId="75DA0A6D" w14:textId="77777777" w:rsidR="003B28C0" w:rsidRDefault="00000000">
      <w:pPr>
        <w:pStyle w:val="BodyText"/>
      </w:pPr>
      <w:r>
        <w:rPr>
          <w:b/>
          <w:bCs/>
        </w:rPr>
        <w:t>Option C: Delay the ERP go live so it lands closer to, or after, the acquisition closes.</w:t>
      </w:r>
      <w:r>
        <w:t xml:space="preserve"> This would avoid the overlap entirely, but it means holding back the benefits of the new platform (real time data, standardized processes) for longer, and it assumes Clorox had control over the acquisition timeline, which is unlikely given that GOJO was presumably driven by its own market and ownership circumstances.</w:t>
      </w:r>
    </w:p>
    <w:p w14:paraId="48CEEB70" w14:textId="77777777" w:rsidR="003B28C0" w:rsidRDefault="00000000">
      <w:pPr>
        <w:pStyle w:val="Heading2"/>
      </w:pPr>
      <w:bookmarkStart w:id="9" w:name="recommendation"/>
      <w:bookmarkEnd w:id="8"/>
      <w:r>
        <w:t>Recommendation</w:t>
      </w:r>
    </w:p>
    <w:p w14:paraId="452B1169" w14:textId="77777777" w:rsidR="003B28C0" w:rsidRDefault="00000000">
      <w:pPr>
        <w:pStyle w:val="FirstParagraph"/>
      </w:pPr>
      <w:r>
        <w:t>Option A is the right call given what is public. Running an acquisition integration on top of an unstabilized ERP platform multiplies risk on both sides at once, so finishing the technical rollout first is the lower risk order of operations, even though it meant absorbing acquisition related pressure while the adoption scorecard above was still proving itself out.</w:t>
      </w:r>
    </w:p>
    <w:p w14:paraId="2047CE4D" w14:textId="77777777" w:rsidR="003B28C0" w:rsidRDefault="00000000">
      <w:pPr>
        <w:pStyle w:val="BodyText"/>
      </w:pPr>
      <w:r>
        <w:lastRenderedPageBreak/>
        <w:t>Where I would push harder, if I were actually advising this program, is on communication. I would want the adoption scorecard reported clearly to the board and investors before the acquisition announcement went out, so any market reaction to a soft first quarter gets attributed to the already disclosed ERP transition instead of reading as a new, separate concern layered on top of acquisition news. I want to be clear the public reporting does not tell us how communication was actually handled here. This is my recommendation, not a gap I can confirm existed.</w:t>
      </w:r>
    </w:p>
    <w:p w14:paraId="7DC21BB0" w14:textId="77777777" w:rsidR="003B28C0" w:rsidRDefault="00000000">
      <w:pPr>
        <w:pStyle w:val="Heading2"/>
      </w:pPr>
      <w:bookmarkStart w:id="10" w:name="risks-and-open-questions"/>
      <w:bookmarkEnd w:id="9"/>
      <w:r>
        <w:t>Risks and Open Questions</w:t>
      </w:r>
    </w:p>
    <w:p w14:paraId="1AAD263A" w14:textId="77777777" w:rsidR="003B28C0" w:rsidRDefault="00000000">
      <w:pPr>
        <w:pStyle w:val="FirstParagraph"/>
      </w:pPr>
      <w:r>
        <w:rPr>
          <w:b/>
          <w:bCs/>
        </w:rPr>
        <w:t>Clean core versus custom code.</w:t>
      </w:r>
      <w:r>
        <w:t xml:space="preserve"> The public reporting does not say whether Clorox kept their S/4HANA build close to SAP standard, sometimes called a clean core approach, or carried forward significant custom code and configuration from their legacy system. That answer changes how hard the GOJO integration actually is. A clean core build gives Clorox a more standardized landscape to absorb GOJO’s systems into, since there is less custom logic that a new acquisition’s data and processes have to reconcile against. A build with a lot of carried over customization means every GOJO integration decision has to be checked against Clorox specific exceptions, which slows things down and raises risk. I do not know which one Clorox actually did, but if I were advising this program, this is the first technical question I would ask before finalizing any recommendation on acquisition timing, because it changes how much of the recommendation above actually holds.</w:t>
      </w:r>
    </w:p>
    <w:p w14:paraId="7FA03923" w14:textId="77777777" w:rsidR="003B28C0" w:rsidRDefault="00000000">
      <w:pPr>
        <w:pStyle w:val="BodyText"/>
      </w:pPr>
      <w:r>
        <w:rPr>
          <w:b/>
          <w:bCs/>
        </w:rPr>
        <w:t>Undefined thresholds on the adoption scorecard.</w:t>
      </w:r>
      <w:r>
        <w:t xml:space="preserve"> The indicators in the scorecard are directional, not numeric. Without agreed thresholds for what counts as a “declining trend” or “consistent adherence,” the scorecard risks becoming a qualitative judgment call exactly when leadership needs an objective answer, which is during a stretch of real pressure like the GOJO timing overlap.</w:t>
      </w:r>
    </w:p>
    <w:p w14:paraId="40BCEB27" w14:textId="77777777" w:rsidR="003B28C0" w:rsidRDefault="00000000">
      <w:pPr>
        <w:pStyle w:val="BodyText"/>
      </w:pPr>
      <w:r>
        <w:rPr>
          <w:b/>
          <w:bCs/>
        </w:rPr>
        <w:t>Communication risk during the acquisition window.</w:t>
      </w:r>
      <w:r>
        <w:t xml:space="preserve"> As noted above, the public record does not confirm whether Clorox proactively separated the ERP related Q1 softness from the GOJO announcement in its investor and board communication. If that separation was not made clearly, the market may have priced in more uncertainty than either event alone actually warranted.</w:t>
      </w:r>
    </w:p>
    <w:p w14:paraId="2A95FF2D" w14:textId="77777777" w:rsidR="003B28C0" w:rsidRDefault="00000000">
      <w:pPr>
        <w:pStyle w:val="Heading2"/>
      </w:pPr>
      <w:bookmarkStart w:id="11" w:name="X33f4860bb4f8ef8281b50575c45456fe08cd29c"/>
      <w:bookmarkEnd w:id="10"/>
      <w:r>
        <w:t>What I Would Take Into an Actual Advisory Role</w:t>
      </w:r>
    </w:p>
    <w:p w14:paraId="576B2A2D" w14:textId="77777777" w:rsidR="003B28C0" w:rsidRDefault="00000000">
      <w:pPr>
        <w:pStyle w:val="FirstParagraph"/>
      </w:pPr>
      <w:r>
        <w:t>Value realization needs behavioral metrics, not just delivery metrics. The scorecard above is a structure I would reuse: operational stability paired with user adoption, tracked together instead of picking one or the other.</w:t>
      </w:r>
    </w:p>
    <w:p w14:paraId="453DEF77" w14:textId="77777777" w:rsidR="003B28C0" w:rsidRDefault="00000000">
      <w:pPr>
        <w:pStyle w:val="BodyText"/>
      </w:pPr>
      <w:r>
        <w:t>Benchmarking has to be adjusted, not just applied. Clorox and Accenture did not stop at comparing against CPG peers. They adjusted those benchmarks for Clorox’s own complexity. A business case built on unadjusted industry averages is a weaker business case.</w:t>
      </w:r>
    </w:p>
    <w:p w14:paraId="74189061" w14:textId="77777777" w:rsidR="003B28C0" w:rsidRDefault="00000000">
      <w:pPr>
        <w:pStyle w:val="BodyText"/>
      </w:pPr>
      <w:r>
        <w:t xml:space="preserve">Sequencing decisions under real business pressure, like an acquisition landing mid transformation, are where advisory judgment actually gets tested. No dashboard or </w:t>
      </w:r>
      <w:r>
        <w:lastRenderedPageBreak/>
        <w:t>scorecard can substitute for that kind of call, and it is the part I would want to be evaluated on in an interview.</w:t>
      </w:r>
    </w:p>
    <w:p w14:paraId="6D67C582" w14:textId="77777777" w:rsidR="003B28C0" w:rsidRDefault="00224B07">
      <w:r>
        <w:rPr>
          <w:noProof/>
        </w:rPr>
        <w:pict w14:anchorId="18B88359">
          <v:rect id="_x0000_i1025" alt="" style="width:468pt;height:.05pt;mso-width-percent:0;mso-height-percent:0;mso-width-percent:0;mso-height-percent:0" o:hralign="center" o:hrstd="t" o:hr="t"/>
        </w:pict>
      </w:r>
    </w:p>
    <w:p w14:paraId="4110F833" w14:textId="77777777" w:rsidR="003B28C0" w:rsidRDefault="00000000">
      <w:pPr>
        <w:pStyle w:val="FirstParagraph"/>
        <w:rPr>
          <w:i/>
          <w:iCs/>
        </w:rPr>
      </w:pPr>
      <w:r>
        <w:rPr>
          <w:i/>
          <w:iCs/>
        </w:rPr>
        <w:t>All facts about Clorox’s program above come from public reporting by SAPinsider and ERP.today, published in 2026. The scorecard target columns, the options considered, and the recommendation are my own analysis, not Clorox’s actual internal decisions or figures.</w:t>
      </w:r>
    </w:p>
    <w:p w14:paraId="24A1DDD4" w14:textId="77777777" w:rsidR="001D68CD" w:rsidRDefault="001D68CD" w:rsidP="001D68CD">
      <w:pPr>
        <w:pStyle w:val="Heading2"/>
      </w:pPr>
      <w:bookmarkStart w:id="12" w:name="references"/>
      <w:r>
        <w:t>References</w:t>
      </w:r>
    </w:p>
    <w:p w14:paraId="70C7DEB6" w14:textId="77777777" w:rsidR="001D68CD" w:rsidRDefault="001D68CD" w:rsidP="001D68CD">
      <w:pPr>
        <w:pStyle w:val="FirstParagraph"/>
      </w:pPr>
      <w:r>
        <w:t xml:space="preserve">Opperman, J. (via </w:t>
      </w:r>
      <w:proofErr w:type="spellStart"/>
      <w:r>
        <w:t>SAPinsider</w:t>
      </w:r>
      <w:proofErr w:type="spellEnd"/>
      <w:r>
        <w:t xml:space="preserve">). “Exclusive: How Clorox Planned Its SAP S/4HANA Transformation.” </w:t>
      </w:r>
      <w:proofErr w:type="spellStart"/>
      <w:r>
        <w:t>SAPinsider</w:t>
      </w:r>
      <w:proofErr w:type="spellEnd"/>
      <w:r>
        <w:t>, 2026. https://sapinsider.org/blogs/clorox-sap-s4hana-transformation-strategy/</w:t>
      </w:r>
    </w:p>
    <w:p w14:paraId="3EB7DE02" w14:textId="77777777" w:rsidR="001D68CD" w:rsidRDefault="001D68CD" w:rsidP="001D68CD">
      <w:pPr>
        <w:pStyle w:val="BodyText"/>
      </w:pPr>
      <w:proofErr w:type="spellStart"/>
      <w:r>
        <w:t>SAPinsider</w:t>
      </w:r>
      <w:proofErr w:type="spellEnd"/>
      <w:r>
        <w:t xml:space="preserve">. “Clorox Completes Five-Year SAP S/4HANA Transformation.” </w:t>
      </w:r>
      <w:proofErr w:type="spellStart"/>
      <w:r>
        <w:t>SAPinsider</w:t>
      </w:r>
      <w:proofErr w:type="spellEnd"/>
      <w:r>
        <w:t>, February 2026. https://sapinsider.org/clorox-completes-five-year-sap-s-4hana-transformation</w:t>
      </w:r>
    </w:p>
    <w:p w14:paraId="2ECCD02A" w14:textId="77777777" w:rsidR="001D68CD" w:rsidRDefault="001D68CD" w:rsidP="001D68CD">
      <w:pPr>
        <w:pStyle w:val="BodyText"/>
      </w:pPr>
      <w:r>
        <w:t xml:space="preserve">Montilus, P. (via </w:t>
      </w:r>
      <w:proofErr w:type="spellStart"/>
      <w:r>
        <w:t>ERP.today</w:t>
      </w:r>
      <w:proofErr w:type="spellEnd"/>
      <w:r>
        <w:t xml:space="preserve">). “Clorox SAP S/4HANA Cutover Shows How ERP Changes Manufacturing and Supply Chain Execution.” </w:t>
      </w:r>
      <w:proofErr w:type="spellStart"/>
      <w:r>
        <w:t>ERP.today</w:t>
      </w:r>
      <w:proofErr w:type="spellEnd"/>
      <w:r>
        <w:t>, April 2026. https://erp.today/clorox-sap-s4hana-cutover-supply-chain-execution/</w:t>
      </w:r>
    </w:p>
    <w:p w14:paraId="025AA225" w14:textId="77777777" w:rsidR="001D68CD" w:rsidRDefault="001D68CD" w:rsidP="001D68CD">
      <w:pPr>
        <w:pStyle w:val="BodyText"/>
      </w:pPr>
      <w:proofErr w:type="spellStart"/>
      <w:r>
        <w:t>ERP.today</w:t>
      </w:r>
      <w:proofErr w:type="spellEnd"/>
      <w:r>
        <w:t xml:space="preserve">. “Clorox Shows What SAP S/4HANA Transformation Requirements Actually Look Like.” </w:t>
      </w:r>
      <w:proofErr w:type="spellStart"/>
      <w:r>
        <w:t>ERP.today</w:t>
      </w:r>
      <w:proofErr w:type="spellEnd"/>
      <w:r>
        <w:t>, April 2026. https://erp.today/clorox-sap-s4hana-transformation-requirements/</w:t>
      </w:r>
    </w:p>
    <w:bookmarkEnd w:id="0"/>
    <w:bookmarkEnd w:id="11"/>
    <w:bookmarkEnd w:id="12"/>
    <w:p w14:paraId="6C200D0F" w14:textId="77777777" w:rsidR="001D68CD" w:rsidRPr="001D68CD" w:rsidRDefault="001D68CD" w:rsidP="001D68CD">
      <w:pPr>
        <w:pStyle w:val="BodyText"/>
      </w:pPr>
    </w:p>
    <w:sectPr w:rsidR="001D68CD" w:rsidRPr="001D68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921D8" w14:textId="77777777" w:rsidR="00224B07" w:rsidRDefault="00224B07">
      <w:pPr>
        <w:spacing w:after="0"/>
      </w:pPr>
      <w:r>
        <w:separator/>
      </w:r>
    </w:p>
  </w:endnote>
  <w:endnote w:type="continuationSeparator" w:id="0">
    <w:p w14:paraId="3FC7B194" w14:textId="77777777" w:rsidR="00224B07" w:rsidRDefault="00224B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29E6D" w14:textId="77777777" w:rsidR="00224B07" w:rsidRDefault="00224B07">
      <w:r>
        <w:separator/>
      </w:r>
    </w:p>
  </w:footnote>
  <w:footnote w:type="continuationSeparator" w:id="0">
    <w:p w14:paraId="33346755" w14:textId="77777777" w:rsidR="00224B07" w:rsidRDefault="00224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B25C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4146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28C0"/>
    <w:rsid w:val="00144216"/>
    <w:rsid w:val="001D68CD"/>
    <w:rsid w:val="00224B07"/>
    <w:rsid w:val="003B28C0"/>
    <w:rsid w:val="00B22610"/>
    <w:rsid w:val="00B96F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6105"/>
  <w15:docId w15:val="{D0E081FF-789C-2E47-971D-9F6B036D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Himani Alpesh Shah</cp:lastModifiedBy>
  <cp:revision>3</cp:revision>
  <dcterms:created xsi:type="dcterms:W3CDTF">2026-07-08T17:19:00Z</dcterms:created>
  <dcterms:modified xsi:type="dcterms:W3CDTF">2026-07-08T17:54:00Z</dcterms:modified>
</cp:coreProperties>
</file>