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BD92" w14:textId="05D823D4" w:rsidR="005D6057" w:rsidRPr="005D6057" w:rsidRDefault="005D6057" w:rsidP="005D6057">
      <w:pPr>
        <w:pStyle w:val="p1"/>
        <w:jc w:val="center"/>
        <w:rPr>
          <w:b/>
          <w:bCs/>
          <w:sz w:val="40"/>
          <w:szCs w:val="40"/>
        </w:rPr>
      </w:pPr>
      <w:r w:rsidRPr="005D6057">
        <w:rPr>
          <w:b/>
          <w:bCs/>
          <w:sz w:val="40"/>
          <w:szCs w:val="40"/>
        </w:rPr>
        <w:t xml:space="preserve">MIS771 – Descriptive Analytics and Visualisation </w:t>
      </w:r>
    </w:p>
    <w:p w14:paraId="5B8C136F" w14:textId="6D077D7E" w:rsidR="005D6057" w:rsidRPr="005D6057" w:rsidRDefault="005D6057" w:rsidP="005D6057">
      <w:pPr>
        <w:pStyle w:val="p1"/>
        <w:jc w:val="center"/>
        <w:rPr>
          <w:sz w:val="40"/>
          <w:szCs w:val="40"/>
        </w:rPr>
      </w:pPr>
      <w:r w:rsidRPr="005D6057">
        <w:rPr>
          <w:b/>
          <w:bCs/>
          <w:sz w:val="40"/>
          <w:szCs w:val="40"/>
        </w:rPr>
        <w:t>Trimester 1 2025</w:t>
      </w:r>
    </w:p>
    <w:p w14:paraId="27D26809" w14:textId="70440666" w:rsidR="005D6057" w:rsidRPr="005D6057" w:rsidRDefault="005D6057" w:rsidP="005D6057">
      <w:pPr>
        <w:pStyle w:val="p1"/>
        <w:jc w:val="center"/>
        <w:rPr>
          <w:b/>
          <w:bCs/>
          <w:sz w:val="40"/>
          <w:szCs w:val="40"/>
        </w:rPr>
      </w:pPr>
      <w:r w:rsidRPr="005D6057">
        <w:rPr>
          <w:b/>
          <w:bCs/>
          <w:sz w:val="40"/>
          <w:szCs w:val="40"/>
        </w:rPr>
        <w:t>Assessment Task 1 – Individual</w:t>
      </w:r>
    </w:p>
    <w:p w14:paraId="5A27F9C9" w14:textId="4AA67E31" w:rsidR="005D6057" w:rsidRPr="005D6057" w:rsidRDefault="005D6057" w:rsidP="005D6057">
      <w:pPr>
        <w:pStyle w:val="p1"/>
        <w:jc w:val="center"/>
        <w:rPr>
          <w:b/>
          <w:bCs/>
          <w:sz w:val="40"/>
          <w:szCs w:val="40"/>
        </w:rPr>
      </w:pPr>
      <w:r w:rsidRPr="005D6057">
        <w:rPr>
          <w:b/>
          <w:bCs/>
          <w:sz w:val="40"/>
          <w:szCs w:val="40"/>
        </w:rPr>
        <w:t>Data Analysis &amp; Report</w:t>
      </w:r>
    </w:p>
    <w:p w14:paraId="12D3D003" w14:textId="77777777" w:rsidR="005D6057" w:rsidRPr="005D6057" w:rsidRDefault="005D6057" w:rsidP="005D6057">
      <w:pPr>
        <w:pStyle w:val="p1"/>
        <w:jc w:val="center"/>
        <w:rPr>
          <w:b/>
          <w:bCs/>
          <w:sz w:val="36"/>
          <w:szCs w:val="36"/>
        </w:rPr>
      </w:pPr>
    </w:p>
    <w:p w14:paraId="3EEF61DE" w14:textId="77777777" w:rsidR="005D6057" w:rsidRPr="005D6057" w:rsidRDefault="005D6057" w:rsidP="005D6057">
      <w:pPr>
        <w:pStyle w:val="p1"/>
        <w:jc w:val="center"/>
        <w:rPr>
          <w:b/>
          <w:bCs/>
          <w:sz w:val="36"/>
          <w:szCs w:val="36"/>
        </w:rPr>
      </w:pPr>
    </w:p>
    <w:p w14:paraId="28E51886" w14:textId="77777777" w:rsidR="005D6057" w:rsidRPr="005D6057" w:rsidRDefault="005D6057" w:rsidP="005D6057">
      <w:pPr>
        <w:pStyle w:val="p1"/>
        <w:jc w:val="center"/>
        <w:rPr>
          <w:b/>
          <w:bCs/>
          <w:sz w:val="36"/>
          <w:szCs w:val="36"/>
        </w:rPr>
      </w:pPr>
    </w:p>
    <w:p w14:paraId="7FCC7071" w14:textId="77777777" w:rsidR="005D6057" w:rsidRPr="005D6057" w:rsidRDefault="005D6057" w:rsidP="005D6057">
      <w:pPr>
        <w:pStyle w:val="p1"/>
        <w:jc w:val="center"/>
        <w:rPr>
          <w:b/>
          <w:bCs/>
          <w:sz w:val="36"/>
          <w:szCs w:val="36"/>
        </w:rPr>
      </w:pPr>
    </w:p>
    <w:p w14:paraId="3CD2504B" w14:textId="77777777" w:rsidR="005D6057" w:rsidRPr="005D6057" w:rsidRDefault="005D6057" w:rsidP="005D6057">
      <w:pPr>
        <w:pStyle w:val="p1"/>
        <w:jc w:val="center"/>
        <w:rPr>
          <w:b/>
          <w:bCs/>
          <w:sz w:val="36"/>
          <w:szCs w:val="36"/>
        </w:rPr>
      </w:pPr>
    </w:p>
    <w:p w14:paraId="39438D01" w14:textId="77777777" w:rsidR="005D6057" w:rsidRPr="005D6057" w:rsidRDefault="005D6057" w:rsidP="005D6057">
      <w:pPr>
        <w:pStyle w:val="p1"/>
        <w:jc w:val="center"/>
        <w:rPr>
          <w:b/>
          <w:bCs/>
          <w:sz w:val="36"/>
          <w:szCs w:val="36"/>
        </w:rPr>
      </w:pPr>
    </w:p>
    <w:p w14:paraId="5815A1CA" w14:textId="77777777" w:rsidR="005D6057" w:rsidRPr="005D6057" w:rsidRDefault="005D6057" w:rsidP="005D6057">
      <w:pPr>
        <w:pStyle w:val="p1"/>
        <w:jc w:val="center"/>
        <w:rPr>
          <w:b/>
          <w:bCs/>
          <w:sz w:val="36"/>
          <w:szCs w:val="36"/>
        </w:rPr>
      </w:pPr>
    </w:p>
    <w:p w14:paraId="20C781A8" w14:textId="77777777" w:rsidR="005D6057" w:rsidRPr="005D6057" w:rsidRDefault="005D6057" w:rsidP="005D6057">
      <w:pPr>
        <w:pStyle w:val="p1"/>
        <w:jc w:val="center"/>
        <w:rPr>
          <w:b/>
          <w:bCs/>
          <w:sz w:val="36"/>
          <w:szCs w:val="36"/>
        </w:rPr>
      </w:pPr>
    </w:p>
    <w:p w14:paraId="5F541B41" w14:textId="77777777" w:rsidR="005D6057" w:rsidRPr="005D6057" w:rsidRDefault="005D6057" w:rsidP="005D6057">
      <w:pPr>
        <w:pStyle w:val="p1"/>
        <w:jc w:val="center"/>
        <w:rPr>
          <w:b/>
          <w:bCs/>
          <w:sz w:val="36"/>
          <w:szCs w:val="36"/>
        </w:rPr>
      </w:pPr>
    </w:p>
    <w:p w14:paraId="67A608E8" w14:textId="77777777" w:rsidR="005D6057" w:rsidRDefault="005D6057" w:rsidP="005D6057">
      <w:pPr>
        <w:pStyle w:val="p1"/>
        <w:jc w:val="center"/>
        <w:rPr>
          <w:b/>
          <w:bCs/>
        </w:rPr>
      </w:pPr>
    </w:p>
    <w:p w14:paraId="7E3DB514" w14:textId="77777777" w:rsidR="005D6057" w:rsidRDefault="005D6057" w:rsidP="005D6057">
      <w:pPr>
        <w:pStyle w:val="p1"/>
        <w:jc w:val="center"/>
        <w:rPr>
          <w:b/>
          <w:bCs/>
        </w:rPr>
      </w:pPr>
    </w:p>
    <w:p w14:paraId="76AD1BAA" w14:textId="77777777" w:rsidR="005D6057" w:rsidRDefault="005D6057" w:rsidP="005D6057">
      <w:pPr>
        <w:pStyle w:val="p1"/>
        <w:jc w:val="center"/>
        <w:rPr>
          <w:b/>
          <w:bCs/>
        </w:rPr>
      </w:pPr>
    </w:p>
    <w:p w14:paraId="4D541E9D" w14:textId="77777777" w:rsidR="005D6057" w:rsidRDefault="005D6057" w:rsidP="005D6057">
      <w:pPr>
        <w:pStyle w:val="p1"/>
        <w:jc w:val="center"/>
        <w:rPr>
          <w:b/>
          <w:bCs/>
        </w:rPr>
      </w:pPr>
    </w:p>
    <w:p w14:paraId="1324168A" w14:textId="77777777" w:rsidR="005D6057" w:rsidRDefault="005D6057" w:rsidP="005D6057">
      <w:pPr>
        <w:pStyle w:val="p1"/>
        <w:jc w:val="center"/>
        <w:rPr>
          <w:b/>
          <w:bCs/>
        </w:rPr>
      </w:pPr>
    </w:p>
    <w:p w14:paraId="000CD78C" w14:textId="77777777" w:rsidR="005D6057" w:rsidRDefault="005D6057" w:rsidP="005D6057">
      <w:pPr>
        <w:pStyle w:val="p1"/>
        <w:jc w:val="center"/>
        <w:rPr>
          <w:b/>
          <w:bCs/>
        </w:rPr>
      </w:pPr>
    </w:p>
    <w:p w14:paraId="62E8A633" w14:textId="77777777" w:rsidR="005D6057" w:rsidRDefault="005D6057" w:rsidP="005D6057">
      <w:pPr>
        <w:pStyle w:val="p1"/>
        <w:jc w:val="center"/>
        <w:rPr>
          <w:b/>
          <w:bCs/>
        </w:rPr>
      </w:pPr>
    </w:p>
    <w:p w14:paraId="44A1776E" w14:textId="77777777" w:rsidR="005D6057" w:rsidRDefault="005D6057" w:rsidP="005D6057">
      <w:pPr>
        <w:pStyle w:val="p1"/>
        <w:jc w:val="center"/>
        <w:rPr>
          <w:b/>
          <w:bCs/>
        </w:rPr>
      </w:pPr>
    </w:p>
    <w:p w14:paraId="2E862BFE" w14:textId="77777777" w:rsidR="005D6057" w:rsidRDefault="005D6057" w:rsidP="005D6057">
      <w:pPr>
        <w:pStyle w:val="p1"/>
        <w:jc w:val="center"/>
        <w:rPr>
          <w:b/>
          <w:bCs/>
        </w:rPr>
      </w:pPr>
    </w:p>
    <w:p w14:paraId="344F0720" w14:textId="77777777" w:rsidR="005D6057" w:rsidRDefault="005D6057" w:rsidP="005D6057">
      <w:pPr>
        <w:pStyle w:val="p1"/>
        <w:jc w:val="center"/>
        <w:rPr>
          <w:b/>
          <w:bCs/>
        </w:rPr>
      </w:pPr>
    </w:p>
    <w:p w14:paraId="306B6BDB" w14:textId="77777777" w:rsidR="005D6057" w:rsidRDefault="005D6057" w:rsidP="005D6057">
      <w:pPr>
        <w:pStyle w:val="p1"/>
        <w:jc w:val="center"/>
        <w:rPr>
          <w:b/>
          <w:bCs/>
        </w:rPr>
      </w:pPr>
    </w:p>
    <w:p w14:paraId="65EA6513" w14:textId="77777777" w:rsidR="005D6057" w:rsidRDefault="005D6057" w:rsidP="005D6057">
      <w:pPr>
        <w:pStyle w:val="p1"/>
        <w:jc w:val="center"/>
        <w:rPr>
          <w:b/>
          <w:bCs/>
        </w:rPr>
      </w:pPr>
    </w:p>
    <w:p w14:paraId="33C8E055" w14:textId="77777777" w:rsidR="005D6057" w:rsidRDefault="005D6057" w:rsidP="005D6057">
      <w:pPr>
        <w:pStyle w:val="p1"/>
        <w:jc w:val="center"/>
        <w:rPr>
          <w:b/>
          <w:bCs/>
        </w:rPr>
      </w:pPr>
    </w:p>
    <w:p w14:paraId="51A272A0" w14:textId="77777777" w:rsidR="005D6057" w:rsidRDefault="005D6057" w:rsidP="005D6057">
      <w:pPr>
        <w:pStyle w:val="p1"/>
        <w:jc w:val="center"/>
        <w:rPr>
          <w:b/>
          <w:bCs/>
        </w:rPr>
      </w:pPr>
    </w:p>
    <w:p w14:paraId="034F41C5" w14:textId="77777777" w:rsidR="005D6057" w:rsidRDefault="005D6057" w:rsidP="005D6057">
      <w:pPr>
        <w:pStyle w:val="p1"/>
        <w:jc w:val="center"/>
        <w:rPr>
          <w:b/>
          <w:bCs/>
        </w:rPr>
      </w:pPr>
    </w:p>
    <w:p w14:paraId="57D04427" w14:textId="77777777" w:rsidR="005D6057" w:rsidRDefault="005D6057" w:rsidP="005D6057">
      <w:pPr>
        <w:pStyle w:val="p1"/>
        <w:jc w:val="center"/>
        <w:rPr>
          <w:b/>
          <w:bCs/>
        </w:rPr>
      </w:pPr>
    </w:p>
    <w:p w14:paraId="0940FD4F" w14:textId="77777777" w:rsidR="005D6057" w:rsidRDefault="005D6057" w:rsidP="005D6057">
      <w:pPr>
        <w:pStyle w:val="p1"/>
        <w:jc w:val="center"/>
        <w:rPr>
          <w:b/>
          <w:bCs/>
        </w:rPr>
      </w:pPr>
    </w:p>
    <w:p w14:paraId="3D1AD6C3" w14:textId="77777777" w:rsidR="005D6057" w:rsidRDefault="005D6057" w:rsidP="005D6057">
      <w:pPr>
        <w:pStyle w:val="p1"/>
        <w:jc w:val="center"/>
        <w:rPr>
          <w:b/>
          <w:bCs/>
        </w:rPr>
      </w:pPr>
    </w:p>
    <w:p w14:paraId="4B2EDD0E" w14:textId="77777777" w:rsidR="005D6057" w:rsidRDefault="005D6057" w:rsidP="005D6057">
      <w:pPr>
        <w:jc w:val="right"/>
        <w:rPr>
          <w:rFonts w:ascii="Times New Roman" w:hAnsi="Times New Roman" w:cs="Times New Roman"/>
        </w:rPr>
      </w:pPr>
    </w:p>
    <w:p w14:paraId="2CB256EF" w14:textId="77777777" w:rsidR="005D6057" w:rsidRDefault="005D6057" w:rsidP="005D6057">
      <w:pPr>
        <w:jc w:val="right"/>
        <w:rPr>
          <w:rFonts w:ascii="Times New Roman" w:hAnsi="Times New Roman" w:cs="Times New Roman"/>
        </w:rPr>
      </w:pPr>
    </w:p>
    <w:p w14:paraId="6E6C008D" w14:textId="77777777" w:rsidR="005D6057" w:rsidRDefault="005D6057" w:rsidP="005D6057">
      <w:pPr>
        <w:rPr>
          <w:rFonts w:ascii="Times New Roman" w:hAnsi="Times New Roman" w:cs="Times New Roman"/>
        </w:rPr>
      </w:pPr>
    </w:p>
    <w:p w14:paraId="72B16CBF" w14:textId="77777777" w:rsidR="005D6057" w:rsidRDefault="005D6057" w:rsidP="005D6057">
      <w:pPr>
        <w:jc w:val="right"/>
        <w:rPr>
          <w:rFonts w:ascii="Times New Roman" w:hAnsi="Times New Roman" w:cs="Times New Roman"/>
        </w:rPr>
      </w:pPr>
    </w:p>
    <w:p w14:paraId="42A9FB43" w14:textId="77777777" w:rsidR="005D6057" w:rsidRDefault="005D6057" w:rsidP="005D6057">
      <w:pPr>
        <w:jc w:val="right"/>
        <w:rPr>
          <w:rFonts w:ascii="Times New Roman" w:hAnsi="Times New Roman" w:cs="Times New Roman"/>
        </w:rPr>
      </w:pPr>
    </w:p>
    <w:p w14:paraId="3304B60A" w14:textId="23A49C8A" w:rsidR="005D6057" w:rsidRPr="005D6057" w:rsidRDefault="005D6057" w:rsidP="005D6057">
      <w:pPr>
        <w:jc w:val="right"/>
        <w:rPr>
          <w:rFonts w:ascii="Times New Roman" w:hAnsi="Times New Roman" w:cs="Times New Roman"/>
        </w:rPr>
      </w:pPr>
      <w:r w:rsidRPr="005D6057">
        <w:rPr>
          <w:rFonts w:ascii="Times New Roman" w:hAnsi="Times New Roman" w:cs="Times New Roman"/>
        </w:rPr>
        <w:t xml:space="preserve">Student </w:t>
      </w:r>
      <w:r>
        <w:rPr>
          <w:rFonts w:ascii="Times New Roman" w:hAnsi="Times New Roman" w:cs="Times New Roman"/>
        </w:rPr>
        <w:t>N</w:t>
      </w:r>
      <w:r w:rsidRPr="005D6057">
        <w:rPr>
          <w:rFonts w:ascii="Times New Roman" w:hAnsi="Times New Roman" w:cs="Times New Roman"/>
        </w:rPr>
        <w:t>ame: Himanshi Sachdeva</w:t>
      </w:r>
    </w:p>
    <w:p w14:paraId="56C85A8C" w14:textId="0F4548DD" w:rsidR="005D6057" w:rsidRPr="005D6057" w:rsidRDefault="005D6057" w:rsidP="005D6057">
      <w:pPr>
        <w:jc w:val="right"/>
        <w:rPr>
          <w:rFonts w:ascii="Times New Roman" w:hAnsi="Times New Roman" w:cs="Times New Roman"/>
          <w:b/>
          <w:bCs/>
          <w:sz w:val="28"/>
          <w:szCs w:val="28"/>
        </w:rPr>
      </w:pPr>
      <w:r w:rsidRPr="005D6057">
        <w:rPr>
          <w:rFonts w:ascii="Times New Roman" w:hAnsi="Times New Roman" w:cs="Times New Roman"/>
        </w:rPr>
        <w:t xml:space="preserve">Student </w:t>
      </w:r>
      <w:r>
        <w:rPr>
          <w:rFonts w:ascii="Times New Roman" w:hAnsi="Times New Roman" w:cs="Times New Roman"/>
        </w:rPr>
        <w:t>ID</w:t>
      </w:r>
      <w:r w:rsidRPr="005D6057">
        <w:rPr>
          <w:rFonts w:ascii="Times New Roman" w:hAnsi="Times New Roman" w:cs="Times New Roman"/>
        </w:rPr>
        <w:t>: 224850909</w:t>
      </w:r>
    </w:p>
    <w:p w14:paraId="1519F1B5" w14:textId="77777777" w:rsidR="005D6057" w:rsidRDefault="005D6057" w:rsidP="005D6057">
      <w:pPr>
        <w:rPr>
          <w:rFonts w:ascii="Times New Roman" w:hAnsi="Times New Roman" w:cs="Times New Roman"/>
          <w:b/>
          <w:bCs/>
          <w:sz w:val="28"/>
          <w:szCs w:val="28"/>
        </w:rPr>
      </w:pPr>
    </w:p>
    <w:p w14:paraId="31238D96" w14:textId="5013726F" w:rsidR="005D6057" w:rsidRPr="005D6057" w:rsidRDefault="005D6057" w:rsidP="005D6057">
      <w:pPr>
        <w:rPr>
          <w:rFonts w:ascii="Times New Roman" w:hAnsi="Times New Roman" w:cs="Times New Roman"/>
          <w:b/>
          <w:bCs/>
          <w:sz w:val="28"/>
          <w:szCs w:val="28"/>
        </w:rPr>
      </w:pPr>
      <w:r w:rsidRPr="005D6057">
        <w:rPr>
          <w:rFonts w:ascii="Times New Roman" w:hAnsi="Times New Roman" w:cs="Times New Roman"/>
          <w:b/>
          <w:bCs/>
          <w:sz w:val="28"/>
          <w:szCs w:val="28"/>
        </w:rPr>
        <w:t>Introduction</w:t>
      </w:r>
    </w:p>
    <w:p w14:paraId="3BFB7534"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The primary purpose of this report is to explore and uncover insights from a dataset provided by United Health Group (UHG), which contains detailed records of medical malpractice claims. The analysis is intended to support managerial decision-making by identifying whether specific factors—such as the involvement of private attorneys, physician specialties, or insurance type—are associated with differences in payout amounts. In addition, the report evaluates the impact of legislative efforts like Medical Liability Reform (MLR) on healthcare practices, particularly the acceptance of high-risk patients.</w:t>
      </w:r>
    </w:p>
    <w:p w14:paraId="38CC3132" w14:textId="77777777" w:rsidR="005D6057" w:rsidRDefault="005D6057" w:rsidP="005D6057">
      <w:pPr>
        <w:rPr>
          <w:rFonts w:ascii="Times New Roman" w:hAnsi="Times New Roman" w:cs="Times New Roman"/>
        </w:rPr>
      </w:pPr>
      <w:r w:rsidRPr="005D6057">
        <w:rPr>
          <w:rFonts w:ascii="Times New Roman" w:hAnsi="Times New Roman" w:cs="Times New Roman"/>
        </w:rPr>
        <w:t>The dataset includes both numerical and categorical variables related to claimants, their representation, physician details, and the nature of each claim. Using the descriptive and inferential statistical methods covered in Module 1 of this unit, the analysis aims to answer a series of specific business questions posed by the manager, Edmond Kendrick.</w:t>
      </w:r>
    </w:p>
    <w:p w14:paraId="6CEBFF91" w14:textId="34B85CC1" w:rsidR="00E30B4E" w:rsidRDefault="00E30B4E" w:rsidP="005D605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FCB345A" wp14:editId="5F6B47B1">
                <wp:simplePos x="0" y="0"/>
                <wp:positionH relativeFrom="column">
                  <wp:posOffset>-342900</wp:posOffset>
                </wp:positionH>
                <wp:positionV relativeFrom="paragraph">
                  <wp:posOffset>0</wp:posOffset>
                </wp:positionV>
                <wp:extent cx="6642100" cy="0"/>
                <wp:effectExtent l="0" t="0" r="12700" b="12700"/>
                <wp:wrapNone/>
                <wp:docPr id="1458753062" name="Straight Connector 1"/>
                <wp:cNvGraphicFramePr/>
                <a:graphic xmlns:a="http://schemas.openxmlformats.org/drawingml/2006/main">
                  <a:graphicData uri="http://schemas.microsoft.com/office/word/2010/wordprocessingShape">
                    <wps:wsp>
                      <wps:cNvCnPr/>
                      <wps:spPr>
                        <a:xfrm flipV="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654417"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0" to="496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7D4pAEAAJ4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" strokecolor="#156082 [3204]" strokeweight=".5pt">
                <v:stroke joinstyle="miter"/>
              </v:line>
            </w:pict>
          </mc:Fallback>
        </mc:AlternateContent>
      </w:r>
    </w:p>
    <w:p w14:paraId="1F0BC4E2" w14:textId="311FC975" w:rsidR="005D6057" w:rsidRPr="005D6057" w:rsidRDefault="005D6057" w:rsidP="005D6057">
      <w:pPr>
        <w:rPr>
          <w:rFonts w:ascii="Times New Roman" w:hAnsi="Times New Roman" w:cs="Times New Roman"/>
          <w:b/>
          <w:bCs/>
          <w:sz w:val="28"/>
          <w:szCs w:val="28"/>
        </w:rPr>
      </w:pPr>
      <w:r w:rsidRPr="005D6057">
        <w:rPr>
          <w:rFonts w:ascii="Times New Roman" w:hAnsi="Times New Roman" w:cs="Times New Roman"/>
          <w:b/>
          <w:bCs/>
          <w:sz w:val="28"/>
          <w:szCs w:val="28"/>
        </w:rPr>
        <w:t xml:space="preserve">Main Body </w:t>
      </w:r>
    </w:p>
    <w:p w14:paraId="2676A9A4" w14:textId="195CFABC" w:rsidR="005D6057" w:rsidRPr="005D6057" w:rsidRDefault="005D6057" w:rsidP="005D6057">
      <w:pPr>
        <w:rPr>
          <w:rFonts w:ascii="Times New Roman" w:hAnsi="Times New Roman" w:cs="Times New Roman"/>
          <w:b/>
          <w:bCs/>
        </w:rPr>
      </w:pPr>
      <w:r w:rsidRPr="005D6057">
        <w:rPr>
          <w:rFonts w:ascii="Times New Roman" w:hAnsi="Times New Roman" w:cs="Times New Roman"/>
          <w:b/>
          <w:bCs/>
        </w:rPr>
        <w:t>Q1.1: Do claimants with private attorneys receive higher payouts?</w:t>
      </w:r>
    </w:p>
    <w:p w14:paraId="3156BF63"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This question explored whether claimants who had private attorneys received more money from their malpractice claims compared to those who did not have a private attorney. To investigate this, the average payout amounts for both groups were compared.</w:t>
      </w:r>
    </w:p>
    <w:p w14:paraId="67F90564"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The results showed that people who had private attorneys received an average payout of </w:t>
      </w:r>
      <w:r w:rsidRPr="005D6057">
        <w:rPr>
          <w:rFonts w:ascii="Times New Roman" w:hAnsi="Times New Roman" w:cs="Times New Roman"/>
          <w:b/>
          <w:bCs/>
        </w:rPr>
        <w:t>about $82,705</w:t>
      </w:r>
      <w:r w:rsidRPr="005D6057">
        <w:rPr>
          <w:rFonts w:ascii="Times New Roman" w:hAnsi="Times New Roman" w:cs="Times New Roman"/>
        </w:rPr>
        <w:t xml:space="preserve">, while those without private attorneys received a lower average payout of </w:t>
      </w:r>
      <w:r w:rsidRPr="005D6057">
        <w:rPr>
          <w:rFonts w:ascii="Times New Roman" w:hAnsi="Times New Roman" w:cs="Times New Roman"/>
          <w:b/>
          <w:bCs/>
        </w:rPr>
        <w:t>about $66,054</w:t>
      </w:r>
      <w:r w:rsidRPr="005D6057">
        <w:rPr>
          <w:rFonts w:ascii="Times New Roman" w:hAnsi="Times New Roman" w:cs="Times New Roman"/>
        </w:rPr>
        <w:t>. This is a noticeable difference of over $16,000.</w:t>
      </w:r>
    </w:p>
    <w:p w14:paraId="5750B1A8" w14:textId="77777777" w:rsidR="005D6057" w:rsidRDefault="005D6057" w:rsidP="005D6057">
      <w:pPr>
        <w:rPr>
          <w:rFonts w:ascii="Times New Roman" w:hAnsi="Times New Roman" w:cs="Times New Roman"/>
        </w:rPr>
      </w:pPr>
      <w:r w:rsidRPr="005D6057">
        <w:rPr>
          <w:rFonts w:ascii="Times New Roman" w:hAnsi="Times New Roman" w:cs="Times New Roman"/>
        </w:rPr>
        <w:t>After carefully checking the data, it was clear that this difference is not just due to chance. The numbers strongly support the idea that having a private attorney is linked to receiving a higher payout.</w:t>
      </w:r>
    </w:p>
    <w:p w14:paraId="434CCC71" w14:textId="00BF6B4E" w:rsidR="00E20B0D" w:rsidRDefault="00E20B0D" w:rsidP="005D6057">
      <w:pPr>
        <w:rPr>
          <w:rFonts w:ascii="Times New Roman" w:hAnsi="Times New Roman" w:cs="Times New Roman"/>
          <w:b/>
          <w:bCs/>
        </w:rPr>
      </w:pPr>
      <w:r w:rsidRPr="00E20B0D">
        <w:rPr>
          <w:rFonts w:ascii="Times New Roman" w:hAnsi="Times New Roman" w:cs="Times New Roman"/>
          <w:b/>
          <w:bCs/>
        </w:rPr>
        <w:t>Conclusion:</w:t>
      </w:r>
      <w:r>
        <w:rPr>
          <w:rFonts w:ascii="Times New Roman" w:hAnsi="Times New Roman" w:cs="Times New Roman"/>
          <w:b/>
          <w:bCs/>
        </w:rPr>
        <w:t xml:space="preserve"> </w:t>
      </w:r>
      <w:r w:rsidRPr="00E20B0D">
        <w:rPr>
          <w:rFonts w:ascii="Times New Roman" w:hAnsi="Times New Roman" w:cs="Times New Roman"/>
        </w:rPr>
        <w:t xml:space="preserve">People represented by private attorneys tend to receive </w:t>
      </w:r>
      <w:r w:rsidRPr="00E20B0D">
        <w:rPr>
          <w:rFonts w:ascii="Times New Roman" w:hAnsi="Times New Roman" w:cs="Times New Roman"/>
          <w:b/>
          <w:bCs/>
        </w:rPr>
        <w:t>higher compensation</w:t>
      </w:r>
      <w:r w:rsidRPr="00E20B0D">
        <w:rPr>
          <w:rFonts w:ascii="Times New Roman" w:hAnsi="Times New Roman" w:cs="Times New Roman"/>
        </w:rPr>
        <w:t xml:space="preserve"> in medical malpractice cases. This suggests that legal representation may play an important role in helping claimants achieve better financial outcomes.</w:t>
      </w:r>
    </w:p>
    <w:p w14:paraId="4EBEFA57" w14:textId="77777777" w:rsidR="00E20B0D" w:rsidRPr="00E20B0D" w:rsidRDefault="00E20B0D" w:rsidP="005D6057">
      <w:pPr>
        <w:rPr>
          <w:rFonts w:ascii="Times New Roman" w:hAnsi="Times New Roman" w:cs="Times New Roman"/>
          <w:b/>
          <w:bCs/>
        </w:rPr>
      </w:pPr>
    </w:p>
    <w:p w14:paraId="0A83C8C1" w14:textId="77777777" w:rsidR="005D6057" w:rsidRPr="005D6057" w:rsidRDefault="005D6057" w:rsidP="005D6057">
      <w:pPr>
        <w:rPr>
          <w:rFonts w:ascii="Times New Roman" w:hAnsi="Times New Roman" w:cs="Times New Roman"/>
          <w:b/>
          <w:bCs/>
        </w:rPr>
      </w:pPr>
      <w:r w:rsidRPr="005D6057">
        <w:rPr>
          <w:rFonts w:ascii="Times New Roman" w:hAnsi="Times New Roman" w:cs="Times New Roman"/>
          <w:b/>
          <w:bCs/>
        </w:rPr>
        <w:t>Q1.2: Is private attorney representation less common in malpractice claims against dermatologists than orthopaedic surgeons?</w:t>
      </w:r>
    </w:p>
    <w:p w14:paraId="7CB9512D"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This question looked at whether patients who filed malpractice claims against dermatologists were less likely to have private attorneys than those who filed claims against orthopaedic surgeons.</w:t>
      </w:r>
    </w:p>
    <w:p w14:paraId="6C6C2CF9"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The data showed that </w:t>
      </w:r>
      <w:r w:rsidRPr="005D6057">
        <w:rPr>
          <w:rFonts w:ascii="Times New Roman" w:hAnsi="Times New Roman" w:cs="Times New Roman"/>
          <w:b/>
          <w:bCs/>
        </w:rPr>
        <w:t>around 51% of dermatology-related claims involved private attorneys</w:t>
      </w:r>
      <w:r w:rsidRPr="005D6057">
        <w:rPr>
          <w:rFonts w:ascii="Times New Roman" w:hAnsi="Times New Roman" w:cs="Times New Roman"/>
        </w:rPr>
        <w:t xml:space="preserve">, while </w:t>
      </w:r>
      <w:r w:rsidRPr="005D6057">
        <w:rPr>
          <w:rFonts w:ascii="Times New Roman" w:hAnsi="Times New Roman" w:cs="Times New Roman"/>
          <w:b/>
          <w:bCs/>
        </w:rPr>
        <w:t>about 63% of orthopaedic-related claims had private attorneys</w:t>
      </w:r>
      <w:r w:rsidRPr="005D6057">
        <w:rPr>
          <w:rFonts w:ascii="Times New Roman" w:hAnsi="Times New Roman" w:cs="Times New Roman"/>
        </w:rPr>
        <w:t xml:space="preserve">. </w:t>
      </w:r>
      <w:r w:rsidRPr="005D6057">
        <w:rPr>
          <w:rFonts w:ascii="Times New Roman" w:hAnsi="Times New Roman" w:cs="Times New Roman"/>
        </w:rPr>
        <w:lastRenderedPageBreak/>
        <w:t xml:space="preserve">Although this suggests a possible difference, further examination showed that the difference was </w:t>
      </w:r>
      <w:r w:rsidRPr="005D6057">
        <w:rPr>
          <w:rFonts w:ascii="Times New Roman" w:hAnsi="Times New Roman" w:cs="Times New Roman"/>
          <w:b/>
          <w:bCs/>
        </w:rPr>
        <w:t>not strong enough</w:t>
      </w:r>
      <w:r w:rsidRPr="005D6057">
        <w:rPr>
          <w:rFonts w:ascii="Times New Roman" w:hAnsi="Times New Roman" w:cs="Times New Roman"/>
        </w:rPr>
        <w:t xml:space="preserve"> to confidently say it's meaningful.</w:t>
      </w:r>
    </w:p>
    <w:p w14:paraId="0D062F71" w14:textId="1E922926" w:rsidR="005D6057" w:rsidRDefault="005D6057" w:rsidP="005D6057">
      <w:pPr>
        <w:rPr>
          <w:rFonts w:ascii="Times New Roman" w:hAnsi="Times New Roman" w:cs="Times New Roman"/>
        </w:rPr>
      </w:pPr>
      <w:r w:rsidRPr="005D6057">
        <w:rPr>
          <w:rFonts w:ascii="Times New Roman" w:hAnsi="Times New Roman" w:cs="Times New Roman"/>
        </w:rPr>
        <w:t>Therefore, there isn't enough evidence to say that claimants in dermatology cases are significantly less likely to be represented by private attorneys compared to those in orthopaedic cases.</w:t>
      </w:r>
    </w:p>
    <w:p w14:paraId="1C9D6692" w14:textId="2FACACB2" w:rsidR="00E20B0D" w:rsidRPr="00E20B0D" w:rsidRDefault="00E20B0D" w:rsidP="00E20B0D">
      <w:pPr>
        <w:rPr>
          <w:rFonts w:ascii="Times New Roman" w:hAnsi="Times New Roman" w:cs="Times New Roman"/>
          <w:b/>
          <w:bCs/>
        </w:rPr>
      </w:pPr>
      <w:r w:rsidRPr="00E20B0D">
        <w:rPr>
          <w:rFonts w:ascii="Times New Roman" w:hAnsi="Times New Roman" w:cs="Times New Roman"/>
          <w:b/>
          <w:bCs/>
        </w:rPr>
        <w:t>Conclusion:</w:t>
      </w:r>
      <w:r>
        <w:rPr>
          <w:rFonts w:ascii="Times New Roman" w:hAnsi="Times New Roman" w:cs="Times New Roman"/>
          <w:b/>
          <w:bCs/>
        </w:rPr>
        <w:t xml:space="preserve"> </w:t>
      </w:r>
      <w:r w:rsidRPr="00E20B0D">
        <w:rPr>
          <w:rFonts w:ascii="Times New Roman" w:hAnsi="Times New Roman" w:cs="Times New Roman"/>
        </w:rPr>
        <w:t xml:space="preserve">While it appears that private attorneys are slightly less common in malpractice claims involving dermatologists, the difference is </w:t>
      </w:r>
      <w:r w:rsidRPr="00E20B0D">
        <w:rPr>
          <w:rFonts w:ascii="Times New Roman" w:hAnsi="Times New Roman" w:cs="Times New Roman"/>
          <w:b/>
          <w:bCs/>
        </w:rPr>
        <w:t>not large enough to draw a clear conclusion</w:t>
      </w:r>
      <w:r w:rsidRPr="00E20B0D">
        <w:rPr>
          <w:rFonts w:ascii="Times New Roman" w:hAnsi="Times New Roman" w:cs="Times New Roman"/>
        </w:rPr>
        <w:t>. Their use seems relatively similar between the two specialties.</w:t>
      </w:r>
    </w:p>
    <w:p w14:paraId="22F55103" w14:textId="77777777" w:rsidR="00E20B0D" w:rsidRDefault="00E20B0D" w:rsidP="005D6057">
      <w:pPr>
        <w:rPr>
          <w:rFonts w:ascii="Times New Roman" w:hAnsi="Times New Roman" w:cs="Times New Roman"/>
        </w:rPr>
      </w:pPr>
    </w:p>
    <w:p w14:paraId="16725375" w14:textId="77777777" w:rsidR="005D6057" w:rsidRPr="005D6057" w:rsidRDefault="005D6057" w:rsidP="005D6057">
      <w:pPr>
        <w:rPr>
          <w:rFonts w:ascii="Times New Roman" w:hAnsi="Times New Roman" w:cs="Times New Roman"/>
          <w:b/>
          <w:bCs/>
        </w:rPr>
      </w:pPr>
      <w:r w:rsidRPr="005D6057">
        <w:rPr>
          <w:rFonts w:ascii="Times New Roman" w:hAnsi="Times New Roman" w:cs="Times New Roman"/>
          <w:b/>
          <w:bCs/>
        </w:rPr>
        <w:t>Q1.3: Is there a difference in private attorney representation between physician specialties?</w:t>
      </w:r>
    </w:p>
    <w:p w14:paraId="3AF86407" w14:textId="1D76FF05"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This question looked at whether the likelihood of a claimant having a private attorney varies depending on the type of doctor involved in the malpractice case. The analysis included four specialties: Obstetricians and </w:t>
      </w:r>
      <w:r w:rsidR="00E20B0D" w:rsidRPr="005D6057">
        <w:rPr>
          <w:rFonts w:ascii="Times New Roman" w:hAnsi="Times New Roman" w:cs="Times New Roman"/>
        </w:rPr>
        <w:t>Gynaecologists</w:t>
      </w:r>
      <w:r w:rsidRPr="005D6057">
        <w:rPr>
          <w:rFonts w:ascii="Times New Roman" w:hAnsi="Times New Roman" w:cs="Times New Roman"/>
        </w:rPr>
        <w:t xml:space="preserve">, Orthopaedic Surgeons, </w:t>
      </w:r>
      <w:r w:rsidR="00E20B0D" w:rsidRPr="005D6057">
        <w:rPr>
          <w:rFonts w:ascii="Times New Roman" w:hAnsi="Times New Roman" w:cs="Times New Roman"/>
        </w:rPr>
        <w:t>Anaesthesiologists</w:t>
      </w:r>
      <w:r w:rsidRPr="005D6057">
        <w:rPr>
          <w:rFonts w:ascii="Times New Roman" w:hAnsi="Times New Roman" w:cs="Times New Roman"/>
        </w:rPr>
        <w:t>, and Dermatologists.</w:t>
      </w:r>
    </w:p>
    <w:p w14:paraId="6622470B"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A comparison was made using all the available data, and the results showed a clear pattern. Some specialties had higher or lower rates of private attorney involvement than others. The test confirmed that these differences were </w:t>
      </w:r>
      <w:r w:rsidRPr="005D6057">
        <w:rPr>
          <w:rFonts w:ascii="Times New Roman" w:hAnsi="Times New Roman" w:cs="Times New Roman"/>
          <w:b/>
          <w:bCs/>
        </w:rPr>
        <w:t>statistically significant</w:t>
      </w:r>
      <w:r w:rsidRPr="005D6057">
        <w:rPr>
          <w:rFonts w:ascii="Times New Roman" w:hAnsi="Times New Roman" w:cs="Times New Roman"/>
        </w:rPr>
        <w:t>, meaning they are unlikely to be due to random chance.</w:t>
      </w:r>
    </w:p>
    <w:p w14:paraId="4C0C5D6B" w14:textId="5FCC39E7" w:rsidR="005D6057" w:rsidRDefault="005D6057" w:rsidP="005D6057">
      <w:pPr>
        <w:rPr>
          <w:rFonts w:ascii="Times New Roman" w:hAnsi="Times New Roman" w:cs="Times New Roman"/>
        </w:rPr>
      </w:pPr>
      <w:r w:rsidRPr="005D6057">
        <w:rPr>
          <w:rFonts w:ascii="Times New Roman" w:hAnsi="Times New Roman" w:cs="Times New Roman"/>
        </w:rPr>
        <w:t xml:space="preserve">In particular, the results showed that dermatologists had a noticeably </w:t>
      </w:r>
      <w:r w:rsidRPr="005D6057">
        <w:rPr>
          <w:rFonts w:ascii="Times New Roman" w:hAnsi="Times New Roman" w:cs="Times New Roman"/>
          <w:b/>
          <w:bCs/>
        </w:rPr>
        <w:t>lower rate</w:t>
      </w:r>
      <w:r w:rsidRPr="005D6057">
        <w:rPr>
          <w:rFonts w:ascii="Times New Roman" w:hAnsi="Times New Roman" w:cs="Times New Roman"/>
        </w:rPr>
        <w:t xml:space="preserve"> of private attorney involvement compared to </w:t>
      </w:r>
      <w:r w:rsidR="00E20B0D" w:rsidRPr="005D6057">
        <w:rPr>
          <w:rFonts w:ascii="Times New Roman" w:hAnsi="Times New Roman" w:cs="Times New Roman"/>
        </w:rPr>
        <w:t>anaesthesiologists</w:t>
      </w:r>
      <w:r w:rsidRPr="005D6057">
        <w:rPr>
          <w:rFonts w:ascii="Times New Roman" w:hAnsi="Times New Roman" w:cs="Times New Roman"/>
        </w:rPr>
        <w:t>. This specific comparison was found to be significant in follow-up checks, while other pairings were not.</w:t>
      </w:r>
    </w:p>
    <w:p w14:paraId="3971C0A8" w14:textId="542B5C6C" w:rsidR="00E20B0D" w:rsidRPr="00E20B0D" w:rsidRDefault="00E20B0D" w:rsidP="00E20B0D">
      <w:pPr>
        <w:rPr>
          <w:rFonts w:ascii="Times New Roman" w:hAnsi="Times New Roman" w:cs="Times New Roman"/>
          <w:b/>
          <w:bCs/>
        </w:rPr>
      </w:pPr>
      <w:r w:rsidRPr="00E20B0D">
        <w:rPr>
          <w:rFonts w:ascii="Times New Roman" w:hAnsi="Times New Roman" w:cs="Times New Roman"/>
          <w:b/>
          <w:bCs/>
        </w:rPr>
        <w:t>Conclusion:</w:t>
      </w:r>
      <w:r>
        <w:rPr>
          <w:rFonts w:ascii="Times New Roman" w:hAnsi="Times New Roman" w:cs="Times New Roman"/>
          <w:b/>
          <w:bCs/>
        </w:rPr>
        <w:t xml:space="preserve"> </w:t>
      </w:r>
      <w:r w:rsidRPr="00E20B0D">
        <w:rPr>
          <w:rFonts w:ascii="Times New Roman" w:hAnsi="Times New Roman" w:cs="Times New Roman"/>
        </w:rPr>
        <w:t xml:space="preserve">The likelihood of a claimant being represented by a private attorney </w:t>
      </w:r>
      <w:r w:rsidRPr="00E20B0D">
        <w:rPr>
          <w:rFonts w:ascii="Times New Roman" w:hAnsi="Times New Roman" w:cs="Times New Roman"/>
          <w:b/>
          <w:bCs/>
        </w:rPr>
        <w:t>depends on the physician’s specialty</w:t>
      </w:r>
      <w:r w:rsidRPr="00E20B0D">
        <w:rPr>
          <w:rFonts w:ascii="Times New Roman" w:hAnsi="Times New Roman" w:cs="Times New Roman"/>
        </w:rPr>
        <w:t xml:space="preserve">. Some specialties, like </w:t>
      </w:r>
      <w:r w:rsidRPr="00E20B0D">
        <w:rPr>
          <w:rFonts w:ascii="Times New Roman" w:hAnsi="Times New Roman" w:cs="Times New Roman"/>
        </w:rPr>
        <w:t>anaesthesiology</w:t>
      </w:r>
      <w:r w:rsidRPr="00E20B0D">
        <w:rPr>
          <w:rFonts w:ascii="Times New Roman" w:hAnsi="Times New Roman" w:cs="Times New Roman"/>
        </w:rPr>
        <w:t>, are more often associated with private attorney involvement than others, such as dermatology.</w:t>
      </w:r>
    </w:p>
    <w:p w14:paraId="1339C8B0" w14:textId="77777777" w:rsidR="00E20B0D" w:rsidRPr="005D6057" w:rsidRDefault="00E20B0D" w:rsidP="005D6057">
      <w:pPr>
        <w:rPr>
          <w:rFonts w:ascii="Times New Roman" w:hAnsi="Times New Roman" w:cs="Times New Roman"/>
        </w:rPr>
      </w:pPr>
    </w:p>
    <w:p w14:paraId="6AC8437F" w14:textId="77777777" w:rsidR="005D6057" w:rsidRPr="005D6057" w:rsidRDefault="005D6057" w:rsidP="005D6057">
      <w:pPr>
        <w:rPr>
          <w:rFonts w:ascii="Times New Roman" w:hAnsi="Times New Roman" w:cs="Times New Roman"/>
          <w:b/>
          <w:bCs/>
        </w:rPr>
      </w:pPr>
      <w:r w:rsidRPr="005D6057">
        <w:rPr>
          <w:rFonts w:ascii="Times New Roman" w:hAnsi="Times New Roman" w:cs="Times New Roman"/>
          <w:b/>
          <w:bCs/>
        </w:rPr>
        <w:t>Q1.4: Does private attorney involvement and insurance type affect the payout amount?</w:t>
      </w:r>
    </w:p>
    <w:p w14:paraId="1FD23C46"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This part of the analysis explored whether the amount of money paid out in malpractice claims is affected by two main factors:</w:t>
      </w:r>
    </w:p>
    <w:p w14:paraId="5F5F1AE0" w14:textId="77777777" w:rsidR="005D6057" w:rsidRPr="005D6057" w:rsidRDefault="005D6057" w:rsidP="005D6057">
      <w:pPr>
        <w:numPr>
          <w:ilvl w:val="0"/>
          <w:numId w:val="1"/>
        </w:numPr>
        <w:rPr>
          <w:rFonts w:ascii="Times New Roman" w:hAnsi="Times New Roman" w:cs="Times New Roman"/>
        </w:rPr>
      </w:pPr>
      <w:r w:rsidRPr="005D6057">
        <w:rPr>
          <w:rFonts w:ascii="Times New Roman" w:hAnsi="Times New Roman" w:cs="Times New Roman"/>
        </w:rPr>
        <w:t>Whether or not the claimant had a private attorney, and</w:t>
      </w:r>
    </w:p>
    <w:p w14:paraId="5E96EE39" w14:textId="77777777" w:rsidR="005D6057" w:rsidRPr="005D6057" w:rsidRDefault="005D6057" w:rsidP="005D6057">
      <w:pPr>
        <w:numPr>
          <w:ilvl w:val="0"/>
          <w:numId w:val="1"/>
        </w:numPr>
        <w:rPr>
          <w:rFonts w:ascii="Times New Roman" w:hAnsi="Times New Roman" w:cs="Times New Roman"/>
        </w:rPr>
      </w:pPr>
      <w:r w:rsidRPr="005D6057">
        <w:rPr>
          <w:rFonts w:ascii="Times New Roman" w:hAnsi="Times New Roman" w:cs="Times New Roman"/>
        </w:rPr>
        <w:t>The type of insurance the claimant had (such as Private Insurance, Medicare/Medicaid, or Workers Compensation).</w:t>
      </w:r>
    </w:p>
    <w:p w14:paraId="5F3DDB4B"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By looking at average payout amounts for each combination of these categories, we were able to check if either of these factors—or both together—made a meaningful difference.</w:t>
      </w:r>
    </w:p>
    <w:p w14:paraId="6312BD3C"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The analysis showed that:</w:t>
      </w:r>
    </w:p>
    <w:p w14:paraId="60F2A3B3" w14:textId="77777777" w:rsidR="005D6057" w:rsidRPr="005D6057" w:rsidRDefault="005D6057" w:rsidP="005D6057">
      <w:pPr>
        <w:numPr>
          <w:ilvl w:val="0"/>
          <w:numId w:val="2"/>
        </w:numPr>
        <w:rPr>
          <w:rFonts w:ascii="Times New Roman" w:hAnsi="Times New Roman" w:cs="Times New Roman"/>
        </w:rPr>
      </w:pPr>
      <w:r w:rsidRPr="005D6057">
        <w:rPr>
          <w:rFonts w:ascii="Times New Roman" w:hAnsi="Times New Roman" w:cs="Times New Roman"/>
          <w:b/>
          <w:bCs/>
        </w:rPr>
        <w:lastRenderedPageBreak/>
        <w:t>Claimants with private attorneys generally received higher payouts</w:t>
      </w:r>
      <w:r w:rsidRPr="005D6057">
        <w:rPr>
          <w:rFonts w:ascii="Times New Roman" w:hAnsi="Times New Roman" w:cs="Times New Roman"/>
        </w:rPr>
        <w:t xml:space="preserve"> than those without, and</w:t>
      </w:r>
    </w:p>
    <w:p w14:paraId="07B4EC4C" w14:textId="412AA82B" w:rsidR="005D6057" w:rsidRPr="00E20B0D" w:rsidRDefault="005D6057" w:rsidP="005D6057">
      <w:pPr>
        <w:numPr>
          <w:ilvl w:val="0"/>
          <w:numId w:val="2"/>
        </w:numPr>
        <w:rPr>
          <w:rFonts w:ascii="Times New Roman" w:hAnsi="Times New Roman" w:cs="Times New Roman"/>
        </w:rPr>
      </w:pPr>
      <w:r w:rsidRPr="005D6057">
        <w:rPr>
          <w:rFonts w:ascii="Times New Roman" w:hAnsi="Times New Roman" w:cs="Times New Roman"/>
          <w:b/>
          <w:bCs/>
        </w:rPr>
        <w:t>Insurance type alone did not have a significant effect</w:t>
      </w:r>
      <w:r w:rsidRPr="005D6057">
        <w:rPr>
          <w:rFonts w:ascii="Times New Roman" w:hAnsi="Times New Roman" w:cs="Times New Roman"/>
        </w:rPr>
        <w:t xml:space="preserve"> on the payout amount.</w:t>
      </w:r>
    </w:p>
    <w:p w14:paraId="79AEB7FF" w14:textId="4FEAFA7A" w:rsidR="00E20B0D" w:rsidRPr="00E20B0D" w:rsidRDefault="00E20B0D" w:rsidP="00E20B0D">
      <w:pPr>
        <w:rPr>
          <w:rFonts w:ascii="Times New Roman" w:hAnsi="Times New Roman" w:cs="Times New Roman"/>
          <w:b/>
          <w:bCs/>
        </w:rPr>
      </w:pPr>
      <w:r w:rsidRPr="00E20B0D">
        <w:rPr>
          <w:rFonts w:ascii="Times New Roman" w:hAnsi="Times New Roman" w:cs="Times New Roman"/>
          <w:b/>
          <w:bCs/>
        </w:rPr>
        <w:t>Conclusion:</w:t>
      </w:r>
      <w:r>
        <w:rPr>
          <w:rFonts w:ascii="Times New Roman" w:hAnsi="Times New Roman" w:cs="Times New Roman"/>
          <w:b/>
          <w:bCs/>
        </w:rPr>
        <w:t xml:space="preserve"> </w:t>
      </w:r>
      <w:r w:rsidRPr="00E20B0D">
        <w:rPr>
          <w:rFonts w:ascii="Times New Roman" w:hAnsi="Times New Roman" w:cs="Times New Roman"/>
        </w:rPr>
        <w:t xml:space="preserve">The amount claimed in medical malpractice cases appears to be influenced by whether or not the claimant had a private attorney, but </w:t>
      </w:r>
      <w:r w:rsidRPr="00E20B0D">
        <w:rPr>
          <w:rFonts w:ascii="Times New Roman" w:hAnsi="Times New Roman" w:cs="Times New Roman"/>
          <w:b/>
          <w:bCs/>
        </w:rPr>
        <w:t>not significantly affected by the type of insurance</w:t>
      </w:r>
      <w:r w:rsidRPr="00E20B0D">
        <w:rPr>
          <w:rFonts w:ascii="Times New Roman" w:hAnsi="Times New Roman" w:cs="Times New Roman"/>
        </w:rPr>
        <w:t xml:space="preserve"> they held. This suggests that legal representation has a stronger connection to payout outcomes than insurance status.</w:t>
      </w:r>
    </w:p>
    <w:p w14:paraId="2DEDA542" w14:textId="77777777" w:rsidR="005D6057" w:rsidRPr="005D6057" w:rsidRDefault="005D6057" w:rsidP="005D6057">
      <w:pPr>
        <w:rPr>
          <w:rFonts w:ascii="Times New Roman" w:hAnsi="Times New Roman" w:cs="Times New Roman"/>
        </w:rPr>
      </w:pPr>
    </w:p>
    <w:p w14:paraId="5D12B75D" w14:textId="77777777" w:rsidR="005D6057" w:rsidRPr="005D6057" w:rsidRDefault="005D6057" w:rsidP="005D6057">
      <w:pPr>
        <w:rPr>
          <w:rFonts w:ascii="Times New Roman" w:hAnsi="Times New Roman" w:cs="Times New Roman"/>
          <w:b/>
          <w:bCs/>
        </w:rPr>
      </w:pPr>
      <w:r w:rsidRPr="005D6057">
        <w:rPr>
          <w:rFonts w:ascii="Times New Roman" w:hAnsi="Times New Roman" w:cs="Times New Roman"/>
          <w:b/>
          <w:bCs/>
        </w:rPr>
        <w:t>Q2.1: Does the average payout differ across physician specialties?</w:t>
      </w:r>
    </w:p>
    <w:p w14:paraId="32115BC7" w14:textId="56904909"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This question explored whether the amount paid out in malpractice claims changes depending on the specialty of the physician involved. Four groups were compared: </w:t>
      </w:r>
      <w:r w:rsidR="00E20B0D" w:rsidRPr="005D6057">
        <w:rPr>
          <w:rFonts w:ascii="Times New Roman" w:hAnsi="Times New Roman" w:cs="Times New Roman"/>
        </w:rPr>
        <w:t>Anaesthesiologists</w:t>
      </w:r>
      <w:r w:rsidRPr="005D6057">
        <w:rPr>
          <w:rFonts w:ascii="Times New Roman" w:hAnsi="Times New Roman" w:cs="Times New Roman"/>
        </w:rPr>
        <w:t>, Dermatologists, Obstetricians/Gynaecologists, and Orthopaedic Surgeons.</w:t>
      </w:r>
    </w:p>
    <w:p w14:paraId="5EFAB7D5" w14:textId="67DC07FC"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When looking at the average payout for each specialty, there were some differences. For example, Orthopaedic Surgeons had the highest average payout, while </w:t>
      </w:r>
      <w:r w:rsidR="00E20B0D" w:rsidRPr="005D6057">
        <w:rPr>
          <w:rFonts w:ascii="Times New Roman" w:hAnsi="Times New Roman" w:cs="Times New Roman"/>
        </w:rPr>
        <w:t>Anaesthesiologists</w:t>
      </w:r>
      <w:r w:rsidRPr="005D6057">
        <w:rPr>
          <w:rFonts w:ascii="Times New Roman" w:hAnsi="Times New Roman" w:cs="Times New Roman"/>
        </w:rPr>
        <w:t xml:space="preserve"> had the lowest. However, after reviewing the full results, it was found that these differences were </w:t>
      </w:r>
      <w:r w:rsidRPr="005D6057">
        <w:rPr>
          <w:rFonts w:ascii="Times New Roman" w:hAnsi="Times New Roman" w:cs="Times New Roman"/>
          <w:b/>
          <w:bCs/>
        </w:rPr>
        <w:t>not large enough</w:t>
      </w:r>
      <w:r w:rsidRPr="005D6057">
        <w:rPr>
          <w:rFonts w:ascii="Times New Roman" w:hAnsi="Times New Roman" w:cs="Times New Roman"/>
        </w:rPr>
        <w:t xml:space="preserve"> to be considered meaningful or consistent.</w:t>
      </w:r>
    </w:p>
    <w:p w14:paraId="536B5EB6" w14:textId="77777777" w:rsidR="005D6057" w:rsidRDefault="005D6057" w:rsidP="005D6057">
      <w:pPr>
        <w:rPr>
          <w:rFonts w:ascii="Times New Roman" w:hAnsi="Times New Roman" w:cs="Times New Roman"/>
        </w:rPr>
      </w:pPr>
      <w:r w:rsidRPr="005D6057">
        <w:rPr>
          <w:rFonts w:ascii="Times New Roman" w:hAnsi="Times New Roman" w:cs="Times New Roman"/>
        </w:rPr>
        <w:t xml:space="preserve">A follow-up check comparing each specialty with the others also showed that </w:t>
      </w:r>
      <w:r w:rsidRPr="005D6057">
        <w:rPr>
          <w:rFonts w:ascii="Times New Roman" w:hAnsi="Times New Roman" w:cs="Times New Roman"/>
          <w:b/>
          <w:bCs/>
        </w:rPr>
        <w:t>none of the differences were strong enough</w:t>
      </w:r>
      <w:r w:rsidRPr="005D6057">
        <w:rPr>
          <w:rFonts w:ascii="Times New Roman" w:hAnsi="Times New Roman" w:cs="Times New Roman"/>
        </w:rPr>
        <w:t xml:space="preserve"> to be considered significant.</w:t>
      </w:r>
    </w:p>
    <w:p w14:paraId="6CBAF80B" w14:textId="6FFB6DB4" w:rsidR="00BB5C65" w:rsidRPr="00BB5C65" w:rsidRDefault="00BB5C65" w:rsidP="00BB5C65">
      <w:pPr>
        <w:rPr>
          <w:rFonts w:ascii="Times New Roman" w:hAnsi="Times New Roman" w:cs="Times New Roman"/>
          <w:b/>
          <w:bCs/>
        </w:rPr>
      </w:pPr>
      <w:r w:rsidRPr="00BB5C65">
        <w:rPr>
          <w:rFonts w:ascii="Times New Roman" w:hAnsi="Times New Roman" w:cs="Times New Roman"/>
          <w:b/>
          <w:bCs/>
        </w:rPr>
        <w:t>Conclusion:</w:t>
      </w:r>
      <w:r>
        <w:rPr>
          <w:rFonts w:ascii="Times New Roman" w:hAnsi="Times New Roman" w:cs="Times New Roman"/>
          <w:b/>
          <w:bCs/>
        </w:rPr>
        <w:t xml:space="preserve"> </w:t>
      </w:r>
      <w:r w:rsidRPr="00BB5C65">
        <w:rPr>
          <w:rFonts w:ascii="Times New Roman" w:hAnsi="Times New Roman" w:cs="Times New Roman"/>
        </w:rPr>
        <w:t xml:space="preserve">While some specialties appear to have slightly higher average payouts than others, the results show that </w:t>
      </w:r>
      <w:r w:rsidRPr="00BB5C65">
        <w:rPr>
          <w:rFonts w:ascii="Times New Roman" w:hAnsi="Times New Roman" w:cs="Times New Roman"/>
          <w:b/>
          <w:bCs/>
        </w:rPr>
        <w:t>there is no clear or consistent difference</w:t>
      </w:r>
      <w:r w:rsidRPr="00BB5C65">
        <w:rPr>
          <w:rFonts w:ascii="Times New Roman" w:hAnsi="Times New Roman" w:cs="Times New Roman"/>
        </w:rPr>
        <w:t xml:space="preserve"> in payout amounts across physician specialties. The payouts are fairly similar overall.</w:t>
      </w:r>
    </w:p>
    <w:p w14:paraId="767DEBC5" w14:textId="77777777" w:rsidR="00BB5C65" w:rsidRPr="005D6057" w:rsidRDefault="00BB5C65" w:rsidP="005D6057">
      <w:pPr>
        <w:rPr>
          <w:rFonts w:ascii="Times New Roman" w:hAnsi="Times New Roman" w:cs="Times New Roman"/>
        </w:rPr>
      </w:pPr>
    </w:p>
    <w:p w14:paraId="5E056625" w14:textId="77777777" w:rsidR="005D6057" w:rsidRPr="005D6057" w:rsidRDefault="005D6057" w:rsidP="005D6057">
      <w:pPr>
        <w:rPr>
          <w:rFonts w:ascii="Times New Roman" w:hAnsi="Times New Roman" w:cs="Times New Roman"/>
          <w:b/>
          <w:bCs/>
        </w:rPr>
      </w:pPr>
      <w:r w:rsidRPr="005D6057">
        <w:rPr>
          <w:rFonts w:ascii="Times New Roman" w:hAnsi="Times New Roman" w:cs="Times New Roman"/>
          <w:b/>
          <w:bCs/>
        </w:rPr>
        <w:t>Q2.2: Are payouts for SEVERE claims higher for Orthopaedic Surgeons compared to other specialists?</w:t>
      </w:r>
    </w:p>
    <w:p w14:paraId="102C6FE9"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This question focused only on the most serious cases—those marked as “SEVERE”—and compared payout amounts between orthopaedic surgeons and all other types of physicians.</w:t>
      </w:r>
    </w:p>
    <w:p w14:paraId="13CE08A7"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The average payout for orthopaedic surgeons in severe cases was slightly higher than for other specialists. However, after reviewing the overall differences, the analysis showed that this gap </w:t>
      </w:r>
      <w:r w:rsidRPr="005D6057">
        <w:rPr>
          <w:rFonts w:ascii="Times New Roman" w:hAnsi="Times New Roman" w:cs="Times New Roman"/>
          <w:b/>
          <w:bCs/>
        </w:rPr>
        <w:t>was not strong enough</w:t>
      </w:r>
      <w:r w:rsidRPr="005D6057">
        <w:rPr>
          <w:rFonts w:ascii="Times New Roman" w:hAnsi="Times New Roman" w:cs="Times New Roman"/>
        </w:rPr>
        <w:t xml:space="preserve"> to confidently say that orthopaedic surgeons receive higher payouts in these cases.</w:t>
      </w:r>
    </w:p>
    <w:p w14:paraId="622E9B53" w14:textId="77777777" w:rsidR="005D6057" w:rsidRDefault="005D6057" w:rsidP="005D6057">
      <w:pPr>
        <w:rPr>
          <w:rFonts w:ascii="Times New Roman" w:hAnsi="Times New Roman" w:cs="Times New Roman"/>
        </w:rPr>
      </w:pPr>
      <w:r w:rsidRPr="005D6057">
        <w:rPr>
          <w:rFonts w:ascii="Times New Roman" w:hAnsi="Times New Roman" w:cs="Times New Roman"/>
        </w:rPr>
        <w:t>The test showed that the difference could have happened by chance, and therefore, the result wasn’t considered meaningful.</w:t>
      </w:r>
    </w:p>
    <w:p w14:paraId="62E54829" w14:textId="0AE768E1" w:rsidR="00092EAB" w:rsidRPr="00092EAB" w:rsidRDefault="00092EAB" w:rsidP="00092EAB">
      <w:pPr>
        <w:rPr>
          <w:rFonts w:ascii="Times New Roman" w:hAnsi="Times New Roman" w:cs="Times New Roman"/>
          <w:b/>
          <w:bCs/>
        </w:rPr>
      </w:pPr>
      <w:r w:rsidRPr="00092EAB">
        <w:rPr>
          <w:rFonts w:ascii="Times New Roman" w:hAnsi="Times New Roman" w:cs="Times New Roman"/>
          <w:b/>
          <w:bCs/>
        </w:rPr>
        <w:t>Conclusion:</w:t>
      </w:r>
      <w:r>
        <w:rPr>
          <w:rFonts w:ascii="Times New Roman" w:hAnsi="Times New Roman" w:cs="Times New Roman"/>
          <w:b/>
          <w:bCs/>
        </w:rPr>
        <w:t xml:space="preserve"> </w:t>
      </w:r>
      <w:r w:rsidRPr="00092EAB">
        <w:rPr>
          <w:rFonts w:ascii="Times New Roman" w:hAnsi="Times New Roman" w:cs="Times New Roman"/>
        </w:rPr>
        <w:t xml:space="preserve">Although orthopaedic surgeons had a slightly higher average payout in severe malpractice cases, the difference was </w:t>
      </w:r>
      <w:r w:rsidRPr="00092EAB">
        <w:rPr>
          <w:rFonts w:ascii="Times New Roman" w:hAnsi="Times New Roman" w:cs="Times New Roman"/>
          <w:b/>
          <w:bCs/>
        </w:rPr>
        <w:t>not large or consistent enough</w:t>
      </w:r>
      <w:r w:rsidRPr="00092EAB">
        <w:rPr>
          <w:rFonts w:ascii="Times New Roman" w:hAnsi="Times New Roman" w:cs="Times New Roman"/>
        </w:rPr>
        <w:t xml:space="preserve"> to suggest that their payouts are significantly higher than those of other physicians.</w:t>
      </w:r>
    </w:p>
    <w:p w14:paraId="140A0156" w14:textId="77777777" w:rsidR="00092EAB" w:rsidRPr="005D6057" w:rsidRDefault="00092EAB" w:rsidP="005D6057">
      <w:pPr>
        <w:rPr>
          <w:rFonts w:ascii="Times New Roman" w:hAnsi="Times New Roman" w:cs="Times New Roman"/>
        </w:rPr>
      </w:pPr>
    </w:p>
    <w:p w14:paraId="742CDDE0" w14:textId="77777777" w:rsidR="005D6057" w:rsidRPr="005D6057" w:rsidRDefault="005D6057" w:rsidP="005D6057">
      <w:pPr>
        <w:rPr>
          <w:rFonts w:ascii="Times New Roman" w:hAnsi="Times New Roman" w:cs="Times New Roman"/>
          <w:b/>
          <w:bCs/>
        </w:rPr>
      </w:pPr>
      <w:r w:rsidRPr="005D6057">
        <w:rPr>
          <w:rFonts w:ascii="Times New Roman" w:hAnsi="Times New Roman" w:cs="Times New Roman"/>
          <w:b/>
          <w:bCs/>
        </w:rPr>
        <w:lastRenderedPageBreak/>
        <w:t>Q2.3: Did Medical Liability Reform (MLR) lead to more high-risk patients being accepted?</w:t>
      </w:r>
    </w:p>
    <w:p w14:paraId="7848DCAC"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This question examined whether more high-risk obstetric patients were accepted by doctors after Medical Liability Reform (MLR) was introduced. The goal was to find out if this new legislation helped reduce doctors’ concerns about accepting complex or risky patients.</w:t>
      </w:r>
    </w:p>
    <w:p w14:paraId="1E46ADE5"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The data compared the number of high-risk patients each doctor accepted </w:t>
      </w:r>
      <w:r w:rsidRPr="005D6057">
        <w:rPr>
          <w:rFonts w:ascii="Times New Roman" w:hAnsi="Times New Roman" w:cs="Times New Roman"/>
          <w:b/>
          <w:bCs/>
        </w:rPr>
        <w:t>before and after</w:t>
      </w:r>
      <w:r w:rsidRPr="005D6057">
        <w:rPr>
          <w:rFonts w:ascii="Times New Roman" w:hAnsi="Times New Roman" w:cs="Times New Roman"/>
        </w:rPr>
        <w:t xml:space="preserve"> MLR. On average, doctors accepted slightly more high-risk patients after the reform. However, the increase was quite small.</w:t>
      </w:r>
    </w:p>
    <w:p w14:paraId="1889E3F7" w14:textId="77777777" w:rsidR="005D6057" w:rsidRDefault="005D6057" w:rsidP="005D6057">
      <w:pPr>
        <w:rPr>
          <w:rFonts w:ascii="Times New Roman" w:hAnsi="Times New Roman" w:cs="Times New Roman"/>
        </w:rPr>
      </w:pPr>
      <w:r w:rsidRPr="005D6057">
        <w:rPr>
          <w:rFonts w:ascii="Times New Roman" w:hAnsi="Times New Roman" w:cs="Times New Roman"/>
        </w:rPr>
        <w:t xml:space="preserve">When the results were checked closely, they showed that this difference </w:t>
      </w:r>
      <w:r w:rsidRPr="005D6057">
        <w:rPr>
          <w:rFonts w:ascii="Times New Roman" w:hAnsi="Times New Roman" w:cs="Times New Roman"/>
          <w:b/>
          <w:bCs/>
        </w:rPr>
        <w:t>was not strong enough to confirm a real change</w:t>
      </w:r>
      <w:r w:rsidRPr="005D6057">
        <w:rPr>
          <w:rFonts w:ascii="Times New Roman" w:hAnsi="Times New Roman" w:cs="Times New Roman"/>
        </w:rPr>
        <w:t xml:space="preserve">. In other words, the number of high-risk patients accepted </w:t>
      </w:r>
      <w:r w:rsidRPr="005D6057">
        <w:rPr>
          <w:rFonts w:ascii="Times New Roman" w:hAnsi="Times New Roman" w:cs="Times New Roman"/>
          <w:b/>
          <w:bCs/>
        </w:rPr>
        <w:t>did not increase significantly</w:t>
      </w:r>
      <w:r w:rsidRPr="005D6057">
        <w:rPr>
          <w:rFonts w:ascii="Times New Roman" w:hAnsi="Times New Roman" w:cs="Times New Roman"/>
        </w:rPr>
        <w:t xml:space="preserve"> after MLR was introduced.</w:t>
      </w:r>
    </w:p>
    <w:p w14:paraId="280D5468" w14:textId="2531E922" w:rsidR="002D2945" w:rsidRPr="002D2945" w:rsidRDefault="002D2945" w:rsidP="002D2945">
      <w:pPr>
        <w:rPr>
          <w:rFonts w:ascii="Times New Roman" w:hAnsi="Times New Roman" w:cs="Times New Roman"/>
          <w:b/>
          <w:bCs/>
        </w:rPr>
      </w:pPr>
      <w:r w:rsidRPr="002D2945">
        <w:rPr>
          <w:rFonts w:ascii="Times New Roman" w:hAnsi="Times New Roman" w:cs="Times New Roman"/>
          <w:b/>
          <w:bCs/>
        </w:rPr>
        <w:t>Conclusion:</w:t>
      </w:r>
      <w:r>
        <w:rPr>
          <w:rFonts w:ascii="Times New Roman" w:hAnsi="Times New Roman" w:cs="Times New Roman"/>
          <w:b/>
          <w:bCs/>
        </w:rPr>
        <w:t xml:space="preserve"> </w:t>
      </w:r>
      <w:r w:rsidRPr="002D2945">
        <w:rPr>
          <w:rFonts w:ascii="Times New Roman" w:hAnsi="Times New Roman" w:cs="Times New Roman"/>
        </w:rPr>
        <w:t xml:space="preserve">Although there was a small increase in the number of high-risk patients accepted after MLR, the difference was </w:t>
      </w:r>
      <w:r w:rsidRPr="002D2945">
        <w:rPr>
          <w:rFonts w:ascii="Times New Roman" w:hAnsi="Times New Roman" w:cs="Times New Roman"/>
          <w:b/>
          <w:bCs/>
        </w:rPr>
        <w:t>not large enough to suggest that the reform had a clear impact</w:t>
      </w:r>
      <w:r w:rsidRPr="002D2945">
        <w:rPr>
          <w:rFonts w:ascii="Times New Roman" w:hAnsi="Times New Roman" w:cs="Times New Roman"/>
        </w:rPr>
        <w:t>. This means that MLR may not have had a strong effect on doctors’ willingness to take on high-risk patients—at least based on this dataset.</w:t>
      </w:r>
    </w:p>
    <w:p w14:paraId="73141C85" w14:textId="6B82ACE3" w:rsidR="002D2945" w:rsidRPr="005D6057" w:rsidRDefault="00E30B4E" w:rsidP="005D605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2F7069" wp14:editId="0FB83F50">
                <wp:simplePos x="0" y="0"/>
                <wp:positionH relativeFrom="column">
                  <wp:posOffset>-342900</wp:posOffset>
                </wp:positionH>
                <wp:positionV relativeFrom="paragraph">
                  <wp:posOffset>117475</wp:posOffset>
                </wp:positionV>
                <wp:extent cx="6642100" cy="0"/>
                <wp:effectExtent l="0" t="0" r="12700" b="12700"/>
                <wp:wrapNone/>
                <wp:docPr id="1184987463" name="Straight Connector 1"/>
                <wp:cNvGraphicFramePr/>
                <a:graphic xmlns:a="http://schemas.openxmlformats.org/drawingml/2006/main">
                  <a:graphicData uri="http://schemas.microsoft.com/office/word/2010/wordprocessingShape">
                    <wps:wsp>
                      <wps:cNvCnPr/>
                      <wps:spPr>
                        <a:xfrm flipV="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8204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9.25pt" to="496pt,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7D4pAEAAJ4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" strokecolor="#156082 [3204]" strokeweight=".5pt">
                <v:stroke joinstyle="miter"/>
              </v:line>
            </w:pict>
          </mc:Fallback>
        </mc:AlternateContent>
      </w:r>
    </w:p>
    <w:p w14:paraId="7BE2108F" w14:textId="77777777" w:rsidR="005D6057" w:rsidRPr="005D6057" w:rsidRDefault="005D6057" w:rsidP="005D6057">
      <w:pPr>
        <w:rPr>
          <w:rFonts w:ascii="Times New Roman" w:hAnsi="Times New Roman" w:cs="Times New Roman"/>
          <w:b/>
          <w:bCs/>
          <w:sz w:val="28"/>
          <w:szCs w:val="28"/>
        </w:rPr>
      </w:pPr>
      <w:r w:rsidRPr="005D6057">
        <w:rPr>
          <w:rFonts w:ascii="Times New Roman" w:hAnsi="Times New Roman" w:cs="Times New Roman"/>
          <w:b/>
          <w:bCs/>
          <w:sz w:val="28"/>
          <w:szCs w:val="28"/>
        </w:rPr>
        <w:t>Conclusion</w:t>
      </w:r>
    </w:p>
    <w:p w14:paraId="2AA23769"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This report examined several important questions related to medical malpractice claims, using data provided by United Health Group. The focus was on understanding the effects of private attorney representation, physician specialty, insurance type, and Medical Liability Reform (MLR) on the payouts and claim </w:t>
      </w:r>
      <w:proofErr w:type="spellStart"/>
      <w:r w:rsidRPr="005D6057">
        <w:rPr>
          <w:rFonts w:ascii="Times New Roman" w:hAnsi="Times New Roman" w:cs="Times New Roman"/>
        </w:rPr>
        <w:t>behaviors</w:t>
      </w:r>
      <w:proofErr w:type="spellEnd"/>
      <w:r w:rsidRPr="005D6057">
        <w:rPr>
          <w:rFonts w:ascii="Times New Roman" w:hAnsi="Times New Roman" w:cs="Times New Roman"/>
        </w:rPr>
        <w:t>.</w:t>
      </w:r>
    </w:p>
    <w:p w14:paraId="2C347B8E"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The analysis found that </w:t>
      </w:r>
      <w:r w:rsidRPr="005D6057">
        <w:rPr>
          <w:rFonts w:ascii="Times New Roman" w:hAnsi="Times New Roman" w:cs="Times New Roman"/>
          <w:b/>
          <w:bCs/>
        </w:rPr>
        <w:t>claimants with private attorneys received higher payouts</w:t>
      </w:r>
      <w:r w:rsidRPr="005D6057">
        <w:rPr>
          <w:rFonts w:ascii="Times New Roman" w:hAnsi="Times New Roman" w:cs="Times New Roman"/>
        </w:rPr>
        <w:t xml:space="preserve">, suggesting that legal representation may improve outcomes for patients. However, </w:t>
      </w:r>
      <w:r w:rsidRPr="005D6057">
        <w:rPr>
          <w:rFonts w:ascii="Times New Roman" w:hAnsi="Times New Roman" w:cs="Times New Roman"/>
          <w:b/>
          <w:bCs/>
        </w:rPr>
        <w:t>differences in attorney representation across physician specialties were not always consistent</w:t>
      </w:r>
      <w:r w:rsidRPr="005D6057">
        <w:rPr>
          <w:rFonts w:ascii="Times New Roman" w:hAnsi="Times New Roman" w:cs="Times New Roman"/>
        </w:rPr>
        <w:t>, and although some variations were found, they were not all meaningful.</w:t>
      </w:r>
    </w:p>
    <w:p w14:paraId="7474CA34"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It was also found that while </w:t>
      </w:r>
      <w:r w:rsidRPr="005D6057">
        <w:rPr>
          <w:rFonts w:ascii="Times New Roman" w:hAnsi="Times New Roman" w:cs="Times New Roman"/>
          <w:b/>
          <w:bCs/>
        </w:rPr>
        <w:t>payouts varied slightly across specialties</w:t>
      </w:r>
      <w:r w:rsidRPr="005D6057">
        <w:rPr>
          <w:rFonts w:ascii="Times New Roman" w:hAnsi="Times New Roman" w:cs="Times New Roman"/>
        </w:rPr>
        <w:t xml:space="preserve">, there was </w:t>
      </w:r>
      <w:r w:rsidRPr="005D6057">
        <w:rPr>
          <w:rFonts w:ascii="Times New Roman" w:hAnsi="Times New Roman" w:cs="Times New Roman"/>
          <w:b/>
          <w:bCs/>
        </w:rPr>
        <w:t>no strong evidence</w:t>
      </w:r>
      <w:r w:rsidRPr="005D6057">
        <w:rPr>
          <w:rFonts w:ascii="Times New Roman" w:hAnsi="Times New Roman" w:cs="Times New Roman"/>
        </w:rPr>
        <w:t xml:space="preserve"> to say that one group consistently received more than another. Similarly, although </w:t>
      </w:r>
      <w:r w:rsidRPr="005D6057">
        <w:rPr>
          <w:rFonts w:ascii="Times New Roman" w:hAnsi="Times New Roman" w:cs="Times New Roman"/>
          <w:b/>
          <w:bCs/>
        </w:rPr>
        <w:t>orthopaedic surgeons had higher payouts for severe claims</w:t>
      </w:r>
      <w:r w:rsidRPr="005D6057">
        <w:rPr>
          <w:rFonts w:ascii="Times New Roman" w:hAnsi="Times New Roman" w:cs="Times New Roman"/>
        </w:rPr>
        <w:t>, the difference wasn’t large enough to be considered significant.</w:t>
      </w:r>
    </w:p>
    <w:p w14:paraId="3F7E2201" w14:textId="77777777" w:rsidR="005D6057" w:rsidRPr="005D6057" w:rsidRDefault="005D6057" w:rsidP="005D6057">
      <w:pPr>
        <w:rPr>
          <w:rFonts w:ascii="Times New Roman" w:hAnsi="Times New Roman" w:cs="Times New Roman"/>
        </w:rPr>
      </w:pPr>
      <w:r w:rsidRPr="005D6057">
        <w:rPr>
          <w:rFonts w:ascii="Times New Roman" w:hAnsi="Times New Roman" w:cs="Times New Roman"/>
        </w:rPr>
        <w:t xml:space="preserve">When examining the impact of </w:t>
      </w:r>
      <w:r w:rsidRPr="005D6057">
        <w:rPr>
          <w:rFonts w:ascii="Times New Roman" w:hAnsi="Times New Roman" w:cs="Times New Roman"/>
          <w:b/>
          <w:bCs/>
        </w:rPr>
        <w:t>insurance type and attorney involvement together</w:t>
      </w:r>
      <w:r w:rsidRPr="005D6057">
        <w:rPr>
          <w:rFonts w:ascii="Times New Roman" w:hAnsi="Times New Roman" w:cs="Times New Roman"/>
        </w:rPr>
        <w:t xml:space="preserve">, it was clear that </w:t>
      </w:r>
      <w:r w:rsidRPr="005D6057">
        <w:rPr>
          <w:rFonts w:ascii="Times New Roman" w:hAnsi="Times New Roman" w:cs="Times New Roman"/>
          <w:b/>
          <w:bCs/>
        </w:rPr>
        <w:t>having a private attorney had a greater influence on payouts</w:t>
      </w:r>
      <w:r w:rsidRPr="005D6057">
        <w:rPr>
          <w:rFonts w:ascii="Times New Roman" w:hAnsi="Times New Roman" w:cs="Times New Roman"/>
        </w:rPr>
        <w:t xml:space="preserve"> than the type of insurance. Finally, when looking at the effect of </w:t>
      </w:r>
      <w:r w:rsidRPr="005D6057">
        <w:rPr>
          <w:rFonts w:ascii="Times New Roman" w:hAnsi="Times New Roman" w:cs="Times New Roman"/>
          <w:b/>
          <w:bCs/>
        </w:rPr>
        <w:t>Medical Liability Reform</w:t>
      </w:r>
      <w:r w:rsidRPr="005D6057">
        <w:rPr>
          <w:rFonts w:ascii="Times New Roman" w:hAnsi="Times New Roman" w:cs="Times New Roman"/>
        </w:rPr>
        <w:t xml:space="preserve">, there was a small increase in the number of high-risk patients accepted by obstetricians, but again, this was </w:t>
      </w:r>
      <w:r w:rsidRPr="005D6057">
        <w:rPr>
          <w:rFonts w:ascii="Times New Roman" w:hAnsi="Times New Roman" w:cs="Times New Roman"/>
          <w:b/>
          <w:bCs/>
        </w:rPr>
        <w:t>not a significant change</w:t>
      </w:r>
      <w:r w:rsidRPr="005D6057">
        <w:rPr>
          <w:rFonts w:ascii="Times New Roman" w:hAnsi="Times New Roman" w:cs="Times New Roman"/>
        </w:rPr>
        <w:t>.</w:t>
      </w:r>
    </w:p>
    <w:p w14:paraId="64EB569B" w14:textId="10541830" w:rsidR="005D6057" w:rsidRPr="005D6057" w:rsidRDefault="005D6057" w:rsidP="005D6057">
      <w:pPr>
        <w:rPr>
          <w:rFonts w:ascii="Times New Roman" w:hAnsi="Times New Roman" w:cs="Times New Roman"/>
          <w:b/>
          <w:bCs/>
        </w:rPr>
      </w:pPr>
      <w:r w:rsidRPr="005D6057">
        <w:rPr>
          <w:rFonts w:ascii="Times New Roman" w:hAnsi="Times New Roman" w:cs="Times New Roman"/>
          <w:b/>
          <w:bCs/>
        </w:rPr>
        <w:t>Limitations:</w:t>
      </w:r>
    </w:p>
    <w:p w14:paraId="336654C5" w14:textId="77777777" w:rsidR="005D6057" w:rsidRPr="005D6057" w:rsidRDefault="005D6057" w:rsidP="005D6057">
      <w:pPr>
        <w:numPr>
          <w:ilvl w:val="0"/>
          <w:numId w:val="3"/>
        </w:numPr>
        <w:rPr>
          <w:rFonts w:ascii="Times New Roman" w:hAnsi="Times New Roman" w:cs="Times New Roman"/>
        </w:rPr>
      </w:pPr>
      <w:r w:rsidRPr="005D6057">
        <w:rPr>
          <w:rFonts w:ascii="Times New Roman" w:hAnsi="Times New Roman" w:cs="Times New Roman"/>
        </w:rPr>
        <w:t>The sample sizes in some groups were relatively small, which may have affected the strength of the results.</w:t>
      </w:r>
    </w:p>
    <w:p w14:paraId="77CEE8F2" w14:textId="77777777" w:rsidR="005D6057" w:rsidRPr="005D6057" w:rsidRDefault="005D6057" w:rsidP="005D6057">
      <w:pPr>
        <w:numPr>
          <w:ilvl w:val="0"/>
          <w:numId w:val="3"/>
        </w:numPr>
        <w:rPr>
          <w:rFonts w:ascii="Times New Roman" w:hAnsi="Times New Roman" w:cs="Times New Roman"/>
        </w:rPr>
      </w:pPr>
      <w:r w:rsidRPr="005D6057">
        <w:rPr>
          <w:rFonts w:ascii="Times New Roman" w:hAnsi="Times New Roman" w:cs="Times New Roman"/>
        </w:rPr>
        <w:lastRenderedPageBreak/>
        <w:t>The analysis was based on past data and may not account for external factors like policy changes, regional differences, or patient case complexity.</w:t>
      </w:r>
    </w:p>
    <w:p w14:paraId="57CB94E2" w14:textId="77777777" w:rsidR="005D6057" w:rsidRPr="005D6057" w:rsidRDefault="005D6057" w:rsidP="005D6057">
      <w:pPr>
        <w:numPr>
          <w:ilvl w:val="0"/>
          <w:numId w:val="3"/>
        </w:numPr>
        <w:rPr>
          <w:rFonts w:ascii="Times New Roman" w:hAnsi="Times New Roman" w:cs="Times New Roman"/>
        </w:rPr>
      </w:pPr>
      <w:r w:rsidRPr="005D6057">
        <w:rPr>
          <w:rFonts w:ascii="Times New Roman" w:hAnsi="Times New Roman" w:cs="Times New Roman"/>
        </w:rPr>
        <w:t>Some assumptions (such as equal variances) were required to perform the tests, and slight violations of those assumptions may influence accuracy.</w:t>
      </w:r>
    </w:p>
    <w:p w14:paraId="672586E0" w14:textId="0C27A423" w:rsidR="005D6057" w:rsidRPr="005D6057" w:rsidRDefault="00E30B4E" w:rsidP="005D605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7D07FAC" wp14:editId="6256AACA">
                <wp:simplePos x="0" y="0"/>
                <wp:positionH relativeFrom="column">
                  <wp:posOffset>-342900</wp:posOffset>
                </wp:positionH>
                <wp:positionV relativeFrom="paragraph">
                  <wp:posOffset>-635</wp:posOffset>
                </wp:positionV>
                <wp:extent cx="6642100" cy="0"/>
                <wp:effectExtent l="0" t="0" r="12700" b="12700"/>
                <wp:wrapNone/>
                <wp:docPr id="1640631613" name="Straight Connector 1"/>
                <wp:cNvGraphicFramePr/>
                <a:graphic xmlns:a="http://schemas.openxmlformats.org/drawingml/2006/main">
                  <a:graphicData uri="http://schemas.microsoft.com/office/word/2010/wordprocessingShape">
                    <wps:wsp>
                      <wps:cNvCnPr/>
                      <wps:spPr>
                        <a:xfrm flipV="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D9ADA"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05pt" to="496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7D4pAEAAJ4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" strokecolor="#156082 [3204]" strokeweight=".5pt">
                <v:stroke joinstyle="miter"/>
              </v:line>
            </w:pict>
          </mc:Fallback>
        </mc:AlternateContent>
      </w:r>
    </w:p>
    <w:p w14:paraId="00561BF8" w14:textId="73BB86F5" w:rsidR="00E03A39" w:rsidRPr="00E03A39" w:rsidRDefault="00E03A39" w:rsidP="00E03A39">
      <w:pPr>
        <w:rPr>
          <w:rFonts w:ascii="Times New Roman" w:hAnsi="Times New Roman" w:cs="Times New Roman"/>
          <w:sz w:val="28"/>
          <w:szCs w:val="28"/>
        </w:rPr>
      </w:pPr>
      <w:r w:rsidRPr="00E03A39">
        <w:rPr>
          <w:rFonts w:ascii="Times New Roman" w:hAnsi="Times New Roman" w:cs="Times New Roman"/>
          <w:b/>
          <w:bCs/>
          <w:sz w:val="28"/>
          <w:szCs w:val="28"/>
        </w:rPr>
        <w:t>References</w:t>
      </w:r>
    </w:p>
    <w:p w14:paraId="027BBAE3" w14:textId="006C1447" w:rsidR="00E03A39" w:rsidRPr="00E03A39" w:rsidRDefault="00E03A39" w:rsidP="00E03A39">
      <w:pPr>
        <w:pStyle w:val="ListParagraph"/>
        <w:numPr>
          <w:ilvl w:val="0"/>
          <w:numId w:val="5"/>
        </w:numPr>
        <w:ind w:left="360"/>
        <w:rPr>
          <w:rFonts w:ascii="Times New Roman" w:hAnsi="Times New Roman" w:cs="Times New Roman"/>
        </w:rPr>
      </w:pPr>
      <w:r w:rsidRPr="00E03A39">
        <w:rPr>
          <w:rFonts w:ascii="Times New Roman" w:hAnsi="Times New Roman" w:cs="Times New Roman"/>
        </w:rPr>
        <w:t>Studdert, D. M., Mello, M. M., Gawande, A. A., Gandhi, T. K., </w:t>
      </w:r>
      <w:proofErr w:type="spellStart"/>
      <w:r w:rsidRPr="00E03A39">
        <w:rPr>
          <w:rFonts w:ascii="Times New Roman" w:hAnsi="Times New Roman" w:cs="Times New Roman"/>
        </w:rPr>
        <w:t>Kachalia</w:t>
      </w:r>
      <w:proofErr w:type="spellEnd"/>
      <w:r w:rsidRPr="00E03A39">
        <w:rPr>
          <w:rFonts w:ascii="Times New Roman" w:hAnsi="Times New Roman" w:cs="Times New Roman"/>
        </w:rPr>
        <w:t>, A., Yoon, C., ... &amp; Brennan, T. A. (2006). Claims, errors, and compensation payments in medical malpractice litigation. </w:t>
      </w:r>
      <w:r w:rsidRPr="00E03A39">
        <w:rPr>
          <w:rFonts w:ascii="Times New Roman" w:hAnsi="Times New Roman" w:cs="Times New Roman"/>
          <w:i/>
          <w:iCs/>
        </w:rPr>
        <w:t>New England Journal of Medicine</w:t>
      </w:r>
      <w:r w:rsidRPr="00E03A39">
        <w:rPr>
          <w:rFonts w:ascii="Times New Roman" w:hAnsi="Times New Roman" w:cs="Times New Roman"/>
        </w:rPr>
        <w:t>, 354(19), 2024–2033. </w:t>
      </w:r>
      <w:hyperlink r:id="rId5" w:history="1">
        <w:r w:rsidRPr="00E03A39">
          <w:rPr>
            <w:rStyle w:val="Hyperlink"/>
            <w:rFonts w:ascii="Times New Roman" w:hAnsi="Times New Roman" w:cs="Times New Roman"/>
          </w:rPr>
          <w:t>https://doi.org/10.1056/NEJMsa054479</w:t>
        </w:r>
      </w:hyperlink>
    </w:p>
    <w:p w14:paraId="5FBD3602" w14:textId="5046A19D" w:rsidR="00E03A39" w:rsidRPr="00E03A39" w:rsidRDefault="00E03A39" w:rsidP="00E03A39">
      <w:pPr>
        <w:pStyle w:val="ListParagraph"/>
        <w:numPr>
          <w:ilvl w:val="0"/>
          <w:numId w:val="5"/>
        </w:numPr>
        <w:ind w:left="360"/>
        <w:rPr>
          <w:rFonts w:ascii="Times New Roman" w:hAnsi="Times New Roman" w:cs="Times New Roman"/>
        </w:rPr>
      </w:pPr>
      <w:r w:rsidRPr="00E03A39">
        <w:rPr>
          <w:rFonts w:ascii="Times New Roman" w:hAnsi="Times New Roman" w:cs="Times New Roman"/>
        </w:rPr>
        <w:t>Mello, M. M., &amp; </w:t>
      </w:r>
      <w:proofErr w:type="spellStart"/>
      <w:r w:rsidRPr="00E03A39">
        <w:rPr>
          <w:rFonts w:ascii="Times New Roman" w:hAnsi="Times New Roman" w:cs="Times New Roman"/>
        </w:rPr>
        <w:t>Kachalia</w:t>
      </w:r>
      <w:proofErr w:type="spellEnd"/>
      <w:r w:rsidRPr="00E03A39">
        <w:rPr>
          <w:rFonts w:ascii="Times New Roman" w:hAnsi="Times New Roman" w:cs="Times New Roman"/>
        </w:rPr>
        <w:t>, A. (2010). Evaluation of options for medical malpractice system reform. </w:t>
      </w:r>
      <w:r w:rsidRPr="00E03A39">
        <w:rPr>
          <w:rFonts w:ascii="Times New Roman" w:hAnsi="Times New Roman" w:cs="Times New Roman"/>
          <w:i/>
          <w:iCs/>
        </w:rPr>
        <w:t>Robert Wood Johnson Foundation Research Brief</w:t>
      </w:r>
      <w:r w:rsidRPr="00E03A39">
        <w:rPr>
          <w:rFonts w:ascii="Times New Roman" w:hAnsi="Times New Roman" w:cs="Times New Roman"/>
        </w:rPr>
        <w:t>. </w:t>
      </w:r>
      <w:hyperlink r:id="rId6" w:history="1">
        <w:r w:rsidRPr="00E03A39">
          <w:rPr>
            <w:rStyle w:val="Hyperlink"/>
            <w:rFonts w:ascii="Times New Roman" w:hAnsi="Times New Roman" w:cs="Times New Roman"/>
          </w:rPr>
          <w:t>https://www.rwjf.org/en/library/research/2010/06/evalu</w:t>
        </w:r>
        <w:r w:rsidRPr="00E03A39">
          <w:rPr>
            <w:rStyle w:val="Hyperlink"/>
            <w:rFonts w:ascii="Times New Roman" w:hAnsi="Times New Roman" w:cs="Times New Roman"/>
          </w:rPr>
          <w:t>a</w:t>
        </w:r>
        <w:r w:rsidRPr="00E03A39">
          <w:rPr>
            <w:rStyle w:val="Hyperlink"/>
            <w:rFonts w:ascii="Times New Roman" w:hAnsi="Times New Roman" w:cs="Times New Roman"/>
          </w:rPr>
          <w:t>tion-of-options-for-medical-malpractice-system-reform.html</w:t>
        </w:r>
      </w:hyperlink>
      <w:r w:rsidRPr="00E03A39">
        <w:rPr>
          <w:rFonts w:ascii="Times New Roman" w:hAnsi="Times New Roman" w:cs="Times New Roman"/>
        </w:rPr>
        <w:t>   </w:t>
      </w:r>
    </w:p>
    <w:p w14:paraId="78CDE4FF" w14:textId="4FF77ED6" w:rsidR="00E03A39" w:rsidRPr="00E03A39" w:rsidRDefault="00E03A39" w:rsidP="00E03A39">
      <w:pPr>
        <w:pStyle w:val="ListParagraph"/>
        <w:numPr>
          <w:ilvl w:val="0"/>
          <w:numId w:val="5"/>
        </w:numPr>
        <w:ind w:left="360"/>
        <w:rPr>
          <w:rFonts w:ascii="Times New Roman" w:hAnsi="Times New Roman" w:cs="Times New Roman"/>
        </w:rPr>
      </w:pPr>
      <w:r w:rsidRPr="00E03A39">
        <w:rPr>
          <w:rFonts w:ascii="Times New Roman" w:hAnsi="Times New Roman" w:cs="Times New Roman"/>
        </w:rPr>
        <w:t>Sloan, F. A., &amp; </w:t>
      </w:r>
      <w:proofErr w:type="spellStart"/>
      <w:r w:rsidRPr="00E03A39">
        <w:rPr>
          <w:rFonts w:ascii="Times New Roman" w:hAnsi="Times New Roman" w:cs="Times New Roman"/>
        </w:rPr>
        <w:t>Chepke</w:t>
      </w:r>
      <w:proofErr w:type="spellEnd"/>
      <w:r w:rsidRPr="00E03A39">
        <w:rPr>
          <w:rFonts w:ascii="Times New Roman" w:hAnsi="Times New Roman" w:cs="Times New Roman"/>
        </w:rPr>
        <w:t>, L. M. (2008). </w:t>
      </w:r>
      <w:r w:rsidRPr="00E03A39">
        <w:rPr>
          <w:rFonts w:ascii="Times New Roman" w:hAnsi="Times New Roman" w:cs="Times New Roman"/>
          <w:i/>
          <w:iCs/>
        </w:rPr>
        <w:t>Medical malpractice</w:t>
      </w:r>
      <w:r w:rsidRPr="00E03A39">
        <w:rPr>
          <w:rFonts w:ascii="Times New Roman" w:hAnsi="Times New Roman" w:cs="Times New Roman"/>
        </w:rPr>
        <w:t>. MIT Press.</w:t>
      </w:r>
    </w:p>
    <w:p w14:paraId="0DD6F557" w14:textId="67E34BC0" w:rsidR="00E03A39" w:rsidRPr="00E03A39" w:rsidRDefault="00E03A39" w:rsidP="00E03A39">
      <w:pPr>
        <w:pStyle w:val="ListParagraph"/>
        <w:numPr>
          <w:ilvl w:val="0"/>
          <w:numId w:val="5"/>
        </w:numPr>
        <w:ind w:left="360"/>
        <w:rPr>
          <w:rFonts w:ascii="Times New Roman" w:hAnsi="Times New Roman" w:cs="Times New Roman"/>
        </w:rPr>
      </w:pPr>
      <w:r w:rsidRPr="00E03A39">
        <w:rPr>
          <w:rFonts w:ascii="Times New Roman" w:hAnsi="Times New Roman" w:cs="Times New Roman"/>
        </w:rPr>
        <w:t>Carroll, A. E. (2014). The real reason healthcare is expensive. </w:t>
      </w:r>
      <w:r w:rsidRPr="00E03A39">
        <w:rPr>
          <w:rFonts w:ascii="Times New Roman" w:hAnsi="Times New Roman" w:cs="Times New Roman"/>
          <w:i/>
          <w:iCs/>
        </w:rPr>
        <w:t>The New York Times</w:t>
      </w:r>
      <w:r w:rsidRPr="00E03A39">
        <w:rPr>
          <w:rFonts w:ascii="Times New Roman" w:hAnsi="Times New Roman" w:cs="Times New Roman"/>
        </w:rPr>
        <w:t>. </w:t>
      </w:r>
      <w:hyperlink r:id="rId7" w:history="1">
        <w:r w:rsidRPr="00E03A39">
          <w:rPr>
            <w:rStyle w:val="Hyperlink"/>
            <w:rFonts w:ascii="Times New Roman" w:hAnsi="Times New Roman" w:cs="Times New Roman"/>
          </w:rPr>
          <w:t>https://www.nytimes.com/2014/06/24/upshot/the-real-reason-health-care-is-so-expensive.html</w:t>
        </w:r>
      </w:hyperlink>
    </w:p>
    <w:p w14:paraId="0A8EB0E6" w14:textId="4897F0DB" w:rsidR="00E03A39" w:rsidRPr="00E03A39" w:rsidRDefault="00E03A39" w:rsidP="00E03A39">
      <w:pPr>
        <w:pStyle w:val="ListParagraph"/>
        <w:numPr>
          <w:ilvl w:val="0"/>
          <w:numId w:val="5"/>
        </w:numPr>
        <w:ind w:left="360"/>
        <w:rPr>
          <w:rFonts w:ascii="Times New Roman" w:hAnsi="Times New Roman" w:cs="Times New Roman"/>
        </w:rPr>
      </w:pPr>
      <w:r w:rsidRPr="00E03A39">
        <w:rPr>
          <w:rFonts w:ascii="Times New Roman" w:hAnsi="Times New Roman" w:cs="Times New Roman"/>
        </w:rPr>
        <w:t>U.S. Department of Health and Human Services. (2003). </w:t>
      </w:r>
      <w:r w:rsidRPr="00E03A39">
        <w:rPr>
          <w:rFonts w:ascii="Times New Roman" w:hAnsi="Times New Roman" w:cs="Times New Roman"/>
          <w:i/>
          <w:iCs/>
        </w:rPr>
        <w:t>Confronting the new health care crisis: Improving health care quality and lowering costs by fixing our medical liability system</w:t>
      </w:r>
      <w:r w:rsidRPr="00E03A39">
        <w:rPr>
          <w:rFonts w:ascii="Times New Roman" w:hAnsi="Times New Roman" w:cs="Times New Roman"/>
        </w:rPr>
        <w:t>. </w:t>
      </w:r>
      <w:hyperlink r:id="rId8" w:history="1">
        <w:r w:rsidRPr="00E03A39">
          <w:rPr>
            <w:rStyle w:val="Hyperlink"/>
            <w:rFonts w:ascii="Times New Roman" w:hAnsi="Times New Roman" w:cs="Times New Roman"/>
          </w:rPr>
          <w:t>https://aspe.hhs.gov/reports/confronting-new-health-care-crisis</w:t>
        </w:r>
      </w:hyperlink>
    </w:p>
    <w:p w14:paraId="2EBFE6B7" w14:textId="77777777" w:rsidR="00B363D0" w:rsidRDefault="00B363D0" w:rsidP="00E03A39"/>
    <w:sectPr w:rsidR="00B36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21345"/>
    <w:multiLevelType w:val="hybridMultilevel"/>
    <w:tmpl w:val="C9520D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736561"/>
    <w:multiLevelType w:val="hybridMultilevel"/>
    <w:tmpl w:val="0674EF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1C4A17"/>
    <w:multiLevelType w:val="multilevel"/>
    <w:tmpl w:val="27A8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9B55BD"/>
    <w:multiLevelType w:val="multilevel"/>
    <w:tmpl w:val="DCC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D13DD"/>
    <w:multiLevelType w:val="multilevel"/>
    <w:tmpl w:val="DCC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532027">
    <w:abstractNumId w:val="2"/>
  </w:num>
  <w:num w:numId="2" w16cid:durableId="721633323">
    <w:abstractNumId w:val="4"/>
  </w:num>
  <w:num w:numId="3" w16cid:durableId="2049605417">
    <w:abstractNumId w:val="3"/>
  </w:num>
  <w:num w:numId="4" w16cid:durableId="1771311676">
    <w:abstractNumId w:val="1"/>
  </w:num>
  <w:num w:numId="5" w16cid:durableId="195016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57"/>
    <w:rsid w:val="00092EAB"/>
    <w:rsid w:val="00276E6C"/>
    <w:rsid w:val="002D2945"/>
    <w:rsid w:val="005D6057"/>
    <w:rsid w:val="00B363D0"/>
    <w:rsid w:val="00BB5C65"/>
    <w:rsid w:val="00D23E0A"/>
    <w:rsid w:val="00E03A39"/>
    <w:rsid w:val="00E20B0D"/>
    <w:rsid w:val="00E30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8FFB"/>
  <w15:chartTrackingRefBased/>
  <w15:docId w15:val="{F9F55018-2E20-AA4C-ABBF-FED25567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057"/>
    <w:rPr>
      <w:rFonts w:eastAsiaTheme="majorEastAsia" w:cstheme="majorBidi"/>
      <w:color w:val="272727" w:themeColor="text1" w:themeTint="D8"/>
    </w:rPr>
  </w:style>
  <w:style w:type="paragraph" w:styleId="Title">
    <w:name w:val="Title"/>
    <w:basedOn w:val="Normal"/>
    <w:next w:val="Normal"/>
    <w:link w:val="TitleChar"/>
    <w:uiPriority w:val="10"/>
    <w:qFormat/>
    <w:rsid w:val="005D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057"/>
    <w:pPr>
      <w:spacing w:before="160"/>
      <w:jc w:val="center"/>
    </w:pPr>
    <w:rPr>
      <w:i/>
      <w:iCs/>
      <w:color w:val="404040" w:themeColor="text1" w:themeTint="BF"/>
    </w:rPr>
  </w:style>
  <w:style w:type="character" w:customStyle="1" w:styleId="QuoteChar">
    <w:name w:val="Quote Char"/>
    <w:basedOn w:val="DefaultParagraphFont"/>
    <w:link w:val="Quote"/>
    <w:uiPriority w:val="29"/>
    <w:rsid w:val="005D6057"/>
    <w:rPr>
      <w:i/>
      <w:iCs/>
      <w:color w:val="404040" w:themeColor="text1" w:themeTint="BF"/>
    </w:rPr>
  </w:style>
  <w:style w:type="paragraph" w:styleId="ListParagraph">
    <w:name w:val="List Paragraph"/>
    <w:basedOn w:val="Normal"/>
    <w:uiPriority w:val="34"/>
    <w:qFormat/>
    <w:rsid w:val="005D6057"/>
    <w:pPr>
      <w:ind w:left="720"/>
      <w:contextualSpacing/>
    </w:pPr>
  </w:style>
  <w:style w:type="character" w:styleId="IntenseEmphasis">
    <w:name w:val="Intense Emphasis"/>
    <w:basedOn w:val="DefaultParagraphFont"/>
    <w:uiPriority w:val="21"/>
    <w:qFormat/>
    <w:rsid w:val="005D6057"/>
    <w:rPr>
      <w:i/>
      <w:iCs/>
      <w:color w:val="0F4761" w:themeColor="accent1" w:themeShade="BF"/>
    </w:rPr>
  </w:style>
  <w:style w:type="paragraph" w:styleId="IntenseQuote">
    <w:name w:val="Intense Quote"/>
    <w:basedOn w:val="Normal"/>
    <w:next w:val="Normal"/>
    <w:link w:val="IntenseQuoteChar"/>
    <w:uiPriority w:val="30"/>
    <w:qFormat/>
    <w:rsid w:val="005D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057"/>
    <w:rPr>
      <w:i/>
      <w:iCs/>
      <w:color w:val="0F4761" w:themeColor="accent1" w:themeShade="BF"/>
    </w:rPr>
  </w:style>
  <w:style w:type="character" w:styleId="IntenseReference">
    <w:name w:val="Intense Reference"/>
    <w:basedOn w:val="DefaultParagraphFont"/>
    <w:uiPriority w:val="32"/>
    <w:qFormat/>
    <w:rsid w:val="005D6057"/>
    <w:rPr>
      <w:b/>
      <w:bCs/>
      <w:smallCaps/>
      <w:color w:val="0F4761" w:themeColor="accent1" w:themeShade="BF"/>
      <w:spacing w:val="5"/>
    </w:rPr>
  </w:style>
  <w:style w:type="paragraph" w:customStyle="1" w:styleId="p1">
    <w:name w:val="p1"/>
    <w:basedOn w:val="Normal"/>
    <w:rsid w:val="005D6057"/>
    <w:pPr>
      <w:spacing w:after="0" w:line="240" w:lineRule="auto"/>
    </w:pPr>
    <w:rPr>
      <w:rFonts w:ascii="Times New Roman" w:eastAsia="Times New Roman" w:hAnsi="Times New Roman" w:cs="Times New Roman"/>
      <w:color w:val="000000"/>
      <w:kern w:val="0"/>
      <w:lang w:eastAsia="en-GB"/>
      <w14:ligatures w14:val="none"/>
    </w:rPr>
  </w:style>
  <w:style w:type="character" w:styleId="Hyperlink">
    <w:name w:val="Hyperlink"/>
    <w:basedOn w:val="DefaultParagraphFont"/>
    <w:uiPriority w:val="99"/>
    <w:unhideWhenUsed/>
    <w:rsid w:val="00E03A39"/>
    <w:rPr>
      <w:color w:val="467886" w:themeColor="hyperlink"/>
      <w:u w:val="single"/>
    </w:rPr>
  </w:style>
  <w:style w:type="character" w:styleId="UnresolvedMention">
    <w:name w:val="Unresolved Mention"/>
    <w:basedOn w:val="DefaultParagraphFont"/>
    <w:uiPriority w:val="99"/>
    <w:semiHidden/>
    <w:unhideWhenUsed/>
    <w:rsid w:val="00E03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8148">
      <w:bodyDiv w:val="1"/>
      <w:marLeft w:val="0"/>
      <w:marRight w:val="0"/>
      <w:marTop w:val="0"/>
      <w:marBottom w:val="0"/>
      <w:divBdr>
        <w:top w:val="none" w:sz="0" w:space="0" w:color="auto"/>
        <w:left w:val="none" w:sz="0" w:space="0" w:color="auto"/>
        <w:bottom w:val="none" w:sz="0" w:space="0" w:color="auto"/>
        <w:right w:val="none" w:sz="0" w:space="0" w:color="auto"/>
      </w:divBdr>
    </w:div>
    <w:div w:id="24335690">
      <w:bodyDiv w:val="1"/>
      <w:marLeft w:val="0"/>
      <w:marRight w:val="0"/>
      <w:marTop w:val="0"/>
      <w:marBottom w:val="0"/>
      <w:divBdr>
        <w:top w:val="none" w:sz="0" w:space="0" w:color="auto"/>
        <w:left w:val="none" w:sz="0" w:space="0" w:color="auto"/>
        <w:bottom w:val="none" w:sz="0" w:space="0" w:color="auto"/>
        <w:right w:val="none" w:sz="0" w:space="0" w:color="auto"/>
      </w:divBdr>
    </w:div>
    <w:div w:id="286860836">
      <w:bodyDiv w:val="1"/>
      <w:marLeft w:val="0"/>
      <w:marRight w:val="0"/>
      <w:marTop w:val="0"/>
      <w:marBottom w:val="0"/>
      <w:divBdr>
        <w:top w:val="none" w:sz="0" w:space="0" w:color="auto"/>
        <w:left w:val="none" w:sz="0" w:space="0" w:color="auto"/>
        <w:bottom w:val="none" w:sz="0" w:space="0" w:color="auto"/>
        <w:right w:val="none" w:sz="0" w:space="0" w:color="auto"/>
      </w:divBdr>
    </w:div>
    <w:div w:id="317534939">
      <w:bodyDiv w:val="1"/>
      <w:marLeft w:val="0"/>
      <w:marRight w:val="0"/>
      <w:marTop w:val="0"/>
      <w:marBottom w:val="0"/>
      <w:divBdr>
        <w:top w:val="none" w:sz="0" w:space="0" w:color="auto"/>
        <w:left w:val="none" w:sz="0" w:space="0" w:color="auto"/>
        <w:bottom w:val="none" w:sz="0" w:space="0" w:color="auto"/>
        <w:right w:val="none" w:sz="0" w:space="0" w:color="auto"/>
      </w:divBdr>
    </w:div>
    <w:div w:id="335229665">
      <w:bodyDiv w:val="1"/>
      <w:marLeft w:val="0"/>
      <w:marRight w:val="0"/>
      <w:marTop w:val="0"/>
      <w:marBottom w:val="0"/>
      <w:divBdr>
        <w:top w:val="none" w:sz="0" w:space="0" w:color="auto"/>
        <w:left w:val="none" w:sz="0" w:space="0" w:color="auto"/>
        <w:bottom w:val="none" w:sz="0" w:space="0" w:color="auto"/>
        <w:right w:val="none" w:sz="0" w:space="0" w:color="auto"/>
      </w:divBdr>
    </w:div>
    <w:div w:id="451171632">
      <w:bodyDiv w:val="1"/>
      <w:marLeft w:val="0"/>
      <w:marRight w:val="0"/>
      <w:marTop w:val="0"/>
      <w:marBottom w:val="0"/>
      <w:divBdr>
        <w:top w:val="none" w:sz="0" w:space="0" w:color="auto"/>
        <w:left w:val="none" w:sz="0" w:space="0" w:color="auto"/>
        <w:bottom w:val="none" w:sz="0" w:space="0" w:color="auto"/>
        <w:right w:val="none" w:sz="0" w:space="0" w:color="auto"/>
      </w:divBdr>
    </w:div>
    <w:div w:id="568229447">
      <w:bodyDiv w:val="1"/>
      <w:marLeft w:val="0"/>
      <w:marRight w:val="0"/>
      <w:marTop w:val="0"/>
      <w:marBottom w:val="0"/>
      <w:divBdr>
        <w:top w:val="none" w:sz="0" w:space="0" w:color="auto"/>
        <w:left w:val="none" w:sz="0" w:space="0" w:color="auto"/>
        <w:bottom w:val="none" w:sz="0" w:space="0" w:color="auto"/>
        <w:right w:val="none" w:sz="0" w:space="0" w:color="auto"/>
      </w:divBdr>
    </w:div>
    <w:div w:id="580020481">
      <w:bodyDiv w:val="1"/>
      <w:marLeft w:val="0"/>
      <w:marRight w:val="0"/>
      <w:marTop w:val="0"/>
      <w:marBottom w:val="0"/>
      <w:divBdr>
        <w:top w:val="none" w:sz="0" w:space="0" w:color="auto"/>
        <w:left w:val="none" w:sz="0" w:space="0" w:color="auto"/>
        <w:bottom w:val="none" w:sz="0" w:space="0" w:color="auto"/>
        <w:right w:val="none" w:sz="0" w:space="0" w:color="auto"/>
      </w:divBdr>
    </w:div>
    <w:div w:id="604310806">
      <w:bodyDiv w:val="1"/>
      <w:marLeft w:val="0"/>
      <w:marRight w:val="0"/>
      <w:marTop w:val="0"/>
      <w:marBottom w:val="0"/>
      <w:divBdr>
        <w:top w:val="none" w:sz="0" w:space="0" w:color="auto"/>
        <w:left w:val="none" w:sz="0" w:space="0" w:color="auto"/>
        <w:bottom w:val="none" w:sz="0" w:space="0" w:color="auto"/>
        <w:right w:val="none" w:sz="0" w:space="0" w:color="auto"/>
      </w:divBdr>
    </w:div>
    <w:div w:id="702249009">
      <w:bodyDiv w:val="1"/>
      <w:marLeft w:val="0"/>
      <w:marRight w:val="0"/>
      <w:marTop w:val="0"/>
      <w:marBottom w:val="0"/>
      <w:divBdr>
        <w:top w:val="none" w:sz="0" w:space="0" w:color="auto"/>
        <w:left w:val="none" w:sz="0" w:space="0" w:color="auto"/>
        <w:bottom w:val="none" w:sz="0" w:space="0" w:color="auto"/>
        <w:right w:val="none" w:sz="0" w:space="0" w:color="auto"/>
      </w:divBdr>
    </w:div>
    <w:div w:id="804783226">
      <w:bodyDiv w:val="1"/>
      <w:marLeft w:val="0"/>
      <w:marRight w:val="0"/>
      <w:marTop w:val="0"/>
      <w:marBottom w:val="0"/>
      <w:divBdr>
        <w:top w:val="none" w:sz="0" w:space="0" w:color="auto"/>
        <w:left w:val="none" w:sz="0" w:space="0" w:color="auto"/>
        <w:bottom w:val="none" w:sz="0" w:space="0" w:color="auto"/>
        <w:right w:val="none" w:sz="0" w:space="0" w:color="auto"/>
      </w:divBdr>
    </w:div>
    <w:div w:id="810446155">
      <w:bodyDiv w:val="1"/>
      <w:marLeft w:val="0"/>
      <w:marRight w:val="0"/>
      <w:marTop w:val="0"/>
      <w:marBottom w:val="0"/>
      <w:divBdr>
        <w:top w:val="none" w:sz="0" w:space="0" w:color="auto"/>
        <w:left w:val="none" w:sz="0" w:space="0" w:color="auto"/>
        <w:bottom w:val="none" w:sz="0" w:space="0" w:color="auto"/>
        <w:right w:val="none" w:sz="0" w:space="0" w:color="auto"/>
      </w:divBdr>
      <w:divsChild>
        <w:div w:id="2081362260">
          <w:marLeft w:val="270"/>
          <w:marRight w:val="0"/>
          <w:marTop w:val="0"/>
          <w:marBottom w:val="0"/>
          <w:divBdr>
            <w:top w:val="none" w:sz="0" w:space="0" w:color="auto"/>
            <w:left w:val="none" w:sz="0" w:space="0" w:color="auto"/>
            <w:bottom w:val="none" w:sz="0" w:space="0" w:color="auto"/>
            <w:right w:val="none" w:sz="0" w:space="0" w:color="auto"/>
          </w:divBdr>
        </w:div>
        <w:div w:id="1352608767">
          <w:marLeft w:val="270"/>
          <w:marRight w:val="0"/>
          <w:marTop w:val="0"/>
          <w:marBottom w:val="0"/>
          <w:divBdr>
            <w:top w:val="none" w:sz="0" w:space="0" w:color="auto"/>
            <w:left w:val="none" w:sz="0" w:space="0" w:color="auto"/>
            <w:bottom w:val="none" w:sz="0" w:space="0" w:color="auto"/>
            <w:right w:val="none" w:sz="0" w:space="0" w:color="auto"/>
          </w:divBdr>
        </w:div>
        <w:div w:id="1654529345">
          <w:marLeft w:val="270"/>
          <w:marRight w:val="0"/>
          <w:marTop w:val="0"/>
          <w:marBottom w:val="0"/>
          <w:divBdr>
            <w:top w:val="none" w:sz="0" w:space="0" w:color="auto"/>
            <w:left w:val="none" w:sz="0" w:space="0" w:color="auto"/>
            <w:bottom w:val="none" w:sz="0" w:space="0" w:color="auto"/>
            <w:right w:val="none" w:sz="0" w:space="0" w:color="auto"/>
          </w:divBdr>
        </w:div>
        <w:div w:id="1639991299">
          <w:marLeft w:val="270"/>
          <w:marRight w:val="0"/>
          <w:marTop w:val="0"/>
          <w:marBottom w:val="0"/>
          <w:divBdr>
            <w:top w:val="none" w:sz="0" w:space="0" w:color="auto"/>
            <w:left w:val="none" w:sz="0" w:space="0" w:color="auto"/>
            <w:bottom w:val="none" w:sz="0" w:space="0" w:color="auto"/>
            <w:right w:val="none" w:sz="0" w:space="0" w:color="auto"/>
          </w:divBdr>
        </w:div>
        <w:div w:id="1224830481">
          <w:marLeft w:val="270"/>
          <w:marRight w:val="0"/>
          <w:marTop w:val="0"/>
          <w:marBottom w:val="0"/>
          <w:divBdr>
            <w:top w:val="none" w:sz="0" w:space="0" w:color="auto"/>
            <w:left w:val="none" w:sz="0" w:space="0" w:color="auto"/>
            <w:bottom w:val="none" w:sz="0" w:space="0" w:color="auto"/>
            <w:right w:val="none" w:sz="0" w:space="0" w:color="auto"/>
          </w:divBdr>
        </w:div>
      </w:divsChild>
    </w:div>
    <w:div w:id="853305085">
      <w:bodyDiv w:val="1"/>
      <w:marLeft w:val="0"/>
      <w:marRight w:val="0"/>
      <w:marTop w:val="0"/>
      <w:marBottom w:val="0"/>
      <w:divBdr>
        <w:top w:val="none" w:sz="0" w:space="0" w:color="auto"/>
        <w:left w:val="none" w:sz="0" w:space="0" w:color="auto"/>
        <w:bottom w:val="none" w:sz="0" w:space="0" w:color="auto"/>
        <w:right w:val="none" w:sz="0" w:space="0" w:color="auto"/>
      </w:divBdr>
    </w:div>
    <w:div w:id="942761889">
      <w:bodyDiv w:val="1"/>
      <w:marLeft w:val="0"/>
      <w:marRight w:val="0"/>
      <w:marTop w:val="0"/>
      <w:marBottom w:val="0"/>
      <w:divBdr>
        <w:top w:val="none" w:sz="0" w:space="0" w:color="auto"/>
        <w:left w:val="none" w:sz="0" w:space="0" w:color="auto"/>
        <w:bottom w:val="none" w:sz="0" w:space="0" w:color="auto"/>
        <w:right w:val="none" w:sz="0" w:space="0" w:color="auto"/>
      </w:divBdr>
    </w:div>
    <w:div w:id="1016887060">
      <w:bodyDiv w:val="1"/>
      <w:marLeft w:val="0"/>
      <w:marRight w:val="0"/>
      <w:marTop w:val="0"/>
      <w:marBottom w:val="0"/>
      <w:divBdr>
        <w:top w:val="none" w:sz="0" w:space="0" w:color="auto"/>
        <w:left w:val="none" w:sz="0" w:space="0" w:color="auto"/>
        <w:bottom w:val="none" w:sz="0" w:space="0" w:color="auto"/>
        <w:right w:val="none" w:sz="0" w:space="0" w:color="auto"/>
      </w:divBdr>
    </w:div>
    <w:div w:id="1054235178">
      <w:bodyDiv w:val="1"/>
      <w:marLeft w:val="0"/>
      <w:marRight w:val="0"/>
      <w:marTop w:val="0"/>
      <w:marBottom w:val="0"/>
      <w:divBdr>
        <w:top w:val="none" w:sz="0" w:space="0" w:color="auto"/>
        <w:left w:val="none" w:sz="0" w:space="0" w:color="auto"/>
        <w:bottom w:val="none" w:sz="0" w:space="0" w:color="auto"/>
        <w:right w:val="none" w:sz="0" w:space="0" w:color="auto"/>
      </w:divBdr>
      <w:divsChild>
        <w:div w:id="1225943454">
          <w:marLeft w:val="270"/>
          <w:marRight w:val="0"/>
          <w:marTop w:val="0"/>
          <w:marBottom w:val="0"/>
          <w:divBdr>
            <w:top w:val="none" w:sz="0" w:space="0" w:color="auto"/>
            <w:left w:val="none" w:sz="0" w:space="0" w:color="auto"/>
            <w:bottom w:val="none" w:sz="0" w:space="0" w:color="auto"/>
            <w:right w:val="none" w:sz="0" w:space="0" w:color="auto"/>
          </w:divBdr>
        </w:div>
        <w:div w:id="63920233">
          <w:marLeft w:val="270"/>
          <w:marRight w:val="0"/>
          <w:marTop w:val="0"/>
          <w:marBottom w:val="0"/>
          <w:divBdr>
            <w:top w:val="none" w:sz="0" w:space="0" w:color="auto"/>
            <w:left w:val="none" w:sz="0" w:space="0" w:color="auto"/>
            <w:bottom w:val="none" w:sz="0" w:space="0" w:color="auto"/>
            <w:right w:val="none" w:sz="0" w:space="0" w:color="auto"/>
          </w:divBdr>
        </w:div>
        <w:div w:id="1424376327">
          <w:marLeft w:val="270"/>
          <w:marRight w:val="0"/>
          <w:marTop w:val="0"/>
          <w:marBottom w:val="0"/>
          <w:divBdr>
            <w:top w:val="none" w:sz="0" w:space="0" w:color="auto"/>
            <w:left w:val="none" w:sz="0" w:space="0" w:color="auto"/>
            <w:bottom w:val="none" w:sz="0" w:space="0" w:color="auto"/>
            <w:right w:val="none" w:sz="0" w:space="0" w:color="auto"/>
          </w:divBdr>
        </w:div>
        <w:div w:id="615794553">
          <w:marLeft w:val="270"/>
          <w:marRight w:val="0"/>
          <w:marTop w:val="0"/>
          <w:marBottom w:val="0"/>
          <w:divBdr>
            <w:top w:val="none" w:sz="0" w:space="0" w:color="auto"/>
            <w:left w:val="none" w:sz="0" w:space="0" w:color="auto"/>
            <w:bottom w:val="none" w:sz="0" w:space="0" w:color="auto"/>
            <w:right w:val="none" w:sz="0" w:space="0" w:color="auto"/>
          </w:divBdr>
        </w:div>
        <w:div w:id="423575264">
          <w:marLeft w:val="270"/>
          <w:marRight w:val="0"/>
          <w:marTop w:val="0"/>
          <w:marBottom w:val="0"/>
          <w:divBdr>
            <w:top w:val="none" w:sz="0" w:space="0" w:color="auto"/>
            <w:left w:val="none" w:sz="0" w:space="0" w:color="auto"/>
            <w:bottom w:val="none" w:sz="0" w:space="0" w:color="auto"/>
            <w:right w:val="none" w:sz="0" w:space="0" w:color="auto"/>
          </w:divBdr>
        </w:div>
      </w:divsChild>
    </w:div>
    <w:div w:id="1077946198">
      <w:bodyDiv w:val="1"/>
      <w:marLeft w:val="0"/>
      <w:marRight w:val="0"/>
      <w:marTop w:val="0"/>
      <w:marBottom w:val="0"/>
      <w:divBdr>
        <w:top w:val="none" w:sz="0" w:space="0" w:color="auto"/>
        <w:left w:val="none" w:sz="0" w:space="0" w:color="auto"/>
        <w:bottom w:val="none" w:sz="0" w:space="0" w:color="auto"/>
        <w:right w:val="none" w:sz="0" w:space="0" w:color="auto"/>
      </w:divBdr>
    </w:div>
    <w:div w:id="1106927217">
      <w:bodyDiv w:val="1"/>
      <w:marLeft w:val="0"/>
      <w:marRight w:val="0"/>
      <w:marTop w:val="0"/>
      <w:marBottom w:val="0"/>
      <w:divBdr>
        <w:top w:val="none" w:sz="0" w:space="0" w:color="auto"/>
        <w:left w:val="none" w:sz="0" w:space="0" w:color="auto"/>
        <w:bottom w:val="none" w:sz="0" w:space="0" w:color="auto"/>
        <w:right w:val="none" w:sz="0" w:space="0" w:color="auto"/>
      </w:divBdr>
    </w:div>
    <w:div w:id="1139687742">
      <w:bodyDiv w:val="1"/>
      <w:marLeft w:val="0"/>
      <w:marRight w:val="0"/>
      <w:marTop w:val="0"/>
      <w:marBottom w:val="0"/>
      <w:divBdr>
        <w:top w:val="none" w:sz="0" w:space="0" w:color="auto"/>
        <w:left w:val="none" w:sz="0" w:space="0" w:color="auto"/>
        <w:bottom w:val="none" w:sz="0" w:space="0" w:color="auto"/>
        <w:right w:val="none" w:sz="0" w:space="0" w:color="auto"/>
      </w:divBdr>
    </w:div>
    <w:div w:id="1149444801">
      <w:bodyDiv w:val="1"/>
      <w:marLeft w:val="0"/>
      <w:marRight w:val="0"/>
      <w:marTop w:val="0"/>
      <w:marBottom w:val="0"/>
      <w:divBdr>
        <w:top w:val="none" w:sz="0" w:space="0" w:color="auto"/>
        <w:left w:val="none" w:sz="0" w:space="0" w:color="auto"/>
        <w:bottom w:val="none" w:sz="0" w:space="0" w:color="auto"/>
        <w:right w:val="none" w:sz="0" w:space="0" w:color="auto"/>
      </w:divBdr>
    </w:div>
    <w:div w:id="1262762766">
      <w:bodyDiv w:val="1"/>
      <w:marLeft w:val="0"/>
      <w:marRight w:val="0"/>
      <w:marTop w:val="0"/>
      <w:marBottom w:val="0"/>
      <w:divBdr>
        <w:top w:val="none" w:sz="0" w:space="0" w:color="auto"/>
        <w:left w:val="none" w:sz="0" w:space="0" w:color="auto"/>
        <w:bottom w:val="none" w:sz="0" w:space="0" w:color="auto"/>
        <w:right w:val="none" w:sz="0" w:space="0" w:color="auto"/>
      </w:divBdr>
    </w:div>
    <w:div w:id="1386754986">
      <w:bodyDiv w:val="1"/>
      <w:marLeft w:val="0"/>
      <w:marRight w:val="0"/>
      <w:marTop w:val="0"/>
      <w:marBottom w:val="0"/>
      <w:divBdr>
        <w:top w:val="none" w:sz="0" w:space="0" w:color="auto"/>
        <w:left w:val="none" w:sz="0" w:space="0" w:color="auto"/>
        <w:bottom w:val="none" w:sz="0" w:space="0" w:color="auto"/>
        <w:right w:val="none" w:sz="0" w:space="0" w:color="auto"/>
      </w:divBdr>
    </w:div>
    <w:div w:id="1418870577">
      <w:bodyDiv w:val="1"/>
      <w:marLeft w:val="0"/>
      <w:marRight w:val="0"/>
      <w:marTop w:val="0"/>
      <w:marBottom w:val="0"/>
      <w:divBdr>
        <w:top w:val="none" w:sz="0" w:space="0" w:color="auto"/>
        <w:left w:val="none" w:sz="0" w:space="0" w:color="auto"/>
        <w:bottom w:val="none" w:sz="0" w:space="0" w:color="auto"/>
        <w:right w:val="none" w:sz="0" w:space="0" w:color="auto"/>
      </w:divBdr>
    </w:div>
    <w:div w:id="1454978337">
      <w:bodyDiv w:val="1"/>
      <w:marLeft w:val="0"/>
      <w:marRight w:val="0"/>
      <w:marTop w:val="0"/>
      <w:marBottom w:val="0"/>
      <w:divBdr>
        <w:top w:val="none" w:sz="0" w:space="0" w:color="auto"/>
        <w:left w:val="none" w:sz="0" w:space="0" w:color="auto"/>
        <w:bottom w:val="none" w:sz="0" w:space="0" w:color="auto"/>
        <w:right w:val="none" w:sz="0" w:space="0" w:color="auto"/>
      </w:divBdr>
    </w:div>
    <w:div w:id="1478955331">
      <w:bodyDiv w:val="1"/>
      <w:marLeft w:val="0"/>
      <w:marRight w:val="0"/>
      <w:marTop w:val="0"/>
      <w:marBottom w:val="0"/>
      <w:divBdr>
        <w:top w:val="none" w:sz="0" w:space="0" w:color="auto"/>
        <w:left w:val="none" w:sz="0" w:space="0" w:color="auto"/>
        <w:bottom w:val="none" w:sz="0" w:space="0" w:color="auto"/>
        <w:right w:val="none" w:sz="0" w:space="0" w:color="auto"/>
      </w:divBdr>
    </w:div>
    <w:div w:id="1585338740">
      <w:bodyDiv w:val="1"/>
      <w:marLeft w:val="0"/>
      <w:marRight w:val="0"/>
      <w:marTop w:val="0"/>
      <w:marBottom w:val="0"/>
      <w:divBdr>
        <w:top w:val="none" w:sz="0" w:space="0" w:color="auto"/>
        <w:left w:val="none" w:sz="0" w:space="0" w:color="auto"/>
        <w:bottom w:val="none" w:sz="0" w:space="0" w:color="auto"/>
        <w:right w:val="none" w:sz="0" w:space="0" w:color="auto"/>
      </w:divBdr>
    </w:div>
    <w:div w:id="1618678546">
      <w:bodyDiv w:val="1"/>
      <w:marLeft w:val="0"/>
      <w:marRight w:val="0"/>
      <w:marTop w:val="0"/>
      <w:marBottom w:val="0"/>
      <w:divBdr>
        <w:top w:val="none" w:sz="0" w:space="0" w:color="auto"/>
        <w:left w:val="none" w:sz="0" w:space="0" w:color="auto"/>
        <w:bottom w:val="none" w:sz="0" w:space="0" w:color="auto"/>
        <w:right w:val="none" w:sz="0" w:space="0" w:color="auto"/>
      </w:divBdr>
    </w:div>
    <w:div w:id="1668709809">
      <w:bodyDiv w:val="1"/>
      <w:marLeft w:val="0"/>
      <w:marRight w:val="0"/>
      <w:marTop w:val="0"/>
      <w:marBottom w:val="0"/>
      <w:divBdr>
        <w:top w:val="none" w:sz="0" w:space="0" w:color="auto"/>
        <w:left w:val="none" w:sz="0" w:space="0" w:color="auto"/>
        <w:bottom w:val="none" w:sz="0" w:space="0" w:color="auto"/>
        <w:right w:val="none" w:sz="0" w:space="0" w:color="auto"/>
      </w:divBdr>
    </w:div>
    <w:div w:id="1733459881">
      <w:bodyDiv w:val="1"/>
      <w:marLeft w:val="0"/>
      <w:marRight w:val="0"/>
      <w:marTop w:val="0"/>
      <w:marBottom w:val="0"/>
      <w:divBdr>
        <w:top w:val="none" w:sz="0" w:space="0" w:color="auto"/>
        <w:left w:val="none" w:sz="0" w:space="0" w:color="auto"/>
        <w:bottom w:val="none" w:sz="0" w:space="0" w:color="auto"/>
        <w:right w:val="none" w:sz="0" w:space="0" w:color="auto"/>
      </w:divBdr>
    </w:div>
    <w:div w:id="1741824724">
      <w:bodyDiv w:val="1"/>
      <w:marLeft w:val="0"/>
      <w:marRight w:val="0"/>
      <w:marTop w:val="0"/>
      <w:marBottom w:val="0"/>
      <w:divBdr>
        <w:top w:val="none" w:sz="0" w:space="0" w:color="auto"/>
        <w:left w:val="none" w:sz="0" w:space="0" w:color="auto"/>
        <w:bottom w:val="none" w:sz="0" w:space="0" w:color="auto"/>
        <w:right w:val="none" w:sz="0" w:space="0" w:color="auto"/>
      </w:divBdr>
      <w:divsChild>
        <w:div w:id="1359698817">
          <w:marLeft w:val="270"/>
          <w:marRight w:val="0"/>
          <w:marTop w:val="0"/>
          <w:marBottom w:val="0"/>
          <w:divBdr>
            <w:top w:val="none" w:sz="0" w:space="0" w:color="auto"/>
            <w:left w:val="none" w:sz="0" w:space="0" w:color="auto"/>
            <w:bottom w:val="none" w:sz="0" w:space="0" w:color="auto"/>
            <w:right w:val="none" w:sz="0" w:space="0" w:color="auto"/>
          </w:divBdr>
        </w:div>
        <w:div w:id="2020034755">
          <w:marLeft w:val="270"/>
          <w:marRight w:val="0"/>
          <w:marTop w:val="0"/>
          <w:marBottom w:val="0"/>
          <w:divBdr>
            <w:top w:val="none" w:sz="0" w:space="0" w:color="auto"/>
            <w:left w:val="none" w:sz="0" w:space="0" w:color="auto"/>
            <w:bottom w:val="none" w:sz="0" w:space="0" w:color="auto"/>
            <w:right w:val="none" w:sz="0" w:space="0" w:color="auto"/>
          </w:divBdr>
        </w:div>
        <w:div w:id="91437836">
          <w:marLeft w:val="270"/>
          <w:marRight w:val="0"/>
          <w:marTop w:val="0"/>
          <w:marBottom w:val="0"/>
          <w:divBdr>
            <w:top w:val="none" w:sz="0" w:space="0" w:color="auto"/>
            <w:left w:val="none" w:sz="0" w:space="0" w:color="auto"/>
            <w:bottom w:val="none" w:sz="0" w:space="0" w:color="auto"/>
            <w:right w:val="none" w:sz="0" w:space="0" w:color="auto"/>
          </w:divBdr>
        </w:div>
        <w:div w:id="1441757066">
          <w:marLeft w:val="270"/>
          <w:marRight w:val="0"/>
          <w:marTop w:val="0"/>
          <w:marBottom w:val="0"/>
          <w:divBdr>
            <w:top w:val="none" w:sz="0" w:space="0" w:color="auto"/>
            <w:left w:val="none" w:sz="0" w:space="0" w:color="auto"/>
            <w:bottom w:val="none" w:sz="0" w:space="0" w:color="auto"/>
            <w:right w:val="none" w:sz="0" w:space="0" w:color="auto"/>
          </w:divBdr>
        </w:div>
        <w:div w:id="562301465">
          <w:marLeft w:val="270"/>
          <w:marRight w:val="0"/>
          <w:marTop w:val="0"/>
          <w:marBottom w:val="0"/>
          <w:divBdr>
            <w:top w:val="none" w:sz="0" w:space="0" w:color="auto"/>
            <w:left w:val="none" w:sz="0" w:space="0" w:color="auto"/>
            <w:bottom w:val="none" w:sz="0" w:space="0" w:color="auto"/>
            <w:right w:val="none" w:sz="0" w:space="0" w:color="auto"/>
          </w:divBdr>
        </w:div>
      </w:divsChild>
    </w:div>
    <w:div w:id="1746104020">
      <w:bodyDiv w:val="1"/>
      <w:marLeft w:val="0"/>
      <w:marRight w:val="0"/>
      <w:marTop w:val="0"/>
      <w:marBottom w:val="0"/>
      <w:divBdr>
        <w:top w:val="none" w:sz="0" w:space="0" w:color="auto"/>
        <w:left w:val="none" w:sz="0" w:space="0" w:color="auto"/>
        <w:bottom w:val="none" w:sz="0" w:space="0" w:color="auto"/>
        <w:right w:val="none" w:sz="0" w:space="0" w:color="auto"/>
      </w:divBdr>
    </w:div>
    <w:div w:id="1774936951">
      <w:bodyDiv w:val="1"/>
      <w:marLeft w:val="0"/>
      <w:marRight w:val="0"/>
      <w:marTop w:val="0"/>
      <w:marBottom w:val="0"/>
      <w:divBdr>
        <w:top w:val="none" w:sz="0" w:space="0" w:color="auto"/>
        <w:left w:val="none" w:sz="0" w:space="0" w:color="auto"/>
        <w:bottom w:val="none" w:sz="0" w:space="0" w:color="auto"/>
        <w:right w:val="none" w:sz="0" w:space="0" w:color="auto"/>
      </w:divBdr>
    </w:div>
    <w:div w:id="1781297649">
      <w:bodyDiv w:val="1"/>
      <w:marLeft w:val="0"/>
      <w:marRight w:val="0"/>
      <w:marTop w:val="0"/>
      <w:marBottom w:val="0"/>
      <w:divBdr>
        <w:top w:val="none" w:sz="0" w:space="0" w:color="auto"/>
        <w:left w:val="none" w:sz="0" w:space="0" w:color="auto"/>
        <w:bottom w:val="none" w:sz="0" w:space="0" w:color="auto"/>
        <w:right w:val="none" w:sz="0" w:space="0" w:color="auto"/>
      </w:divBdr>
    </w:div>
    <w:div w:id="1801263264">
      <w:bodyDiv w:val="1"/>
      <w:marLeft w:val="0"/>
      <w:marRight w:val="0"/>
      <w:marTop w:val="0"/>
      <w:marBottom w:val="0"/>
      <w:divBdr>
        <w:top w:val="none" w:sz="0" w:space="0" w:color="auto"/>
        <w:left w:val="none" w:sz="0" w:space="0" w:color="auto"/>
        <w:bottom w:val="none" w:sz="0" w:space="0" w:color="auto"/>
        <w:right w:val="none" w:sz="0" w:space="0" w:color="auto"/>
      </w:divBdr>
    </w:div>
    <w:div w:id="1873230195">
      <w:bodyDiv w:val="1"/>
      <w:marLeft w:val="0"/>
      <w:marRight w:val="0"/>
      <w:marTop w:val="0"/>
      <w:marBottom w:val="0"/>
      <w:divBdr>
        <w:top w:val="none" w:sz="0" w:space="0" w:color="auto"/>
        <w:left w:val="none" w:sz="0" w:space="0" w:color="auto"/>
        <w:bottom w:val="none" w:sz="0" w:space="0" w:color="auto"/>
        <w:right w:val="none" w:sz="0" w:space="0" w:color="auto"/>
      </w:divBdr>
    </w:div>
    <w:div w:id="1900675856">
      <w:bodyDiv w:val="1"/>
      <w:marLeft w:val="0"/>
      <w:marRight w:val="0"/>
      <w:marTop w:val="0"/>
      <w:marBottom w:val="0"/>
      <w:divBdr>
        <w:top w:val="none" w:sz="0" w:space="0" w:color="auto"/>
        <w:left w:val="none" w:sz="0" w:space="0" w:color="auto"/>
        <w:bottom w:val="none" w:sz="0" w:space="0" w:color="auto"/>
        <w:right w:val="none" w:sz="0" w:space="0" w:color="auto"/>
      </w:divBdr>
    </w:div>
    <w:div w:id="1921208408">
      <w:bodyDiv w:val="1"/>
      <w:marLeft w:val="0"/>
      <w:marRight w:val="0"/>
      <w:marTop w:val="0"/>
      <w:marBottom w:val="0"/>
      <w:divBdr>
        <w:top w:val="none" w:sz="0" w:space="0" w:color="auto"/>
        <w:left w:val="none" w:sz="0" w:space="0" w:color="auto"/>
        <w:bottom w:val="none" w:sz="0" w:space="0" w:color="auto"/>
        <w:right w:val="none" w:sz="0" w:space="0" w:color="auto"/>
      </w:divBdr>
    </w:div>
    <w:div w:id="1984383465">
      <w:bodyDiv w:val="1"/>
      <w:marLeft w:val="0"/>
      <w:marRight w:val="0"/>
      <w:marTop w:val="0"/>
      <w:marBottom w:val="0"/>
      <w:divBdr>
        <w:top w:val="none" w:sz="0" w:space="0" w:color="auto"/>
        <w:left w:val="none" w:sz="0" w:space="0" w:color="auto"/>
        <w:bottom w:val="none" w:sz="0" w:space="0" w:color="auto"/>
        <w:right w:val="none" w:sz="0" w:space="0" w:color="auto"/>
      </w:divBdr>
    </w:div>
    <w:div w:id="2057123741">
      <w:bodyDiv w:val="1"/>
      <w:marLeft w:val="0"/>
      <w:marRight w:val="0"/>
      <w:marTop w:val="0"/>
      <w:marBottom w:val="0"/>
      <w:divBdr>
        <w:top w:val="none" w:sz="0" w:space="0" w:color="auto"/>
        <w:left w:val="none" w:sz="0" w:space="0" w:color="auto"/>
        <w:bottom w:val="none" w:sz="0" w:space="0" w:color="auto"/>
        <w:right w:val="none" w:sz="0" w:space="0" w:color="auto"/>
      </w:divBdr>
    </w:div>
    <w:div w:id="208047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e.hhs.gov/reports/confronting-new-health-care-crisis" TargetMode="External"/><Relationship Id="rId3" Type="http://schemas.openxmlformats.org/officeDocument/2006/relationships/settings" Target="settings.xml"/><Relationship Id="rId7" Type="http://schemas.openxmlformats.org/officeDocument/2006/relationships/hyperlink" Target="https://www.nytimes.com/2014/06/24/upshot/the-real-reason-health-care-is-so-expensiv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wjf.org/en/library/research/2010/06/evaluation-of-options-for-medical-malpractice-system-reform.html" TargetMode="External"/><Relationship Id="rId5" Type="http://schemas.openxmlformats.org/officeDocument/2006/relationships/hyperlink" Target="https://doi.org/10.1056/NEJMsa05447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1590</Words>
  <Characters>10259</Characters>
  <Application>Microsoft Office Word</Application>
  <DocSecurity>0</DocSecurity>
  <Lines>446</Lines>
  <Paragraphs>215</Paragraphs>
  <ScaleCrop>false</ScaleCrop>
  <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Sachdeva</dc:creator>
  <cp:keywords/>
  <dc:description/>
  <cp:lastModifiedBy>Himanshi Sachdeva</cp:lastModifiedBy>
  <cp:revision>7</cp:revision>
  <dcterms:created xsi:type="dcterms:W3CDTF">2025-04-13T05:35:00Z</dcterms:created>
  <dcterms:modified xsi:type="dcterms:W3CDTF">2025-04-13T07:18:00Z</dcterms:modified>
</cp:coreProperties>
</file>