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color w:val="17365D"/>
          <w:sz w:val="30"/>
        </w:rPr>
        <w:t>IBM SkillsBuild | BharatCares (CSRBOX)</w:t>
      </w:r>
    </w:p>
    <w:p/>
    <w:p>
      <w:pPr>
        <w:spacing w:before="800"/>
        <w:jc w:val="center"/>
      </w:pPr>
      <w:r>
        <w:rPr>
          <w:rFonts w:ascii="Times New Roman" w:hAnsi="Times New Roman"/>
          <w:b/>
          <w:color w:val="17365D"/>
          <w:sz w:val="50"/>
        </w:rPr>
        <w:t>PEOPLE SIGNALS: IBM HR ANALYTICS PLATFORM</w:t>
      </w:r>
    </w:p>
    <w:p>
      <w:pPr>
        <w:spacing w:before="360"/>
        <w:jc w:val="center"/>
      </w:pPr>
      <w:r>
        <w:rPr>
          <w:rFonts w:ascii="Times New Roman" w:hAnsi="Times New Roman"/>
          <w:color w:val="44546A"/>
          <w:sz w:val="28"/>
        </w:rPr>
        <w:t>A 5-Level Business Intelligence Decision System for Employee Attrition, Tenure Velocity, and Retention Planning</w:t>
      </w:r>
    </w:p>
    <w:p>
      <w:r>
        <w:br/>
        <w:br/>
      </w:r>
    </w:p>
    <w:tbl>
      <w:tblPr>
        <w:tblW w:type="auto" w:w="0"/>
        <w:jc w:val="center"/>
        <w:tblLayout w:type="fixed"/>
        <w:tblLook w:firstColumn="1" w:firstRow="1" w:lastColumn="0" w:lastRow="0" w:noHBand="0" w:noVBand="1" w:val="04A0"/>
      </w:tblPr>
      <w:tblGrid>
        <w:gridCol w:w="4680"/>
        <w:gridCol w:w="4680"/>
      </w:tblGrid>
      <w:tr>
        <w:tc>
          <w:tcPr>
            <w:tcW w:type="dxa" w:w="2448"/>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17365D"/>
                <w:sz w:val="22"/>
              </w:rPr>
              <w:t>Prepared By</w:t>
            </w:r>
          </w:p>
        </w:tc>
        <w:tc>
          <w:tcPr>
            <w:tcW w:type="dxa" w:w="6624"/>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22"/>
              </w:rPr>
              <w:t>Himanshu Pathak</w:t>
            </w:r>
          </w:p>
        </w:tc>
      </w:tr>
      <w:tr>
        <w:tc>
          <w:tcPr>
            <w:tcW w:type="dxa" w:w="2448"/>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17365D"/>
                <w:sz w:val="22"/>
              </w:rPr>
              <w:t>Domain</w:t>
            </w:r>
          </w:p>
        </w:tc>
        <w:tc>
          <w:tcPr>
            <w:tcW w:type="dxa" w:w="6624"/>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22"/>
              </w:rPr>
              <w:t>Data Analytics with AI</w:t>
            </w:r>
          </w:p>
        </w:tc>
      </w:tr>
      <w:tr>
        <w:tc>
          <w:tcPr>
            <w:tcW w:type="dxa" w:w="2448"/>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17365D"/>
                <w:sz w:val="22"/>
              </w:rPr>
              <w:t>Internship</w:t>
            </w:r>
          </w:p>
        </w:tc>
        <w:tc>
          <w:tcPr>
            <w:tcW w:type="dxa" w:w="6624"/>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22"/>
              </w:rPr>
              <w:t>IBM SkillsBuild Data Analytics with AI Internship 2026</w:t>
            </w:r>
          </w:p>
        </w:tc>
      </w:tr>
      <w:tr>
        <w:tc>
          <w:tcPr>
            <w:tcW w:type="dxa" w:w="2448"/>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17365D"/>
                <w:sz w:val="22"/>
              </w:rPr>
              <w:t>Date</w:t>
            </w:r>
          </w:p>
        </w:tc>
        <w:tc>
          <w:tcPr>
            <w:tcW w:type="dxa" w:w="6624"/>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22"/>
              </w:rPr>
              <w:t>September 2026</w:t>
            </w:r>
          </w:p>
        </w:tc>
      </w:tr>
    </w:tbl>
    <w:p>
      <w:r>
        <w:br/>
        <w:br/>
      </w:r>
    </w:p>
    <w:tbl>
      <w:tblPr>
        <w:tblW w:type="auto" w:w="0"/>
        <w:jc w:val="center"/>
        <w:tblLayout w:type="fixed"/>
        <w:tblLook w:firstColumn="1" w:firstRow="1" w:lastColumn="0" w:lastRow="0" w:noHBand="0" w:noVBand="1" w:val="04A0"/>
      </w:tblPr>
      <w:tblGrid>
        <w:gridCol w:w="9360"/>
      </w:tblGrid>
      <w:tr>
        <w:tc>
          <w:tcPr>
            <w:tcW w:type="dxa" w:w="9288"/>
            <w:shd w:fill="E7F2F0"/>
            <w:tcBorders>
              <w:top w:val="single" w:sz="12" w:space="0" w:color="17365D"/>
              <w:left w:val="single" w:sz="12" w:space="0" w:color="17365D"/>
              <w:bottom w:val="single" w:sz="12" w:space="0" w:color="17365D"/>
              <w:right w:val="single" w:sz="12" w:space="0" w:color="17365D"/>
              <w:insideH w:val="single" w:sz="12" w:space="0" w:color="17365D"/>
              <w:insideV w:val="single" w:sz="12" w:space="0" w:color="17365D"/>
            </w:tcBorders>
          </w:tcPr>
          <w:p>
            <w:pPr>
              <w:spacing w:after="80"/>
            </w:pPr>
            <w:r/>
            <w:r>
              <w:rPr>
                <w:rFonts w:ascii="Times New Roman" w:hAnsi="Times New Roman"/>
                <w:b/>
                <w:color w:val="17365D"/>
                <w:sz w:val="22"/>
              </w:rPr>
              <w:t>PROJECT SCOPE</w:t>
              <w:br/>
            </w:r>
            <w:r>
              <w:rPr>
                <w:rFonts w:ascii="Times New Roman" w:hAnsi="Times New Roman"/>
                <w:color w:val="44546A"/>
                <w:sz w:val="20"/>
              </w:rPr>
              <w:t>A production-oriented Streamlit platform that connects descriptive workforce analytics, supervised learning, employee segmentation, and evidence-linked HR actions.</w:t>
            </w:r>
          </w:p>
        </w:tc>
      </w:tr>
    </w:tbl>
    <w:p>
      <w:pPr>
        <w:spacing w:after="40"/>
      </w:pPr>
    </w:p>
    <w:p>
      <w:r>
        <w:br w:type="page"/>
      </w:r>
    </w:p>
    <w:p>
      <w:pPr>
        <w:pStyle w:val="Heading1"/>
        <w:keepNext/>
      </w:pPr>
      <w:r>
        <w:rPr>
          <w:rFonts w:ascii="Times New Roman" w:hAnsi="Times New Roman"/>
          <w:color w:val="17365D"/>
        </w:rPr>
        <w:t>Certificate of Originality &amp; Acknowledgments</w:t>
      </w:r>
    </w:p>
    <w:p>
      <w:pPr>
        <w:spacing w:line="276" w:lineRule="auto" w:after="140"/>
      </w:pPr>
      <w:r>
        <w:rPr>
          <w:rFonts w:ascii="Times New Roman" w:hAnsi="Times New Roman"/>
          <w:sz w:val="24"/>
        </w:rPr>
        <w:t>I, Himanshu Pathak, declare that this capstone report and the accompanying People Signals: IBM HR Analytics Platform were prepared as part of the IBM SkillsBuild Data Analytics with AI Internship 2026. The analysis, documentation, visual design, and implementation decisions are presented for academic and professional learning purposes. External datasets and open-source libraries are acknowledged in the references section.</w:t>
      </w:r>
    </w:p>
    <w:p>
      <w:pPr>
        <w:spacing w:line="276" w:lineRule="auto" w:after="140"/>
      </w:pPr>
      <w:r>
        <w:rPr>
          <w:rFonts w:ascii="Times New Roman" w:hAnsi="Times New Roman"/>
          <w:sz w:val="24"/>
        </w:rPr>
        <w:t>I understand that the employee-level risk outputs in this project are analytical prioritisation signals only. They must not be used as automated employment decisions and should be reviewed with appropriate human, ethical, privacy, and organisational safeguards.</w:t>
      </w:r>
    </w:p>
    <w:p>
      <w:r>
        <w:br/>
      </w:r>
    </w:p>
    <w:tbl>
      <w:tblPr>
        <w:tblW w:type="auto" w:w="0"/>
        <w:jc w:val="center"/>
        <w:tblLayout w:type="fixed"/>
        <w:tblLook w:firstColumn="1" w:firstRow="1" w:lastColumn="0" w:lastRow="0" w:noHBand="0" w:noVBand="1" w:val="04A0"/>
      </w:tblPr>
      <w:tblGrid>
        <w:gridCol w:w="4680"/>
        <w:gridCol w:w="4680"/>
      </w:tblGrid>
      <w:tr>
        <w:tc>
          <w:tcPr>
            <w:tcW w:type="dxa" w:w="468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vAlign w:val="center"/>
          </w:tcPr>
          <w:p>
            <w:pPr>
              <w:spacing w:after="0"/>
            </w:pPr>
            <w:r/>
            <w:r>
              <w:rPr>
                <w:rFonts w:ascii="Times New Roman" w:hAnsi="Times New Roman"/>
                <w:b w:val="0"/>
                <w:color w:val="17365D"/>
                <w:sz w:val="22"/>
              </w:rPr>
              <w:t>Signature: __________________________</w:t>
            </w:r>
          </w:p>
        </w:tc>
        <w:tc>
          <w:tcPr>
            <w:tcW w:type="dxa" w:w="468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vAlign w:val="center"/>
          </w:tcPr>
          <w:p>
            <w:pPr>
              <w:spacing w:after="0"/>
            </w:pPr>
            <w:r/>
            <w:r>
              <w:rPr>
                <w:rFonts w:ascii="Times New Roman" w:hAnsi="Times New Roman"/>
                <w:b w:val="0"/>
                <w:color w:val="17365D"/>
                <w:sz w:val="22"/>
              </w:rPr>
              <w:t>Date: __________________</w:t>
            </w:r>
          </w:p>
        </w:tc>
      </w:tr>
      <w:tr>
        <w:tc>
          <w:tcPr>
            <w:tcW w:type="dxa" w:w="468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vAlign w:val="center"/>
          </w:tcPr>
          <w:p>
            <w:pPr>
              <w:spacing w:after="0"/>
            </w:pPr>
            <w:r/>
            <w:r>
              <w:rPr>
                <w:rFonts w:ascii="Times New Roman" w:hAnsi="Times New Roman"/>
                <w:b w:val="0"/>
                <w:color w:val="17365D"/>
                <w:sz w:val="22"/>
              </w:rPr>
              <w:t>Himanshu Pathak</w:t>
            </w:r>
          </w:p>
        </w:tc>
        <w:tc>
          <w:tcPr>
            <w:tcW w:type="dxa" w:w="468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vAlign w:val="center"/>
          </w:tcPr>
          <w:p>
            <w:pPr>
              <w:spacing w:after="0"/>
            </w:pPr>
            <w:r/>
            <w:r>
              <w:rPr>
                <w:rFonts w:ascii="Times New Roman" w:hAnsi="Times New Roman"/>
                <w:b w:val="0"/>
                <w:color w:val="17365D"/>
                <w:sz w:val="22"/>
              </w:rPr>
              <w:t>September 2026</w:t>
            </w:r>
          </w:p>
        </w:tc>
      </w:tr>
    </w:tbl>
    <w:p>
      <w:pPr>
        <w:pStyle w:val="Heading2"/>
        <w:keepNext/>
      </w:pPr>
      <w:r>
        <w:rPr>
          <w:rFonts w:ascii="Times New Roman" w:hAnsi="Times New Roman"/>
          <w:color w:val="44546A"/>
        </w:rPr>
        <w:t>Acknowledgments</w:t>
      </w:r>
    </w:p>
    <w:p>
      <w:pPr>
        <w:spacing w:line="276" w:lineRule="auto" w:after="140"/>
      </w:pPr>
      <w:r>
        <w:rPr>
          <w:rFonts w:ascii="Times New Roman" w:hAnsi="Times New Roman"/>
          <w:sz w:val="24"/>
        </w:rPr>
        <w:t>I sincerely thank IBM SkillsBuild for the structured learning environment and practical orientation toward data analytics with AI. I am grateful to BharatCares and CSRBOX for facilitating the internship experience and to mentors Kartik Hooda and Himanshu Souda for their guidance, feedback, and encouragement. I also acknowledge the maintainers and contributors of Python, pandas, Streamlit, Plotly, scikit-learn, KaggleHub, ReportLab, and python-docx, whose open-source work made this capstone possible.</w:t>
      </w:r>
    </w:p>
    <w:tbl>
      <w:tblPr>
        <w:tblW w:type="auto" w:w="0"/>
        <w:jc w:val="center"/>
        <w:tblLayout w:type="fixed"/>
        <w:tblLook w:firstColumn="1" w:firstRow="1" w:lastColumn="0" w:lastRow="0" w:noHBand="0" w:noVBand="1" w:val="04A0"/>
      </w:tblPr>
      <w:tblGrid>
        <w:gridCol w:w="9360"/>
      </w:tblGrid>
      <w:tr>
        <w:tc>
          <w:tcPr>
            <w:tcW w:type="dxa" w:w="9288"/>
            <w:shd w:fill="FFF3D6"/>
            <w:tcBorders>
              <w:top w:val="single" w:sz="12" w:space="0" w:color="17365D"/>
              <w:left w:val="single" w:sz="12" w:space="0" w:color="17365D"/>
              <w:bottom w:val="single" w:sz="12" w:space="0" w:color="17365D"/>
              <w:right w:val="single" w:sz="12" w:space="0" w:color="17365D"/>
              <w:insideH w:val="single" w:sz="12" w:space="0" w:color="17365D"/>
              <w:insideV w:val="single" w:sz="12" w:space="0" w:color="17365D"/>
            </w:tcBorders>
          </w:tcPr>
          <w:p>
            <w:pPr>
              <w:spacing w:after="80"/>
            </w:pPr>
            <w:r/>
            <w:r>
              <w:rPr>
                <w:rFonts w:ascii="Times New Roman" w:hAnsi="Times New Roman"/>
                <w:b/>
                <w:color w:val="17365D"/>
                <w:sz w:val="22"/>
              </w:rPr>
              <w:t>DOCUMENT NOTE</w:t>
              <w:br/>
            </w:r>
            <w:r>
              <w:rPr>
                <w:rFonts w:ascii="Times New Roman" w:hAnsi="Times New Roman"/>
                <w:color w:val="44546A"/>
                <w:sz w:val="20"/>
              </w:rPr>
              <w:t>This report is intentionally written as a complete capstone artifact. Bracketed screenshot boxes are reserved for final dashboard captures from the running application.</w:t>
            </w:r>
          </w:p>
        </w:tc>
      </w:tr>
    </w:tbl>
    <w:p>
      <w:pPr>
        <w:spacing w:after="40"/>
      </w:pPr>
    </w:p>
    <w:p>
      <w:r>
        <w:br w:type="page"/>
      </w:r>
    </w:p>
    <w:p>
      <w:pPr>
        <w:pStyle w:val="Heading1"/>
        <w:keepNext/>
      </w:pPr>
      <w:r>
        <w:rPr>
          <w:rFonts w:ascii="Times New Roman" w:hAnsi="Times New Roman"/>
          <w:color w:val="17365D"/>
        </w:rPr>
        <w:t>Executive Summary &amp; 5-Level BI Hierarchy Synthesis</w:t>
      </w:r>
    </w:p>
    <w:p>
      <w:pPr>
        <w:spacing w:line="276" w:lineRule="auto" w:after="140"/>
      </w:pPr>
      <w:r>
        <w:rPr>
          <w:rFonts w:ascii="Times New Roman" w:hAnsi="Times New Roman"/>
          <w:sz w:val="24"/>
        </w:rPr>
        <w:t>People Signals: IBM HR Analytics Platform turns 1,470 employee records into a decision surface for retention, mobility, and workforce planning. The baseline workforce view shows a 16.1% attrition rate and average monthly income of $6,503. The system progresses from descriptive KPIs to lifecycle trends, diagnostic drivers, model-led risk and employee segments, and finally to strategic actions that are tied to measured evidence.</w:t>
      </w:r>
    </w:p>
    <w:p>
      <w:pPr>
        <w:pStyle w:val="Heading2"/>
        <w:keepNext/>
      </w:pPr>
      <w:r>
        <w:rPr>
          <w:rFonts w:ascii="Times New Roman" w:hAnsi="Times New Roman"/>
          <w:color w:val="44546A"/>
        </w:rPr>
        <w:t>Headline findings</w:t>
      </w:r>
    </w:p>
    <w:p>
      <w:pPr>
        <w:pStyle w:val="ListBullet"/>
        <w:spacing w:line="276" w:lineRule="auto" w:after="80"/>
      </w:pPr>
      <w:r>
        <w:rPr>
          <w:rFonts w:ascii="Times New Roman" w:hAnsi="Times New Roman"/>
          <w:sz w:val="24"/>
        </w:rPr>
        <w:t>OverTime is a material retention lever: the observed attrition rate reaches 30.5% for the highest overtime group.</w:t>
      </w:r>
    </w:p>
    <w:p>
      <w:pPr>
        <w:pStyle w:val="ListBullet"/>
        <w:spacing w:line="276" w:lineRule="auto" w:after="80"/>
      </w:pPr>
      <w:r>
        <w:rPr>
          <w:rFonts w:ascii="Times New Roman" w:hAnsi="Times New Roman"/>
          <w:sz w:val="24"/>
        </w:rPr>
        <w:t>Sales Representative turnover is 39.8%, making role-specific coaching and career-path interventions a priority.</w:t>
      </w:r>
    </w:p>
    <w:p>
      <w:pPr>
        <w:pStyle w:val="ListBullet"/>
        <w:spacing w:line="276" w:lineRule="auto" w:after="80"/>
      </w:pPr>
      <w:r>
        <w:rPr>
          <w:rFonts w:ascii="Times New Roman" w:hAnsi="Times New Roman"/>
          <w:sz w:val="24"/>
        </w:rPr>
        <w:t>Early tenure is a clear lifecycle pressure point: the 0-1 year bucket records 34.9% attrition.</w:t>
      </w:r>
    </w:p>
    <w:p>
      <w:pPr>
        <w:pStyle w:val="ListBullet"/>
        <w:spacing w:line="276" w:lineRule="auto" w:after="80"/>
      </w:pPr>
      <w:r>
        <w:rPr>
          <w:rFonts w:ascii="Times New Roman" w:hAnsi="Times New Roman"/>
          <w:sz w:val="24"/>
        </w:rPr>
        <w:t>The platform uses an optimal classification threshold of 0.220 so risk review reflects the cost of missing at-risk employees rather than relying on the default 0.50 cutoff.</w:t>
      </w:r>
    </w:p>
    <w:p>
      <w:pPr>
        <w:pStyle w:val="Heading2"/>
        <w:keepNext/>
      </w:pPr>
      <w:r>
        <w:rPr>
          <w:rFonts w:ascii="Times New Roman" w:hAnsi="Times New Roman"/>
          <w:color w:val="44546A"/>
        </w:rPr>
        <w:t>5-level synthesis</w:t>
      </w:r>
    </w:p>
    <w:tbl>
      <w:tblPr>
        <w:tblW w:type="auto" w:w="0"/>
        <w:jc w:val="center"/>
        <w:tblLayout w:type="fixed"/>
        <w:tblLook w:firstColumn="1" w:firstRow="1" w:lastColumn="0" w:lastRow="0" w:noHBand="0" w:noVBand="1" w:val="04A0"/>
      </w:tblPr>
      <w:tblGrid>
        <w:gridCol w:w="3120"/>
        <w:gridCol w:w="3120"/>
        <w:gridCol w:w="3120"/>
      </w:tblGrid>
      <w:tr>
        <w:tc>
          <w:tcPr>
            <w:tcW w:type="dxa" w:w="1512"/>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Level</w:t>
            </w:r>
          </w:p>
        </w:tc>
        <w:tc>
          <w:tcPr>
            <w:tcW w:type="dxa" w:w="2520"/>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Business question</w:t>
            </w:r>
          </w:p>
        </w:tc>
        <w:tc>
          <w:tcPr>
            <w:tcW w:type="dxa" w:w="5256"/>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Decision output</w:t>
            </w:r>
          </w:p>
        </w:tc>
      </w:tr>
      <w:tr>
        <w:tc>
          <w:tcPr>
            <w:tcW w:type="dxa" w:w="1512"/>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1 / KPIs</w:t>
            </w:r>
          </w:p>
        </w:tc>
        <w:tc>
          <w:tcPr>
            <w:tcW w:type="dxa" w:w="2520"/>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What is happening?</w:t>
            </w:r>
          </w:p>
        </w:tc>
        <w:tc>
          <w:tcPr>
            <w:tcW w:type="dxa" w:w="5256"/>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Scale, attrition, income, departments, and roles.</w:t>
            </w:r>
          </w:p>
        </w:tc>
      </w:tr>
      <w:tr>
        <w:tc>
          <w:tcPr>
            <w:tcW w:type="dxa" w:w="1512"/>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2 / Trends</w:t>
            </w:r>
          </w:p>
        </w:tc>
        <w:tc>
          <w:tcPr>
            <w:tcW w:type="dxa" w:w="2520"/>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Direction kya hai?</w:t>
            </w:r>
          </w:p>
        </w:tc>
        <w:tc>
          <w:tcPr>
            <w:tcW w:type="dxa" w:w="5256"/>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Chronological tenure lifecycle and income progression.</w:t>
            </w:r>
          </w:p>
        </w:tc>
      </w:tr>
      <w:tr>
        <w:tc>
          <w:tcPr>
            <w:tcW w:type="dxa" w:w="1512"/>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3 / Drivers</w:t>
            </w:r>
          </w:p>
        </w:tc>
        <w:tc>
          <w:tcPr>
            <w:tcW w:type="dxa" w:w="2520"/>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Why is it happening?</w:t>
            </w:r>
          </w:p>
        </w:tc>
        <w:tc>
          <w:tcPr>
            <w:tcW w:type="dxa" w:w="5256"/>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Work design, role, distance, marital status, and experience diagnostics.</w:t>
            </w:r>
          </w:p>
        </w:tc>
      </w:tr>
      <w:tr>
        <w:tc>
          <w:tcPr>
            <w:tcW w:type="dxa" w:w="1512"/>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4 / Risks</w:t>
            </w:r>
          </w:p>
        </w:tc>
        <w:tc>
          <w:tcPr>
            <w:tcW w:type="dxa" w:w="2520"/>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Who needs attention?</w:t>
            </w:r>
          </w:p>
        </w:tc>
        <w:tc>
          <w:tcPr>
            <w:tcW w:type="dxa" w:w="5256"/>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Permutation importance, thresholded risk scores, and KMeans segments.</w:t>
            </w:r>
          </w:p>
        </w:tc>
      </w:tr>
      <w:tr>
        <w:tc>
          <w:tcPr>
            <w:tcW w:type="dxa" w:w="1512"/>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5 / Actions</w:t>
            </w:r>
          </w:p>
        </w:tc>
        <w:tc>
          <w:tcPr>
            <w:tcW w:type="dxa" w:w="2520"/>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What should HR do?</w:t>
            </w:r>
          </w:p>
        </w:tc>
        <w:tc>
          <w:tcPr>
            <w:tcW w:type="dxa" w:w="5256"/>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Prioritised interventions with measurable follow-through.</w:t>
            </w:r>
          </w:p>
        </w:tc>
      </w:tr>
    </w:tbl>
    <w:p>
      <w:pPr>
        <w:spacing w:after="20"/>
      </w:pPr>
    </w:p>
    <w:p>
      <w:r>
        <w:br w:type="page"/>
      </w:r>
    </w:p>
    <w:p>
      <w:pPr>
        <w:pStyle w:val="Heading1"/>
        <w:keepNext/>
      </w:pPr>
      <w:r>
        <w:rPr>
          <w:rFonts w:ascii="Times New Roman" w:hAnsi="Times New Roman"/>
          <w:color w:val="17365D"/>
        </w:rPr>
        <w:t>Dataset Architecture, Schema &amp; Data Quality Audit</w:t>
      </w:r>
    </w:p>
    <w:p>
      <w:pPr>
        <w:spacing w:line="276" w:lineRule="auto" w:after="140"/>
      </w:pPr>
      <w:r>
        <w:rPr>
          <w:rFonts w:ascii="Times New Roman" w:hAnsi="Times New Roman"/>
          <w:sz w:val="24"/>
        </w:rPr>
        <w:t>The source is the Kaggle IBM HR Analytics Employee Attrition &amp; Performance dataset. It contains 1,470 rows and 35 source attributes. The application downloads the dataset through KaggleHub inside the same single-file Streamlit app, then applies deterministic preparation before analysis and modelling.</w:t>
      </w:r>
    </w:p>
    <w:p>
      <w:pPr>
        <w:pStyle w:val="Heading2"/>
        <w:keepNext/>
      </w:pPr>
      <w:r>
        <w:rPr>
          <w:rFonts w:ascii="Times New Roman" w:hAnsi="Times New Roman"/>
          <w:color w:val="44546A"/>
        </w:rPr>
        <w:t>Analytical schema</w:t>
      </w:r>
    </w:p>
    <w:tbl>
      <w:tblPr>
        <w:tblW w:type="auto" w:w="0"/>
        <w:jc w:val="center"/>
        <w:tblLayout w:type="fixed"/>
        <w:tblLook w:firstColumn="1" w:firstRow="1" w:lastColumn="0" w:lastRow="0" w:noHBand="0" w:noVBand="1" w:val="04A0"/>
      </w:tblPr>
      <w:tblGrid>
        <w:gridCol w:w="3120"/>
        <w:gridCol w:w="3120"/>
        <w:gridCol w:w="3120"/>
      </w:tblGrid>
      <w:tr>
        <w:tc>
          <w:tcPr>
            <w:tcW w:type="dxa" w:w="1944"/>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Attribute family</w:t>
            </w:r>
          </w:p>
        </w:tc>
        <w:tc>
          <w:tcPr>
            <w:tcW w:type="dxa" w:w="3816"/>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Representative fields</w:t>
            </w:r>
          </w:p>
        </w:tc>
        <w:tc>
          <w:tcPr>
            <w:tcW w:type="dxa" w:w="3528"/>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Analytical role</w:t>
            </w:r>
          </w:p>
        </w:tc>
      </w:tr>
      <w:tr>
        <w:tc>
          <w:tcPr>
            <w:tcW w:type="dxa" w:w="1944"/>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Work context</w:t>
            </w:r>
          </w:p>
        </w:tc>
        <w:tc>
          <w:tcPr>
            <w:tcW w:type="dxa" w:w="3816"/>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Department, JobRole, BusinessTravel, OverTime</w:t>
            </w:r>
          </w:p>
        </w:tc>
        <w:tc>
          <w:tcPr>
            <w:tcW w:type="dxa" w:w="3528"/>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Driver diagnostics and action design.</w:t>
            </w:r>
          </w:p>
        </w:tc>
      </w:tr>
      <w:tr>
        <w:tc>
          <w:tcPr>
            <w:tcW w:type="dxa" w:w="1944"/>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Tenure and mobility</w:t>
            </w:r>
          </w:p>
        </w:tc>
        <w:tc>
          <w:tcPr>
            <w:tcW w:type="dxa" w:w="3816"/>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YearsAtCompany, YearsInCurrentRole, YearsSinceLastPromotion, YearsWithCurrManager</w:t>
            </w:r>
          </w:p>
        </w:tc>
        <w:tc>
          <w:tcPr>
            <w:tcW w:type="dxa" w:w="3528"/>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Lifecycle trends and career progression.</w:t>
            </w:r>
          </w:p>
        </w:tc>
      </w:tr>
      <w:tr>
        <w:tc>
          <w:tcPr>
            <w:tcW w:type="dxa" w:w="1944"/>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Experience</w:t>
            </w:r>
          </w:p>
        </w:tc>
        <w:tc>
          <w:tcPr>
            <w:tcW w:type="dxa" w:w="3816"/>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JobSatisfaction, WorkLifeBalance, EnvironmentSatisfaction, JobInvolvement</w:t>
            </w:r>
          </w:p>
        </w:tc>
        <w:tc>
          <w:tcPr>
            <w:tcW w:type="dxa" w:w="3528"/>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Employee experience distributions and clustering.</w:t>
            </w:r>
          </w:p>
        </w:tc>
      </w:tr>
      <w:tr>
        <w:tc>
          <w:tcPr>
            <w:tcW w:type="dxa" w:w="1944"/>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Compensation</w:t>
            </w:r>
          </w:p>
        </w:tc>
        <w:tc>
          <w:tcPr>
            <w:tcW w:type="dxa" w:w="3816"/>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MonthlyIncome, MonthlyRate, PercentSalaryHike, StockOptionLevel</w:t>
            </w:r>
          </w:p>
        </w:tc>
        <w:tc>
          <w:tcPr>
            <w:tcW w:type="dxa" w:w="3528"/>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Income regression and opportunity analysis.</w:t>
            </w:r>
          </w:p>
        </w:tc>
      </w:tr>
      <w:tr>
        <w:tc>
          <w:tcPr>
            <w:tcW w:type="dxa" w:w="1944"/>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Personal context</w:t>
            </w:r>
          </w:p>
        </w:tc>
        <w:tc>
          <w:tcPr>
            <w:tcW w:type="dxa" w:w="3816"/>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Age, Gender, MaritalStatus, DistanceFromHome</w:t>
            </w:r>
          </w:p>
        </w:tc>
        <w:tc>
          <w:tcPr>
            <w:tcW w:type="dxa" w:w="3528"/>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Fairness-aware descriptive segmentation.</w:t>
            </w:r>
          </w:p>
        </w:tc>
      </w:tr>
      <w:tr>
        <w:tc>
          <w:tcPr>
            <w:tcW w:type="dxa" w:w="1944"/>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Targets</w:t>
            </w:r>
          </w:p>
        </w:tc>
        <w:tc>
          <w:tcPr>
            <w:tcW w:type="dxa" w:w="3816"/>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Attrition, MonthlyIncome</w:t>
            </w:r>
          </w:p>
        </w:tc>
        <w:tc>
          <w:tcPr>
            <w:tcW w:type="dxa" w:w="3528"/>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Classification and regression outcomes.</w:t>
            </w:r>
          </w:p>
        </w:tc>
      </w:tr>
    </w:tbl>
    <w:p>
      <w:pPr>
        <w:spacing w:after="20"/>
      </w:pPr>
    </w:p>
    <w:p>
      <w:pPr>
        <w:pStyle w:val="Heading2"/>
        <w:keepNext/>
      </w:pPr>
      <w:r>
        <w:rPr>
          <w:rFonts w:ascii="Times New Roman" w:hAnsi="Times New Roman"/>
          <w:color w:val="44546A"/>
        </w:rPr>
        <w:t>Data hygiene audit</w:t>
      </w:r>
    </w:p>
    <w:tbl>
      <w:tblPr>
        <w:tblW w:type="auto" w:w="0"/>
        <w:jc w:val="center"/>
        <w:tblLayout w:type="fixed"/>
        <w:tblLook w:firstColumn="1" w:firstRow="1" w:lastColumn="0" w:lastRow="0" w:noHBand="0" w:noVBand="1" w:val="04A0"/>
      </w:tblPr>
      <w:tblGrid>
        <w:gridCol w:w="3120"/>
        <w:gridCol w:w="3120"/>
        <w:gridCol w:w="3120"/>
      </w:tblGrid>
      <w:tr>
        <w:tc>
          <w:tcPr>
            <w:tcW w:type="dxa" w:w="2232"/>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Audit check</w:t>
            </w:r>
          </w:p>
        </w:tc>
        <w:tc>
          <w:tcPr>
            <w:tcW w:type="dxa" w:w="4032"/>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Result</w:t>
            </w:r>
          </w:p>
        </w:tc>
        <w:tc>
          <w:tcPr>
            <w:tcW w:type="dxa" w:w="3024"/>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Decision</w:t>
            </w:r>
          </w:p>
        </w:tc>
      </w:tr>
      <w:tr>
        <w:tc>
          <w:tcPr>
            <w:tcW w:type="dxa" w:w="2232"/>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Rows and duplicates</w:t>
            </w:r>
          </w:p>
        </w:tc>
        <w:tc>
          <w:tcPr>
            <w:tcW w:type="dxa" w:w="4032"/>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1,470 rows; zero duplicate records</w:t>
            </w:r>
          </w:p>
        </w:tc>
        <w:tc>
          <w:tcPr>
            <w:tcW w:type="dxa" w:w="3024"/>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Retain all unique employee records.</w:t>
            </w:r>
          </w:p>
        </w:tc>
      </w:tr>
      <w:tr>
        <w:tc>
          <w:tcPr>
            <w:tcW w:type="dxa" w:w="2232"/>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Constants</w:t>
            </w:r>
          </w:p>
        </w:tc>
        <w:tc>
          <w:tcPr>
            <w:tcW w:type="dxa" w:w="4032"/>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EmployeeCount=1, StandardHours=80, Over18='Y'</w:t>
            </w:r>
          </w:p>
        </w:tc>
        <w:tc>
          <w:tcPr>
            <w:tcW w:type="dxa" w:w="3024"/>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Drop at load time because they carry no variance.</w:t>
            </w:r>
          </w:p>
        </w:tc>
      </w:tr>
      <w:tr>
        <w:tc>
          <w:tcPr>
            <w:tcW w:type="dxa" w:w="2232"/>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Identifier</w:t>
            </w:r>
          </w:p>
        </w:tc>
        <w:tc>
          <w:tcPr>
            <w:tcW w:type="dxa" w:w="4032"/>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EmployeeNumber</w:t>
            </w:r>
          </w:p>
        </w:tc>
        <w:tc>
          <w:tcPr>
            <w:tcW w:type="dxa" w:w="3024"/>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Drop because it is an ID with no predictive meaning.</w:t>
            </w:r>
          </w:p>
        </w:tc>
      </w:tr>
      <w:tr>
        <w:tc>
          <w:tcPr>
            <w:tcW w:type="dxa" w:w="2232"/>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Tenure normalization</w:t>
            </w:r>
          </w:p>
        </w:tc>
        <w:tc>
          <w:tcPr>
            <w:tcW w:type="dxa" w:w="4032"/>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Five ordered buckets</w:t>
            </w:r>
          </w:p>
        </w:tc>
        <w:tc>
          <w:tcPr>
            <w:tcW w:type="dxa" w:w="3024"/>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0-1, 2-3, 4-5, 6-10, 11+ in chronological order.</w:t>
            </w:r>
          </w:p>
        </w:tc>
      </w:tr>
      <w:tr>
        <w:tc>
          <w:tcPr>
            <w:tcW w:type="dxa" w:w="2232"/>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Leakage control</w:t>
            </w:r>
          </w:p>
        </w:tc>
        <w:tc>
          <w:tcPr>
            <w:tcW w:type="dxa" w:w="4032"/>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Targets excluded from feature frames</w:t>
            </w:r>
          </w:p>
        </w:tc>
        <w:tc>
          <w:tcPr>
            <w:tcW w:type="dxa" w:w="3024"/>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Prevent Attrition and MonthlyIncome from entering their own models.</w:t>
            </w:r>
          </w:p>
        </w:tc>
      </w:tr>
    </w:tbl>
    <w:p>
      <w:pPr>
        <w:spacing w:after="20"/>
      </w:pPr>
    </w:p>
    <w:p>
      <w:r>
        <w:br w:type="page"/>
      </w:r>
    </w:p>
    <w:p>
      <w:pPr>
        <w:pStyle w:val="Heading1"/>
        <w:keepNext/>
      </w:pPr>
      <w:r>
        <w:rPr>
          <w:rFonts w:ascii="Times New Roman" w:hAnsi="Times New Roman"/>
          <w:color w:val="17365D"/>
        </w:rPr>
        <w:t>Analytical Deep-Dive &amp; Findings</w:t>
      </w:r>
    </w:p>
    <w:p>
      <w:pPr>
        <w:pStyle w:val="Heading2"/>
        <w:keepNext/>
      </w:pPr>
      <w:r>
        <w:rPr>
          <w:rFonts w:ascii="Times New Roman" w:hAnsi="Times New Roman"/>
          <w:color w:val="44546A"/>
        </w:rPr>
        <w:t>Tenure-based lifecycle attrition</w:t>
      </w:r>
    </w:p>
    <w:p>
      <w:pPr>
        <w:spacing w:line="276" w:lineRule="auto" w:after="140"/>
      </w:pPr>
      <w:r>
        <w:rPr>
          <w:rFonts w:ascii="Times New Roman" w:hAnsi="Times New Roman"/>
          <w:sz w:val="24"/>
        </w:rPr>
        <w:t>The tenure chart treats YearsAtCompany as the time axis because this dataset contains no calendar event dates. The bucket order is explicitly categorical and chronological: 0-1, 2-3, 4-5, 6-10, and 11+. This prevents the misleading alphabetical sequence in which 11+ appears before 2-3. The highest observed early-tenure rate is 34.9%, supporting structured onboarding and manager touchpoints during the first year.</w:t>
      </w:r>
    </w:p>
    <w:p>
      <w:pPr>
        <w:pStyle w:val="Heading2"/>
        <w:keepNext/>
      </w:pPr>
      <w:r>
        <w:rPr>
          <w:rFonts w:ascii="Times New Roman" w:hAnsi="Times New Roman"/>
          <w:color w:val="44546A"/>
        </w:rPr>
        <w:t>Driver diagnostics</w:t>
      </w:r>
    </w:p>
    <w:tbl>
      <w:tblPr>
        <w:tblW w:type="auto" w:w="0"/>
        <w:jc w:val="center"/>
        <w:tblLayout w:type="fixed"/>
        <w:tblLook w:firstColumn="1" w:firstRow="1" w:lastColumn="0" w:lastRow="0" w:noHBand="0" w:noVBand="1" w:val="04A0"/>
      </w:tblPr>
      <w:tblGrid>
        <w:gridCol w:w="3120"/>
        <w:gridCol w:w="3120"/>
        <w:gridCol w:w="3120"/>
      </w:tblGrid>
      <w:tr>
        <w:tc>
          <w:tcPr>
            <w:tcW w:type="dxa" w:w="2232"/>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Signal</w:t>
            </w:r>
          </w:p>
        </w:tc>
        <w:tc>
          <w:tcPr>
            <w:tcW w:type="dxa" w:w="3096"/>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Observed result</w:t>
            </w:r>
          </w:p>
        </w:tc>
        <w:tc>
          <w:tcPr>
            <w:tcW w:type="dxa" w:w="3960"/>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Interpretation</w:t>
            </w:r>
          </w:p>
        </w:tc>
      </w:tr>
      <w:tr>
        <w:tc>
          <w:tcPr>
            <w:tcW w:type="dxa" w:w="2232"/>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OverTime</w:t>
            </w:r>
          </w:p>
        </w:tc>
        <w:tc>
          <w:tcPr>
            <w:tcW w:type="dxa" w:w="3096"/>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30.5% attrition in the highest group</w:t>
            </w:r>
          </w:p>
        </w:tc>
        <w:tc>
          <w:tcPr>
            <w:tcW w:type="dxa" w:w="3960"/>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Workload and recovery time deserve a policy response.</w:t>
            </w:r>
          </w:p>
        </w:tc>
      </w:tr>
      <w:tr>
        <w:tc>
          <w:tcPr>
            <w:tcW w:type="dxa" w:w="2232"/>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JobRole</w:t>
            </w:r>
          </w:p>
        </w:tc>
        <w:tc>
          <w:tcPr>
            <w:tcW w:type="dxa" w:w="3096"/>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39.8% Sales Representative turnover</w:t>
            </w:r>
          </w:p>
        </w:tc>
        <w:tc>
          <w:tcPr>
            <w:tcW w:type="dxa" w:w="3960"/>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Role-specific coaching and progression are warranted.</w:t>
            </w:r>
          </w:p>
        </w:tc>
      </w:tr>
      <w:tr>
        <w:tc>
          <w:tcPr>
            <w:tcW w:type="dxa" w:w="2232"/>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MaritalStatus</w:t>
            </w:r>
          </w:p>
        </w:tc>
        <w:tc>
          <w:tcPr>
            <w:tcW w:type="dxa" w:w="3096"/>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25.5% Single attrition</w:t>
            </w:r>
          </w:p>
        </w:tc>
        <w:tc>
          <w:tcPr>
            <w:tcW w:type="dxa" w:w="3960"/>
            <w:shd w:fill="EAF0F7"/>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Use as a context signal, not a causal or individual decision rule.</w:t>
            </w:r>
          </w:p>
        </w:tc>
      </w:tr>
      <w:tr>
        <w:tc>
          <w:tcPr>
            <w:tcW w:type="dxa" w:w="2232"/>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DistanceFromHome</w:t>
            </w:r>
          </w:p>
        </w:tc>
        <w:tc>
          <w:tcPr>
            <w:tcW w:type="dxa" w:w="3096"/>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20.7% for &gt;16 km</w:t>
            </w:r>
          </w:p>
        </w:tc>
        <w:tc>
          <w:tcPr>
            <w:tcW w:type="dxa" w:w="3960"/>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Commute burden may amplify retention pressure.</w:t>
            </w:r>
          </w:p>
        </w:tc>
      </w:tr>
    </w:tbl>
    <w:p>
      <w:pPr>
        <w:spacing w:after="20"/>
      </w:pPr>
    </w:p>
    <w:p>
      <w:pPr>
        <w:pStyle w:val="Heading2"/>
        <w:keepNext/>
      </w:pPr>
      <w:r>
        <w:rPr>
          <w:rFonts w:ascii="Times New Roman" w:hAnsi="Times New Roman"/>
          <w:color w:val="44546A"/>
        </w:rPr>
        <w:t>Machine learning integration</w:t>
      </w:r>
    </w:p>
    <w:p>
      <w:pPr>
        <w:spacing w:line="276" w:lineRule="auto" w:after="140"/>
      </w:pPr>
      <w:r>
        <w:rPr>
          <w:rFonts w:ascii="Times New Roman" w:hAnsi="Times New Roman"/>
          <w:sz w:val="24"/>
        </w:rPr>
        <w:t>The attrition workflow uses a stratified Random Forest classifier with balanced class weights. Its validation ROC-AUC is 0.778 and the threshold-selected F1 is 0.522 at an optimal threshold of 0.220. The model quality view also exposes precision, recall, default-threshold F1, and the confusion matrix so stakeholders can understand the trade-off between false alarms and missed at-risk employees.</w:t>
      </w:r>
    </w:p>
    <w:p>
      <w:pPr>
        <w:spacing w:line="276" w:lineRule="auto" w:after="140"/>
      </w:pPr>
      <w:r>
        <w:rPr>
          <w:rFonts w:ascii="Times New Roman" w:hAnsi="Times New Roman"/>
          <w:sz w:val="24"/>
        </w:rPr>
        <w:t>The MonthlyIncome workflow uses a tuned Random Forest regressor alongside a Linear Regression baseline. The reported validation result is R² 0.945 with RMSE of $1,091. These models are decision-support components; they do not replace HR judgment, employee conversations, or governance.</w:t>
      </w:r>
    </w:p>
    <w:tbl>
      <w:tblPr>
        <w:tblW w:type="auto" w:w="0"/>
        <w:jc w:val="center"/>
        <w:tblLayout w:type="fixed"/>
        <w:tblLook w:firstColumn="1" w:firstRow="1" w:lastColumn="0" w:lastRow="0" w:noHBand="0" w:noVBand="1" w:val="04A0"/>
      </w:tblPr>
      <w:tblGrid>
        <w:gridCol w:w="9360"/>
      </w:tblGrid>
      <w:tr>
        <w:tc>
          <w:tcPr>
            <w:tcW w:type="dxa" w:w="9288"/>
            <w:shd w:fill="FFF3D6"/>
            <w:tcBorders>
              <w:top w:val="single" w:sz="12" w:space="0" w:color="17365D"/>
              <w:left w:val="single" w:sz="12" w:space="0" w:color="17365D"/>
              <w:bottom w:val="single" w:sz="12" w:space="0" w:color="17365D"/>
              <w:right w:val="single" w:sz="12" w:space="0" w:color="17365D"/>
              <w:insideH w:val="single" w:sz="12" w:space="0" w:color="17365D"/>
              <w:insideV w:val="single" w:sz="12" w:space="0" w:color="17365D"/>
            </w:tcBorders>
          </w:tcPr>
          <w:p>
            <w:pPr>
              <w:spacing w:after="80"/>
            </w:pPr>
            <w:r/>
            <w:r>
              <w:rPr>
                <w:rFonts w:ascii="Times New Roman" w:hAnsi="Times New Roman"/>
                <w:b/>
                <w:color w:val="17365D"/>
                <w:sz w:val="22"/>
              </w:rPr>
              <w:t>METHOD LIMITATION</w:t>
              <w:br/>
            </w:r>
            <w:r>
              <w:rPr>
                <w:rFonts w:ascii="Times New Roman" w:hAnsi="Times New Roman"/>
                <w:color w:val="44546A"/>
                <w:sz w:val="20"/>
              </w:rPr>
              <w:t>The dataset is a static historical snapshot. Associations should not be interpreted as causal effects, and model outputs should be monitored for drift, fairness, and changes in workforce composition.</w:t>
            </w:r>
          </w:p>
        </w:tc>
      </w:tr>
    </w:tbl>
    <w:p>
      <w:pPr>
        <w:spacing w:after="40"/>
      </w:pPr>
    </w:p>
    <w:p>
      <w:r>
        <w:br w:type="page"/>
      </w:r>
    </w:p>
    <w:p>
      <w:pPr>
        <w:pStyle w:val="Heading1"/>
        <w:keepNext/>
      </w:pPr>
      <w:r>
        <w:rPr>
          <w:rFonts w:ascii="Times New Roman" w:hAnsi="Times New Roman"/>
          <w:color w:val="17365D"/>
        </w:rPr>
        <w:t>Visual Evidence: Dashboard UI Screenshots</w:t>
      </w:r>
    </w:p>
    <w:p>
      <w:pPr>
        <w:spacing w:line="276" w:lineRule="auto" w:after="140"/>
      </w:pPr>
      <w:r>
        <w:rPr>
          <w:rFonts w:ascii="Times New Roman" w:hAnsi="Times New Roman"/>
          <w:sz w:val="24"/>
        </w:rPr>
        <w:t>The following placeholders are intentionally sized and bordered for final dashboard screenshots. Insert captures from the Streamlit application at a consistent desktop viewport so the five-level hierarchy remains legible in review.</w:t>
      </w:r>
    </w:p>
    <w:tbl>
      <w:tblPr>
        <w:tblW w:type="auto" w:w="0"/>
        <w:jc w:val="center"/>
        <w:tblLayout w:type="fixed"/>
        <w:tblLook w:firstColumn="1" w:firstRow="1" w:lastColumn="0" w:lastRow="0" w:noHBand="0" w:noVBand="1" w:val="04A0"/>
      </w:tblPr>
      <w:tblGrid>
        <w:gridCol w:w="9360"/>
      </w:tblGrid>
      <w:tr>
        <w:tc>
          <w:tcPr>
            <w:tcW w:type="dxa" w:w="9288"/>
            <w:shd w:fill="EDEDED"/>
            <w:tcBorders>
              <w:top w:val="single" w:sz="14" w:space="0" w:color="17365D"/>
              <w:left w:val="single" w:sz="14" w:space="0" w:color="17365D"/>
              <w:bottom w:val="single" w:sz="14" w:space="0" w:color="17365D"/>
              <w:right w:val="single" w:sz="14" w:space="0" w:color="17365D"/>
              <w:insideH w:val="single" w:sz="14" w:space="0" w:color="17365D"/>
              <w:insideV w:val="single" w:sz="14" w:space="0" w:color="17365D"/>
            </w:tcBorders>
            <w:vAlign w:val="center"/>
          </w:tcPr>
          <w:p>
            <w:pPr>
              <w:spacing w:before="700" w:after="700"/>
              <w:jc w:val="center"/>
            </w:pPr>
            <w:r/>
            <w:r>
              <w:rPr>
                <w:rFonts w:ascii="Times New Roman" w:hAnsi="Times New Roman"/>
                <w:b/>
                <w:color w:val="17365D"/>
                <w:sz w:val="24"/>
              </w:rPr>
              <w:t>[INSERT DASHBOARD SCREENSHOT 1: LEVEL 1 EXECUTIVE WORKFORCE KPIs]</w:t>
            </w:r>
          </w:p>
        </w:tc>
      </w:tr>
    </w:tbl>
    <w:p>
      <w:r>
        <w:t>Replace this placeholder with the corresponding screenshot from the running Streamlit dashboard.</w:t>
      </w:r>
    </w:p>
    <w:tbl>
      <w:tblPr>
        <w:tblW w:type="auto" w:w="0"/>
        <w:jc w:val="center"/>
        <w:tblLayout w:type="fixed"/>
        <w:tblLook w:firstColumn="1" w:firstRow="1" w:lastColumn="0" w:lastRow="0" w:noHBand="0" w:noVBand="1" w:val="04A0"/>
      </w:tblPr>
      <w:tblGrid>
        <w:gridCol w:w="9360"/>
      </w:tblGrid>
      <w:tr>
        <w:tc>
          <w:tcPr>
            <w:tcW w:type="dxa" w:w="9288"/>
            <w:shd w:fill="EDEDED"/>
            <w:tcBorders>
              <w:top w:val="single" w:sz="14" w:space="0" w:color="17365D"/>
              <w:left w:val="single" w:sz="14" w:space="0" w:color="17365D"/>
              <w:bottom w:val="single" w:sz="14" w:space="0" w:color="17365D"/>
              <w:right w:val="single" w:sz="14" w:space="0" w:color="17365D"/>
              <w:insideH w:val="single" w:sz="14" w:space="0" w:color="17365D"/>
              <w:insideV w:val="single" w:sz="14" w:space="0" w:color="17365D"/>
            </w:tcBorders>
            <w:vAlign w:val="center"/>
          </w:tcPr>
          <w:p>
            <w:pPr>
              <w:spacing w:before="700" w:after="700"/>
              <w:jc w:val="center"/>
            </w:pPr>
            <w:r/>
            <w:r>
              <w:rPr>
                <w:rFonts w:ascii="Times New Roman" w:hAnsi="Times New Roman"/>
                <w:b/>
                <w:color w:val="17365D"/>
                <w:sz w:val="24"/>
              </w:rPr>
              <w:t>[INSERT DASHBOARD SCREENSHOT 2: LEVEL 2 TENURE LIFECYCLE &amp; INCOME PROGRESSION TRENDS]</w:t>
            </w:r>
          </w:p>
        </w:tc>
      </w:tr>
    </w:tbl>
    <w:p>
      <w:r>
        <w:t>Replace this placeholder with the corresponding screenshot from the running Streamlit dashboard.</w:t>
      </w:r>
    </w:p>
    <w:p>
      <w:r>
        <w:br w:type="page"/>
      </w:r>
    </w:p>
    <w:p>
      <w:pPr>
        <w:pStyle w:val="Heading1"/>
        <w:keepNext/>
      </w:pPr>
      <w:r>
        <w:rPr>
          <w:rFonts w:ascii="Times New Roman" w:hAnsi="Times New Roman"/>
          <w:color w:val="17365D"/>
        </w:rPr>
        <w:t>Visual Evidence: Drivers, Risks &amp; Actions</w:t>
      </w:r>
    </w:p>
    <w:tbl>
      <w:tblPr>
        <w:tblW w:type="auto" w:w="0"/>
        <w:jc w:val="center"/>
        <w:tblLayout w:type="fixed"/>
        <w:tblLook w:firstColumn="1" w:firstRow="1" w:lastColumn="0" w:lastRow="0" w:noHBand="0" w:noVBand="1" w:val="04A0"/>
      </w:tblPr>
      <w:tblGrid>
        <w:gridCol w:w="9360"/>
      </w:tblGrid>
      <w:tr>
        <w:tc>
          <w:tcPr>
            <w:tcW w:type="dxa" w:w="9288"/>
            <w:shd w:fill="EDEDED"/>
            <w:tcBorders>
              <w:top w:val="single" w:sz="14" w:space="0" w:color="17365D"/>
              <w:left w:val="single" w:sz="14" w:space="0" w:color="17365D"/>
              <w:bottom w:val="single" w:sz="14" w:space="0" w:color="17365D"/>
              <w:right w:val="single" w:sz="14" w:space="0" w:color="17365D"/>
              <w:insideH w:val="single" w:sz="14" w:space="0" w:color="17365D"/>
              <w:insideV w:val="single" w:sz="14" w:space="0" w:color="17365D"/>
            </w:tcBorders>
            <w:vAlign w:val="center"/>
          </w:tcPr>
          <w:p>
            <w:pPr>
              <w:spacing w:before="700" w:after="700"/>
              <w:jc w:val="center"/>
            </w:pPr>
            <w:r/>
            <w:r>
              <w:rPr>
                <w:rFonts w:ascii="Times New Roman" w:hAnsi="Times New Roman"/>
                <w:b/>
                <w:color w:val="17365D"/>
                <w:sz w:val="24"/>
              </w:rPr>
              <w:t>[INSERT DASHBOARD SCREENSHOT 3: LEVEL 3 ATTRITION DRIVERS (OVERTIME &amp; JOB ROLES)]</w:t>
            </w:r>
          </w:p>
        </w:tc>
      </w:tr>
    </w:tbl>
    <w:p>
      <w:r>
        <w:t>Replace this placeholder with the corresponding screenshot from the running Streamlit dashboard.</w:t>
      </w:r>
    </w:p>
    <w:tbl>
      <w:tblPr>
        <w:tblW w:type="auto" w:w="0"/>
        <w:jc w:val="center"/>
        <w:tblLayout w:type="fixed"/>
        <w:tblLook w:firstColumn="1" w:firstRow="1" w:lastColumn="0" w:lastRow="0" w:noHBand="0" w:noVBand="1" w:val="04A0"/>
      </w:tblPr>
      <w:tblGrid>
        <w:gridCol w:w="9360"/>
      </w:tblGrid>
      <w:tr>
        <w:tc>
          <w:tcPr>
            <w:tcW w:type="dxa" w:w="9288"/>
            <w:shd w:fill="EDEDED"/>
            <w:tcBorders>
              <w:top w:val="single" w:sz="14" w:space="0" w:color="17365D"/>
              <w:left w:val="single" w:sz="14" w:space="0" w:color="17365D"/>
              <w:bottom w:val="single" w:sz="14" w:space="0" w:color="17365D"/>
              <w:right w:val="single" w:sz="14" w:space="0" w:color="17365D"/>
              <w:insideH w:val="single" w:sz="14" w:space="0" w:color="17365D"/>
              <w:insideV w:val="single" w:sz="14" w:space="0" w:color="17365D"/>
            </w:tcBorders>
            <w:vAlign w:val="center"/>
          </w:tcPr>
          <w:p>
            <w:pPr>
              <w:spacing w:before="700" w:after="700"/>
              <w:jc w:val="center"/>
            </w:pPr>
            <w:r/>
            <w:r>
              <w:rPr>
                <w:rFonts w:ascii="Times New Roman" w:hAnsi="Times New Roman"/>
                <w:b/>
                <w:color w:val="17365D"/>
                <w:sz w:val="24"/>
              </w:rPr>
              <w:t>[INSERT DASHBOARD SCREENSHOT 4: LEVEL 4 &amp; 5 RISKS, ML PERFORMANCE &amp; STRATEGIC ACTIONS]</w:t>
            </w:r>
          </w:p>
        </w:tc>
      </w:tr>
    </w:tbl>
    <w:p>
      <w:r>
        <w:t>Replace this placeholder with the corresponding screenshot from the running Streamlit dashboard.</w:t>
      </w:r>
    </w:p>
    <w:tbl>
      <w:tblPr>
        <w:tblW w:type="auto" w:w="0"/>
        <w:jc w:val="center"/>
        <w:tblLayout w:type="fixed"/>
        <w:tblLook w:firstColumn="1" w:firstRow="1" w:lastColumn="0" w:lastRow="0" w:noHBand="0" w:noVBand="1" w:val="04A0"/>
      </w:tblPr>
      <w:tblGrid>
        <w:gridCol w:w="9360"/>
      </w:tblGrid>
      <w:tr>
        <w:tc>
          <w:tcPr>
            <w:tcW w:type="dxa" w:w="9288"/>
            <w:shd w:fill="EAF0F7"/>
            <w:tcBorders>
              <w:top w:val="single" w:sz="12" w:space="0" w:color="17365D"/>
              <w:left w:val="single" w:sz="12" w:space="0" w:color="17365D"/>
              <w:bottom w:val="single" w:sz="12" w:space="0" w:color="17365D"/>
              <w:right w:val="single" w:sz="12" w:space="0" w:color="17365D"/>
              <w:insideH w:val="single" w:sz="12" w:space="0" w:color="17365D"/>
              <w:insideV w:val="single" w:sz="12" w:space="0" w:color="17365D"/>
            </w:tcBorders>
          </w:tcPr>
          <w:p>
            <w:pPr>
              <w:spacing w:after="80"/>
            </w:pPr>
            <w:r/>
            <w:r>
              <w:rPr>
                <w:rFonts w:ascii="Times New Roman" w:hAnsi="Times New Roman"/>
                <w:b/>
                <w:color w:val="17365D"/>
                <w:sz w:val="22"/>
              </w:rPr>
              <w:t>IN-APP REPORT EXPORT</w:t>
              <w:br/>
            </w:r>
            <w:r>
              <w:rPr>
                <w:rFonts w:ascii="Times New Roman" w:hAnsi="Times New Roman"/>
                <w:color w:val="44546A"/>
                <w:sz w:val="20"/>
              </w:rPr>
              <w:t>The Generate Report page produces a current-state PDF containing calculated KPIs, model metrics, and methodological notes. This Word report is the manually authored capstone narrative; the PDF is the live dashboard-state export.</w:t>
            </w:r>
          </w:p>
        </w:tc>
      </w:tr>
    </w:tbl>
    <w:p>
      <w:pPr>
        <w:spacing w:after="40"/>
      </w:pPr>
    </w:p>
    <w:p>
      <w:r>
        <w:br w:type="page"/>
      </w:r>
    </w:p>
    <w:p>
      <w:pPr>
        <w:pStyle w:val="Heading1"/>
        <w:keepNext/>
      </w:pPr>
      <w:r>
        <w:rPr>
          <w:rFonts w:ascii="Times New Roman" w:hAnsi="Times New Roman"/>
          <w:color w:val="17365D"/>
        </w:rPr>
        <w:t>Strategic HR Recommendations &amp; Prioritized Action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448"/>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Initiative</w:t>
            </w:r>
          </w:p>
        </w:tc>
        <w:tc>
          <w:tcPr>
            <w:tcW w:type="dxa" w:w="2088"/>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Target driver</w:t>
            </w:r>
          </w:p>
        </w:tc>
        <w:tc>
          <w:tcPr>
            <w:tcW w:type="dxa" w:w="3240"/>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Expected HR impact</w:t>
            </w:r>
          </w:p>
        </w:tc>
        <w:tc>
          <w:tcPr>
            <w:tcW w:type="dxa" w:w="1584"/>
            <w:shd w:fill="17365D"/>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color w:val="FFFFFF"/>
                <w:sz w:val="18"/>
              </w:rPr>
              <w:t>Timeline</w:t>
            </w:r>
          </w:p>
        </w:tc>
      </w:tr>
      <w:tr>
        <w:tc>
          <w:tcPr>
            <w:tcW w:type="dxa" w:w="2448"/>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Overtime workload caps and recovery-time alerts</w:t>
            </w:r>
          </w:p>
        </w:tc>
        <w:tc>
          <w:tcPr>
            <w:tcW w:type="dxa" w:w="2088"/>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30.5% overtime-group attrition</w:t>
            </w:r>
          </w:p>
        </w:tc>
        <w:tc>
          <w:tcPr>
            <w:tcW w:type="dxa" w:w="3240"/>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Reduce sustained workload pressure and improve manager visibility.</w:t>
            </w:r>
          </w:p>
        </w:tc>
        <w:tc>
          <w:tcPr>
            <w:tcW w:type="dxa" w:w="1584"/>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0-90 days pilot; quarterly review</w:t>
            </w:r>
          </w:p>
        </w:tc>
      </w:tr>
      <w:tr>
        <w:tc>
          <w:tcPr>
            <w:tcW w:type="dxa" w:w="2448"/>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Sales Representative coaching and career paths</w:t>
            </w:r>
          </w:p>
        </w:tc>
        <w:tc>
          <w:tcPr>
            <w:tcW w:type="dxa" w:w="2088"/>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39.8% role turnover</w:t>
            </w:r>
          </w:p>
        </w:tc>
        <w:tc>
          <w:tcPr>
            <w:tcW w:type="dxa" w:w="3240"/>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Improve role confidence, progression clarity, and manager support.</w:t>
            </w:r>
          </w:p>
        </w:tc>
        <w:tc>
          <w:tcPr>
            <w:tcW w:type="dxa" w:w="1584"/>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30-120 days</w:t>
            </w:r>
          </w:p>
        </w:tc>
      </w:tr>
      <w:tr>
        <w:tc>
          <w:tcPr>
            <w:tcW w:type="dxa" w:w="2448"/>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30/90/180-day onboarding check-ins</w:t>
            </w:r>
          </w:p>
        </w:tc>
        <w:tc>
          <w:tcPr>
            <w:tcW w:type="dxa" w:w="2088"/>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34.9% early-tenure churn</w:t>
            </w:r>
          </w:p>
        </w:tc>
        <w:tc>
          <w:tcPr>
            <w:tcW w:type="dxa" w:w="3240"/>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Detect adjustment barriers before first-year attrition becomes irreversible.</w:t>
            </w:r>
          </w:p>
        </w:tc>
        <w:tc>
          <w:tcPr>
            <w:tcW w:type="dxa" w:w="1584"/>
            <w:shd w:fill="E7F2F0"/>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Start immediately; monthly cohort review</w:t>
            </w:r>
          </w:p>
        </w:tc>
      </w:tr>
      <w:tr>
        <w:tc>
          <w:tcPr>
            <w:tcW w:type="dxa" w:w="2448"/>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Human-in-the-loop ML risk review</w:t>
            </w:r>
          </w:p>
        </w:tc>
        <w:tc>
          <w:tcPr>
            <w:tcW w:type="dxa" w:w="2088"/>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F1 0.522 at threshold 0.220</w:t>
            </w:r>
          </w:p>
        </w:tc>
        <w:tc>
          <w:tcPr>
            <w:tcW w:type="dxa" w:w="3240"/>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Prioritise supportive conversations while protecting against automated decisions.</w:t>
            </w:r>
          </w:p>
        </w:tc>
        <w:tc>
          <w:tcPr>
            <w:tcW w:type="dxa" w:w="1584"/>
            <w:shd w:fill="FFFFFF"/>
            <w:tcBorders>
              <w:top w:val="single" w:sz="8" w:space="0" w:color="9AA9B8"/>
              <w:left w:val="single" w:sz="8" w:space="0" w:color="9AA9B8"/>
              <w:bottom w:val="single" w:sz="8" w:space="0" w:color="9AA9B8"/>
              <w:right w:val="single" w:sz="8" w:space="0" w:color="9AA9B8"/>
              <w:insideH w:val="single" w:sz="8" w:space="0" w:color="9AA9B8"/>
              <w:insideV w:val="single" w:sz="8" w:space="0" w:color="9AA9B8"/>
            </w:tcBorders>
            <w:vAlign w:val="center"/>
          </w:tcPr>
          <w:p>
            <w:pPr>
              <w:spacing w:after="0"/>
            </w:pPr>
            <w:r/>
            <w:r>
              <w:rPr>
                <w:rFonts w:ascii="Times New Roman" w:hAnsi="Times New Roman"/>
                <w:b w:val="0"/>
                <w:color w:val="17365D"/>
                <w:sz w:val="18"/>
              </w:rPr>
              <w:t>Design in 30 days; audit quarterly</w:t>
            </w:r>
          </w:p>
        </w:tc>
      </w:tr>
    </w:tbl>
    <w:p>
      <w:pPr>
        <w:spacing w:after="20"/>
      </w:pPr>
    </w:p>
    <w:p>
      <w:pPr>
        <w:pStyle w:val="Heading2"/>
        <w:keepNext/>
      </w:pPr>
      <w:r>
        <w:rPr>
          <w:rFonts w:ascii="Times New Roman" w:hAnsi="Times New Roman"/>
          <w:color w:val="44546A"/>
        </w:rPr>
        <w:t>Technical learning outcomes</w:t>
      </w:r>
    </w:p>
    <w:p>
      <w:pPr>
        <w:pStyle w:val="ListBullet"/>
        <w:spacing w:line="276" w:lineRule="auto" w:after="80"/>
      </w:pPr>
      <w:r>
        <w:rPr>
          <w:rFonts w:ascii="Times New Roman" w:hAnsi="Times New Roman"/>
          <w:sz w:val="24"/>
        </w:rPr>
        <w:t>pandas: reproducible cleaning, ordered categorical variables, grouped metrics, and feature-frame construction.</w:t>
      </w:r>
    </w:p>
    <w:p>
      <w:pPr>
        <w:pStyle w:val="ListBullet"/>
        <w:spacing w:line="276" w:lineRule="auto" w:after="80"/>
      </w:pPr>
      <w:r>
        <w:rPr>
          <w:rFonts w:ascii="Times New Roman" w:hAnsi="Times New Roman"/>
          <w:sz w:val="24"/>
        </w:rPr>
        <w:t>Streamlit: cached data and resource functions, multi-level navigation, Plotly integration, formatted dataframes, and PDF download flow.</w:t>
      </w:r>
    </w:p>
    <w:p>
      <w:pPr>
        <w:pStyle w:val="ListBullet"/>
        <w:spacing w:line="276" w:lineRule="auto" w:after="80"/>
      </w:pPr>
      <w:r>
        <w:rPr>
          <w:rFonts w:ascii="Times New Roman" w:hAnsi="Times New Roman"/>
          <w:sz w:val="24"/>
        </w:rPr>
        <w:t>Plotly: high-contrast chart configuration, readable legends, data labels, and chronological categorical axes.</w:t>
      </w:r>
    </w:p>
    <w:p>
      <w:pPr>
        <w:pStyle w:val="ListBullet"/>
        <w:spacing w:line="276" w:lineRule="auto" w:after="80"/>
      </w:pPr>
      <w:r>
        <w:rPr>
          <w:rFonts w:ascii="Times New Roman" w:hAnsi="Times New Roman"/>
          <w:sz w:val="24"/>
        </w:rPr>
        <w:t>scikit-learn: preprocessing pipelines, class-balanced modelling, GridSearchCV, cross-validation, threshold tuning, permutation importance, and KMeans.</w:t>
      </w:r>
    </w:p>
    <w:p>
      <w:pPr>
        <w:pStyle w:val="ListBullet"/>
        <w:spacing w:line="276" w:lineRule="auto" w:after="80"/>
      </w:pPr>
      <w:r>
        <w:rPr>
          <w:rFonts w:ascii="Times New Roman" w:hAnsi="Times New Roman"/>
          <w:sz w:val="24"/>
        </w:rPr>
        <w:t>python-docx: structured report generation, professional styles, tables, borders, shaded callouts, screenshot placeholders, and page fields.</w:t>
      </w:r>
    </w:p>
    <w:p>
      <w:pPr>
        <w:pStyle w:val="Heading2"/>
        <w:keepNext/>
      </w:pPr>
      <w:r>
        <w:rPr>
          <w:rFonts w:ascii="Times New Roman" w:hAnsi="Times New Roman"/>
          <w:color w:val="44546A"/>
        </w:rPr>
        <w:t>Formal references</w:t>
      </w:r>
    </w:p>
    <w:p>
      <w:pPr>
        <w:spacing w:line="276" w:lineRule="auto" w:after="140"/>
      </w:pPr>
      <w:r>
        <w:rPr>
          <w:rFonts w:ascii="Times New Roman" w:hAnsi="Times New Roman"/>
          <w:sz w:val="24"/>
        </w:rPr>
        <w:t>1. Pavan Subhasht. IBM HR Analytics Employee Attrition &amp; Performance Dataset. Kaggle. https://www.kaggle.com/datasets/pavansubhasht/ibm-hr-analytics-attrition-dataset</w:t>
      </w:r>
    </w:p>
    <w:p>
      <w:pPr>
        <w:spacing w:line="276" w:lineRule="auto" w:after="140"/>
      </w:pPr>
      <w:r>
        <w:rPr>
          <w:rFonts w:ascii="Times New Roman" w:hAnsi="Times New Roman"/>
          <w:sz w:val="24"/>
        </w:rPr>
        <w:t>2. IBM SkillsBuild. Data Analytics with AI Internship learning resources, 2026. IBM SkillsBuild in collaboration with BharatCares / CSRBOX.</w:t>
      </w:r>
    </w:p>
    <w:p>
      <w:pPr>
        <w:spacing w:line="276" w:lineRule="auto" w:after="140"/>
      </w:pPr>
      <w:r>
        <w:rPr>
          <w:rFonts w:ascii="Times New Roman" w:hAnsi="Times New Roman"/>
          <w:sz w:val="24"/>
        </w:rPr>
        <w:t>3. Pedregosa, F. et al. Scikit-learn: Machine Learning in Python. Journal of Machine Learning Research, 12, 2825-2830, 2011.</w:t>
      </w:r>
    </w:p>
    <w:p>
      <w:pPr>
        <w:spacing w:line="276" w:lineRule="auto" w:after="140"/>
      </w:pPr>
      <w:r>
        <w:rPr>
          <w:rFonts w:ascii="Times New Roman" w:hAnsi="Times New Roman"/>
          <w:sz w:val="24"/>
        </w:rPr>
        <w:t>4. McKinney, W. Python for Data Analysis. O'Reilly Media.</w:t>
      </w:r>
    </w:p>
    <w:p>
      <w:pPr>
        <w:spacing w:line="276" w:lineRule="auto" w:after="140"/>
      </w:pPr>
      <w:r>
        <w:rPr>
          <w:rFonts w:ascii="Times New Roman" w:hAnsi="Times New Roman"/>
          <w:sz w:val="24"/>
        </w:rPr>
        <w:t>5. Streamlit, Plotly, KaggleHub, ReportLab, and python-docx official documentation.</w:t>
      </w:r>
    </w:p>
    <w:tbl>
      <w:tblPr>
        <w:tblW w:type="auto" w:w="0"/>
        <w:jc w:val="center"/>
        <w:tblLayout w:type="fixed"/>
        <w:tblLook w:firstColumn="1" w:firstRow="1" w:lastColumn="0" w:lastRow="0" w:noHBand="0" w:noVBand="1" w:val="04A0"/>
      </w:tblPr>
      <w:tblGrid>
        <w:gridCol w:w="9360"/>
      </w:tblGrid>
      <w:tr>
        <w:tc>
          <w:tcPr>
            <w:tcW w:type="dxa" w:w="9288"/>
            <w:shd w:fill="E7F2F0"/>
            <w:tcBorders>
              <w:top w:val="single" w:sz="12" w:space="0" w:color="17365D"/>
              <w:left w:val="single" w:sz="12" w:space="0" w:color="17365D"/>
              <w:bottom w:val="single" w:sz="12" w:space="0" w:color="17365D"/>
              <w:right w:val="single" w:sz="12" w:space="0" w:color="17365D"/>
              <w:insideH w:val="single" w:sz="12" w:space="0" w:color="17365D"/>
              <w:insideV w:val="single" w:sz="12" w:space="0" w:color="17365D"/>
            </w:tcBorders>
          </w:tcPr>
          <w:p>
            <w:pPr>
              <w:spacing w:after="80"/>
            </w:pPr>
            <w:r/>
            <w:r>
              <w:rPr>
                <w:rFonts w:ascii="Times New Roman" w:hAnsi="Times New Roman"/>
                <w:b/>
                <w:color w:val="17365D"/>
                <w:sz w:val="22"/>
              </w:rPr>
              <w:t>CONCLUSION</w:t>
              <w:br/>
            </w:r>
            <w:r>
              <w:rPr>
                <w:rFonts w:ascii="Times New Roman" w:hAnsi="Times New Roman"/>
                <w:color w:val="44546A"/>
                <w:sz w:val="20"/>
              </w:rPr>
              <w:t>People Signals demonstrates how a compact, production-minded analytics application can move from workforce facts to defensible HR action. Its strongest contribution is the connection between measurable signals, transparent model trade-offs, and human-led retention planning.</w:t>
            </w:r>
          </w:p>
        </w:tc>
      </w:tr>
    </w:tbl>
    <w:p>
      <w:pPr>
        <w:spacing w:after="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4546A"/>
        <w:sz w:val="18"/>
      </w:rPr>
      <w:t xml:space="preserve">People Signals: IBM HR Analytics Platform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Times New Roman" w:hAnsi="Times New Roman"/>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b/>
      <w:bCs/>
      <w:color w:val="44546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b w:val="0"/>
      <w:i/>
      <w:iCs/>
      <w:color w:val="4454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