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b/>
          <w:color w:val="000000"/>
          <w:sz w:val="19"/>
        </w:rPr>
        <w:t>REVIEW ARTICLE • SYSTEMATIC LITERATURE REVIEW (PRISMA 2020)</w:t>
      </w:r>
    </w:p>
    <w:p>
      <w:pPr>
        <w:spacing w:before="80" w:after="240"/>
        <w:jc w:val="center"/>
      </w:pPr>
      <w:r>
        <w:rPr>
          <w:rFonts w:ascii="Times New Roman" w:hAnsi="Times New Roman"/>
          <w:b/>
          <w:color w:val="000000"/>
          <w:sz w:val="32"/>
        </w:rPr>
        <w:t>A Systematic Review of Blockchain and Smart Contract Architectures for Academic Credential Verification: Cryptographic Standards, Performance Trade-offs, and Regulatory Data Protection</w:t>
      </w:r>
    </w:p>
    <w:p>
      <w:pPr>
        <w:spacing w:before="80" w:after="80"/>
        <w:jc w:val="center"/>
      </w:pPr>
      <w:r>
        <w:rPr>
          <w:rFonts w:ascii="Times New Roman" w:hAnsi="Times New Roman"/>
          <w:b/>
          <w:color w:val="000000"/>
          <w:sz w:val="24"/>
        </w:rPr>
        <w:t>Himanshu Garg, Manthan Patil, Vaishnavi Mali, and Dr. Srikanth Pullipeti</w:t>
      </w:r>
    </w:p>
    <w:p>
      <w:pPr>
        <w:spacing w:before="0" w:after="280" w:line="276" w:lineRule="auto"/>
        <w:jc w:val="center"/>
      </w:pPr>
      <w:r>
        <w:rPr>
          <w:rFonts w:ascii="Times New Roman" w:hAnsi="Times New Roman"/>
          <w:color w:val="000000"/>
          <w:sz w:val="19"/>
        </w:rPr>
        <w:t>Department of Computer Science &amp; Engineering</w:t>
        <w:br/>
        <w:t>Mukesh Patel School of Technology Management &amp; Engineering (MPSTME)</w:t>
        <w:br/>
        <w:t>SVKM's NMIMS (Deemed-to-be University), Shirpur Campus, Maharashtra, India</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360"/>
      </w:tblGrid>
      <w:tr>
        <w:tc>
          <w:tcPr>
            <w:tcW w:type="dxa" w:w="9360"/>
            <w:shd w:val="clear" w:color="auto" w:fill="F9F9F9"/>
            <w:tcMar>
              <w:top w:w="120" w:type="dxa"/>
              <w:bottom w:w="120" w:type="dxa"/>
              <w:left w:w="150" w:type="dxa"/>
              <w:right w:w="150" w:type="dxa"/>
            </w:tcMar>
          </w:tcPr>
          <w:p>
            <w:pPr>
              <w:spacing w:line="288" w:lineRule="auto"/>
              <w:jc w:val="both"/>
            </w:pPr>
            <w:r>
              <w:rPr>
                <w:rFonts w:ascii="Times New Roman" w:hAnsi="Times New Roman"/>
                <w:b/>
                <w:sz w:val="21"/>
              </w:rPr>
              <w:t>ABSTRACT</w:t>
              <w:br/>
            </w:r>
            <w:r>
              <w:rPr>
                <w:rFonts w:ascii="Times New Roman" w:hAnsi="Times New Roman"/>
                <w:sz w:val="19"/>
              </w:rPr>
              <w:t>Verifying academic degrees, marksheets, and transcripts in India and internationally remains slow, expensive, and surprisingly susceptible to fraud. When a corporate recruiter or foreign university needs to confirm an applicant's credentials, the inquiry usually winds through manual email or postal exchanges with university examination sections. The process routinely takes two to four weeks, costs recruitment agencies thousands of rupees per candidate, and still struggles to catch modern digital counterfeits created with desktop publishing tools and generative AI. While distributed ledgers and smart contracts have been proposed as trustless alternatives, existing research is scattered across isolated prototypes with little systematic comparison. Following the PRISMA 2020 systematic review protocol, we screened 1,142 candidate records across Scopus, Web of Science, IEEE Xplore, ACM Digital Library, and Google Scholar published between 2018 and 2026. After deduplication and formal eligibility filtering, 48 landmark studies were appraised using the Mixed Methods Appraisal Tool (MMAT) and synthesized into five architectural archetypes: (1) Pure On-Chain Storage, (2) Permissioned Consortium Ledgers like Hyperledger Fabric, (3) Tokenized Credentials including ERC-721 NFTs and Soulbound EIP-5192 tokens, (4) Hybrid Dual-Layer Storage using off-chain IPFS and on-chain SHA-256 hashes (the EduCred model), and (5) Self-Sovereign Identity (SSI) with zero-knowledge proofs. Our quantitative analysis shows that hybrid dual-layer designs resolve the gas cost vs. document size problem. They deliver constant-time O(1) verification in under 500 milliseconds with zero gas fees for verifiers and achieve a 23.8% gas reduction during batch issuance, while satisfying the NIST FIPS 180-4 Strict Avalanche Criterion (52.3% bit-flip sensitivity upon altering a single character). Crucially, we analyze how public blockchain immutability clashes with statutory data privacy mandates, specifically Section 8 of India's Digital Personal Data Protection (DPDP) Act 2023 and the GDPR 'Right to Erasure'. We show that keeping raw personally identifiable information (PII) off-chain and recording only 32-byte cryptographic hashes achieves full legal compliance. Finally, we formulate a tripartite governance framework covering architecture, data privacy, and university operational policy, paired with a 5-year campus adoption roadmap.</w:t>
            </w:r>
          </w:p>
          <w:p>
            <w:pPr>
              <w:spacing w:before="160" w:line="276" w:lineRule="auto"/>
            </w:pPr>
            <w:r>
              <w:rPr>
                <w:rFonts w:ascii="Times New Roman" w:hAnsi="Times New Roman"/>
                <w:b/>
                <w:sz w:val="19"/>
              </w:rPr>
              <w:t xml:space="preserve">Keywords: </w:t>
            </w:r>
            <w:r>
              <w:rPr>
                <w:rFonts w:ascii="Times New Roman" w:hAnsi="Times New Roman"/>
                <w:i/>
                <w:sz w:val="19"/>
              </w:rPr>
              <w:t>Academic Credential Verification; Blockchain in Higher Education; Smart Contracts; Systematic Literature Review; PRISMA 2020; EVM Gas Telemetry; IPFS Content Addressing; Digital Personal Data Protection (DPDP) Act 2023; Strict Avalanche Criterion.</w:t>
            </w:r>
          </w:p>
        </w:tc>
      </w:tr>
    </w:tbl>
    <w:p>
      <w:pPr>
        <w:keepNext/>
        <w:spacing w:before="320" w:after="120"/>
      </w:pPr>
      <w:r>
        <w:rPr>
          <w:rFonts w:ascii="Times New Roman" w:hAnsi="Times New Roman"/>
          <w:b/>
          <w:color w:val="000000"/>
          <w:sz w:val="28"/>
        </w:rPr>
        <w:t>1. Introduction</w:t>
      </w:r>
    </w:p>
    <w:p>
      <w:pPr>
        <w:keepNext/>
        <w:spacing w:before="240" w:after="80"/>
      </w:pPr>
      <w:r>
        <w:rPr>
          <w:rFonts w:ascii="Times New Roman" w:hAnsi="Times New Roman"/>
          <w:b/>
          <w:color w:val="000000"/>
          <w:sz w:val="24"/>
        </w:rPr>
        <w:t>1.1. The Background of Academic Credential Fraud</w:t>
      </w:r>
    </w:p>
    <w:p>
      <w:pPr>
        <w:spacing w:line="360" w:lineRule="auto" w:before="0" w:after="0"/>
        <w:jc w:val="both"/>
        <w:contextualSpacing/>
      </w:pPr>
      <w:r>
        <w:rPr>
          <w:rFonts w:ascii="Times New Roman" w:hAnsi="Times New Roman"/>
          <w:i w:val="0"/>
          <w:color w:val="000000"/>
          <w:sz w:val="22"/>
        </w:rPr>
        <w:t>Academic degrees, diplomas, and grade cards represent years of student effort and form the basis of hiring, civil services, and higher study admissions worldwide. In India alone, over 40 million students are currently enrolled across 1,100 universities and 45,000 colleges. Yet, verifying whether a degree certificate is genuine remains slow and surprisingly vulnerable to fraud.</w:t>
      </w:r>
    </w:p>
    <w:p>
      <w:pPr>
        <w:spacing w:line="360" w:lineRule="auto" w:before="0" w:after="0"/>
        <w:jc w:val="both"/>
        <w:contextualSpacing/>
      </w:pPr>
      <w:r>
        <w:rPr>
          <w:rFonts w:ascii="Times New Roman" w:hAnsi="Times New Roman"/>
          <w:i w:val="0"/>
          <w:color w:val="000000"/>
          <w:sz w:val="22"/>
        </w:rPr>
        <w:t>Decades ago, universities depended on physical anti-counterfeit measures—embossed seals, watermarked parchment, microtext, and ink signatures. As campuses moved to digital records, PDF marksheets became the default. Unfortunately, modern PDF editing tools and generative AI have made altering digital documents trivial. A dishonest applicant can alter a CGPA from 6.5 to 9.2, change a roll number, or fabricate an entire degree certificate in under ten minutes, often without leaving visible visual artifacts.</w:t>
      </w:r>
    </w:p>
    <w:p>
      <w:pPr>
        <w:spacing w:line="360" w:lineRule="auto" w:before="0" w:after="0"/>
        <w:jc w:val="both"/>
        <w:contextualSpacing/>
      </w:pPr>
      <w:r>
        <w:rPr>
          <w:rFonts w:ascii="Times New Roman" w:hAnsi="Times New Roman"/>
          <w:i w:val="0"/>
          <w:color w:val="000000"/>
          <w:sz w:val="22"/>
        </w:rPr>
        <w:t>Verifying these credentials through traditional routes is an administrative headache. When an employer wants to confirm an applicant's records, they usually mail or email the university's examination section. A clerk searches an internal database or physical files, drafts an endorsement, and sends it back. During peak campus recruitment, this round-trip takes anywhere from two to four weeks. Commercial verification agencies charge substantial fees per document, and centralized portals like DigiLocker or the National Academic Depository (NAD), while helpful in India, still depend on central server availability, private API keys, and single institutional databases.</w:t>
      </w:r>
    </w:p>
    <w:p>
      <w:pPr>
        <w:spacing w:line="360" w:lineRule="auto" w:before="0" w:after="0"/>
        <w:jc w:val="both"/>
        <w:contextualSpacing/>
      </w:pPr>
      <w:r>
        <w:rPr>
          <w:rFonts w:ascii="Times New Roman" w:hAnsi="Times New Roman"/>
          <w:i w:val="0"/>
          <w:color w:val="000000"/>
          <w:sz w:val="22"/>
        </w:rPr>
        <w:t>Blockchain technology and smart contracts offer a different path. By anchoring cryptographic proofs into a distributed ledger, universities can make verification instant, globally accessible, and mathematically tamper-proof without requiring manual registrar intervention for every query.</w:t>
      </w:r>
    </w:p>
    <w:p>
      <w:pPr>
        <w:keepNext/>
        <w:spacing w:before="240" w:after="80"/>
      </w:pPr>
      <w:r>
        <w:rPr>
          <w:rFonts w:ascii="Times New Roman" w:hAnsi="Times New Roman"/>
          <w:b/>
          <w:color w:val="000000"/>
          <w:sz w:val="24"/>
        </w:rPr>
        <w:t>1.2. Core Technical Concepts in Decentralized Credentialing</w:t>
      </w:r>
    </w:p>
    <w:p>
      <w:pPr>
        <w:spacing w:line="360" w:lineRule="auto" w:before="0" w:after="0"/>
        <w:jc w:val="both"/>
        <w:contextualSpacing/>
      </w:pPr>
      <w:r>
        <w:rPr>
          <w:rFonts w:ascii="Times New Roman" w:hAnsi="Times New Roman"/>
          <w:i w:val="0"/>
          <w:color w:val="000000"/>
          <w:sz w:val="22"/>
        </w:rPr>
        <w:t>To understand how these systems work, four core building blocks must be defined clearly:</w:t>
      </w:r>
    </w:p>
    <w:p>
      <w:pPr>
        <w:spacing w:line="360" w:lineRule="auto" w:before="0" w:after="0"/>
        <w:jc w:val="both"/>
        <w:contextualSpacing/>
      </w:pPr>
      <w:r>
        <w:rPr>
          <w:rFonts w:ascii="Times New Roman" w:hAnsi="Times New Roman"/>
          <w:b/>
          <w:color w:val="000000"/>
          <w:sz w:val="22"/>
        </w:rPr>
        <w:t xml:space="preserve">• </w:t>
      </w:r>
      <w:r>
        <w:rPr>
          <w:rFonts w:ascii="Times New Roman" w:hAnsi="Times New Roman"/>
          <w:i w:val="0"/>
          <w:color w:val="000000"/>
          <w:sz w:val="22"/>
        </w:rPr>
        <w:t>1. Preimage Resistance &amp; Hashing: Every credential document is passed through a cryptographic hash function (such as SHA-256 under NIST FIPS 180-4) to generate a fixed 32-byte digest. It is computationally impossible to reverse the hash back into the original document or to generate two different marksheets that yield the same hash.</w:t>
      </w:r>
    </w:p>
    <w:p>
      <w:pPr>
        <w:spacing w:line="360" w:lineRule="auto" w:before="0" w:after="0"/>
        <w:jc w:val="both"/>
        <w:contextualSpacing/>
      </w:pPr>
      <w:r>
        <w:rPr>
          <w:rFonts w:ascii="Times New Roman" w:hAnsi="Times New Roman"/>
          <w:b/>
          <w:color w:val="000000"/>
          <w:sz w:val="22"/>
        </w:rPr>
        <w:t xml:space="preserve">• </w:t>
      </w:r>
      <w:r>
        <w:rPr>
          <w:rFonts w:ascii="Times New Roman" w:hAnsi="Times New Roman"/>
          <w:i w:val="0"/>
          <w:color w:val="000000"/>
          <w:sz w:val="22"/>
        </w:rPr>
        <w:t>2. Smart Contract State Enforcement: Contract logic written in Solidity and deployed to the Ethereum Virtual Machine (EVM) governs who can issue or revoke credentials using Role-Based Access Control (RBAC). Once recorded, the state cannot be modified by any third party.</w:t>
      </w:r>
    </w:p>
    <w:p>
      <w:pPr>
        <w:spacing w:line="360" w:lineRule="auto" w:before="0" w:after="0"/>
        <w:jc w:val="both"/>
        <w:contextualSpacing/>
      </w:pPr>
      <w:r>
        <w:rPr>
          <w:rFonts w:ascii="Times New Roman" w:hAnsi="Times New Roman"/>
          <w:b/>
          <w:color w:val="000000"/>
          <w:sz w:val="22"/>
        </w:rPr>
        <w:t xml:space="preserve">• </w:t>
      </w:r>
      <w:r>
        <w:rPr>
          <w:rFonts w:ascii="Times New Roman" w:hAnsi="Times New Roman"/>
          <w:i w:val="0"/>
          <w:color w:val="000000"/>
          <w:sz w:val="22"/>
        </w:rPr>
        <w:t>3. Off-Chain Decentralized Storage: Storing large PDF files directly on Ethereum costs thousands of dollars in gas. Instead, files are pinned to the InterPlanetary File System (IPFS) using Content Identifiers (CIDs) derived from file contents.</w:t>
      </w:r>
    </w:p>
    <w:p>
      <w:pPr>
        <w:spacing w:line="360" w:lineRule="auto" w:before="0" w:after="0"/>
        <w:jc w:val="both"/>
        <w:contextualSpacing/>
      </w:pPr>
      <w:r>
        <w:rPr>
          <w:rFonts w:ascii="Times New Roman" w:hAnsi="Times New Roman"/>
          <w:b/>
          <w:color w:val="000000"/>
          <w:sz w:val="22"/>
        </w:rPr>
        <w:t xml:space="preserve">• </w:t>
      </w:r>
      <w:r>
        <w:rPr>
          <w:rFonts w:ascii="Times New Roman" w:hAnsi="Times New Roman"/>
          <w:i w:val="0"/>
          <w:color w:val="000000"/>
          <w:sz w:val="22"/>
        </w:rPr>
        <w:t>4. Zero-Cost Public Verification: Smart contract functions marked with the 'view' modifier can be queried by employers for free without paying gas fees or requiring a cryptocurrency wallet.</w:t>
      </w:r>
    </w:p>
    <w:p>
      <w:pPr>
        <w:keepNext/>
        <w:spacing w:before="160" w:after="40"/>
        <w:jc w:val="left"/>
      </w:pPr>
      <w:r>
        <w:rPr>
          <w:rFonts w:ascii="Times New Roman" w:hAnsi="Times New Roman"/>
          <w:b/>
          <w:color w:val="000000"/>
          <w:sz w:val="19"/>
        </w:rPr>
        <w:t>Table 1: Comparison of traditional registrar verification, centralized DigiLocker, and EduCred blockchain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Evaluation Metric</w:t>
            </w:r>
          </w:p>
        </w:tc>
        <w:tc>
          <w:tcPr>
            <w:tcW w:type="dxa" w:w="234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Traditional University Registrar</w:t>
            </w:r>
          </w:p>
        </w:tc>
        <w:tc>
          <w:tcPr>
            <w:tcW w:type="dxa" w:w="234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Centralized PKI (DigiLocker / NAD)</w:t>
            </w:r>
          </w:p>
        </w:tc>
        <w:tc>
          <w:tcPr>
            <w:tcW w:type="dxa" w:w="234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EduCred Blockchain Framework</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System Architecture</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Central SQL database &amp; paper archives</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Centralized cloud servers &amp; PKI signatures</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Decentralized EVM contract &amp; IPFS storage</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Verification Turnaround</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14 to 30 business days (postal / email)</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 to 5 seconds (dependent on cloud uptime)</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&lt; 500 ms (constant-time O(1) query)</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Verifier Cost</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High ($15 - $50 commercial agency fee)</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Zero (subsidized by government)</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0 GAS (100% free Solidity static view)</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Single Point of Failure</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Critical (server crash, office fire, flood)</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Moderate (cloud outages, DNS hijack)</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None (distributed across thousands of nodes)</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Insider Tamper Risk</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High (corrupt admin can edit database)</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Moderate (internal admin access / key leaks)</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Zero (tamper-proof smart contract immutability)</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Storage Efficiency</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Constrained by local disks &amp; physical filing</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High cloud storage tiers</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Optimal (32 bytes on-chain; PDF on IPFS)</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Revocation Audit Trail</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Manual deletion; unrecorded paper recall</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API flag update (no public log)</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Non-destructive flag with block timestamp</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DPDP Act 2023 Compliance</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High leak risk during postal/email transit</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Central storage of cleartext student PII</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100% compliant: zero cleartext PII on-chain</w:t>
            </w:r>
          </w:p>
        </w:tc>
      </w:tr>
    </w:tbl>
    <w:p>
      <w:pPr>
        <w:keepNext/>
        <w:spacing w:before="240" w:after="80"/>
      </w:pPr>
      <w:r>
        <w:rPr>
          <w:rFonts w:ascii="Times New Roman" w:hAnsi="Times New Roman"/>
          <w:b/>
          <w:color w:val="000000"/>
          <w:sz w:val="24"/>
        </w:rPr>
        <w:t>1.3. Research Gap and Motivation</w:t>
      </w:r>
    </w:p>
    <w:p>
      <w:pPr>
        <w:spacing w:line="360" w:lineRule="auto" w:before="0" w:after="0"/>
        <w:jc w:val="both"/>
        <w:contextualSpacing/>
      </w:pPr>
      <w:r>
        <w:rPr>
          <w:rFonts w:ascii="Times New Roman" w:hAnsi="Times New Roman"/>
          <w:i w:val="0"/>
          <w:color w:val="000000"/>
          <w:sz w:val="22"/>
        </w:rPr>
        <w:t>Most existing academic surveys on blockchain either focus on high-level educational theories or explore isolated toy prototypes that cannot scale to real university workloads. They rarely evaluate the practical cost of EVM gas, semester batch processing workflows, or the critical conflict between blockchain's permanent immutability and modern data protection laws. This review fills that gap directly. Following the systematic methodology demonstrated by Simon Baradziej (2026) in Elsevier's Social Sciences &amp; Humanities Open, we examine 48 peer-reviewed studies to benchmark architectures, measure real gas costs, test cryptographic tamper sensitivity, and formulate a regulatory compliance model under India's DPDP Act 2023.</w:t>
      </w:r>
    </w:p>
    <w:p>
      <w:pPr>
        <w:keepNext/>
        <w:spacing w:before="240" w:after="80"/>
      </w:pPr>
      <w:r>
        <w:rPr>
          <w:rFonts w:ascii="Times New Roman" w:hAnsi="Times New Roman"/>
          <w:b/>
          <w:color w:val="000000"/>
          <w:sz w:val="24"/>
        </w:rPr>
        <w:t>1.4. Research Questions</w:t>
      </w:r>
    </w:p>
    <w:p>
      <w:pPr>
        <w:spacing w:line="360" w:lineRule="auto" w:before="0" w:after="0"/>
        <w:jc w:val="both"/>
        <w:contextualSpacing/>
      </w:pPr>
      <w:r>
        <w:rPr>
          <w:rFonts w:ascii="Times New Roman" w:hAnsi="Times New Roman"/>
          <w:i w:val="0"/>
          <w:color w:val="000000"/>
          <w:sz w:val="22"/>
        </w:rPr>
        <w:t>We structured our systematic investigation around four specific research questions:</w:t>
      </w:r>
    </w:p>
    <w:p>
      <w:pPr>
        <w:spacing w:line="360" w:lineRule="auto" w:before="0" w:after="0"/>
        <w:jc w:val="both"/>
        <w:contextualSpacing/>
      </w:pPr>
      <w:r>
        <w:rPr>
          <w:rFonts w:ascii="Times New Roman" w:hAnsi="Times New Roman"/>
          <w:b/>
          <w:color w:val="000000"/>
          <w:sz w:val="22"/>
        </w:rPr>
        <w:t xml:space="preserve">RQ1 (Architectures): </w:t>
      </w:r>
      <w:r>
        <w:rPr>
          <w:rFonts w:ascii="Times New Roman" w:hAnsi="Times New Roman"/>
          <w:i w:val="0"/>
          <w:color w:val="000000"/>
          <w:sz w:val="22"/>
        </w:rPr>
        <w:t>What decentralized system architectures and ledger designs have been developed for academic credential verification in higher education?</w:t>
      </w:r>
    </w:p>
    <w:p>
      <w:pPr>
        <w:spacing w:line="360" w:lineRule="auto" w:before="0" w:after="0"/>
        <w:jc w:val="both"/>
        <w:contextualSpacing/>
      </w:pPr>
      <w:r>
        <w:rPr>
          <w:rFonts w:ascii="Times New Roman" w:hAnsi="Times New Roman"/>
          <w:b/>
          <w:color w:val="000000"/>
          <w:sz w:val="22"/>
        </w:rPr>
        <w:t xml:space="preserve">RQ2 (Cryptography): </w:t>
      </w:r>
      <w:r>
        <w:rPr>
          <w:rFonts w:ascii="Times New Roman" w:hAnsi="Times New Roman"/>
          <w:i w:val="0"/>
          <w:color w:val="000000"/>
          <w:sz w:val="22"/>
        </w:rPr>
        <w:t>What cryptographic primitives, hashing standards, and tamper-detection mechanisms are used to guarantee credential authenticity?</w:t>
      </w:r>
    </w:p>
    <w:p>
      <w:pPr>
        <w:spacing w:line="360" w:lineRule="auto" w:before="0" w:after="0"/>
        <w:jc w:val="both"/>
        <w:contextualSpacing/>
      </w:pPr>
      <w:r>
        <w:rPr>
          <w:rFonts w:ascii="Times New Roman" w:hAnsi="Times New Roman"/>
          <w:b/>
          <w:color w:val="000000"/>
          <w:sz w:val="22"/>
        </w:rPr>
        <w:t xml:space="preserve">RQ3 (Performance): </w:t>
      </w:r>
      <w:r>
        <w:rPr>
          <w:rFonts w:ascii="Times New Roman" w:hAnsi="Times New Roman"/>
          <w:i w:val="0"/>
          <w:color w:val="000000"/>
          <w:sz w:val="22"/>
        </w:rPr>
        <w:t>What are the empirical gas consumption costs, verification latency metrics, and storage trade-offs across different blockchain designs?</w:t>
      </w:r>
    </w:p>
    <w:p>
      <w:pPr>
        <w:spacing w:line="360" w:lineRule="auto" w:before="0" w:after="0"/>
        <w:jc w:val="both"/>
        <w:contextualSpacing/>
      </w:pPr>
      <w:r>
        <w:rPr>
          <w:rFonts w:ascii="Times New Roman" w:hAnsi="Times New Roman"/>
          <w:b/>
          <w:color w:val="000000"/>
          <w:sz w:val="22"/>
        </w:rPr>
        <w:t xml:space="preserve">RQ4 (Privacy &amp; Law): </w:t>
      </w:r>
      <w:r>
        <w:rPr>
          <w:rFonts w:ascii="Times New Roman" w:hAnsi="Times New Roman"/>
          <w:i w:val="0"/>
          <w:color w:val="000000"/>
          <w:sz w:val="22"/>
        </w:rPr>
        <w:t>How do decentralized credential architectures reconcile blockchain immutability with statutory privacy rights (specifically India's DPDP Act 2023 and GDPR)?</w:t>
      </w:r>
    </w:p>
    <w:p>
      <w:pPr>
        <w:keepNext/>
        <w:spacing w:before="320" w:after="120"/>
      </w:pPr>
      <w:r>
        <w:rPr>
          <w:rFonts w:ascii="Times New Roman" w:hAnsi="Times New Roman"/>
          <w:b/>
          <w:color w:val="000000"/>
          <w:sz w:val="28"/>
        </w:rPr>
        <w:t>2. Methodology</w:t>
      </w:r>
    </w:p>
    <w:p>
      <w:pPr>
        <w:keepNext/>
        <w:spacing w:before="240" w:after="80"/>
      </w:pPr>
      <w:r>
        <w:rPr>
          <w:rFonts w:ascii="Times New Roman" w:hAnsi="Times New Roman"/>
          <w:b/>
          <w:color w:val="000000"/>
          <w:sz w:val="24"/>
        </w:rPr>
        <w:t>2.1. PRISMA 2020 Review Protocol</w:t>
      </w:r>
    </w:p>
    <w:p>
      <w:pPr>
        <w:spacing w:line="360" w:lineRule="auto" w:before="0" w:after="0"/>
        <w:jc w:val="both"/>
        <w:contextualSpacing/>
      </w:pPr>
      <w:r>
        <w:rPr>
          <w:rFonts w:ascii="Times New Roman" w:hAnsi="Times New Roman"/>
          <w:i w:val="0"/>
          <w:color w:val="000000"/>
          <w:sz w:val="22"/>
        </w:rPr>
        <w:t>We conducted this review following the Preferred Reporting Items for Systematic Reviews and Meta-Analyses (PRISMA 2020) guidelines. Our review protocol defined the multi-database search strings, inclusion and exclusion thresholds, screening workflow, and quality appraisal metrics prior to data collection.</w:t>
      </w:r>
    </w:p>
    <w:p>
      <w:pPr>
        <w:keepNext/>
        <w:spacing w:before="240" w:after="80"/>
      </w:pPr>
      <w:r>
        <w:rPr>
          <w:rFonts w:ascii="Times New Roman" w:hAnsi="Times New Roman"/>
          <w:b/>
          <w:color w:val="000000"/>
          <w:sz w:val="24"/>
        </w:rPr>
        <w:t>2.2. Search Strategy and Databases</w:t>
      </w:r>
    </w:p>
    <w:p>
      <w:pPr>
        <w:spacing w:line="360" w:lineRule="auto" w:before="0" w:after="0"/>
        <w:jc w:val="both"/>
        <w:contextualSpacing/>
      </w:pPr>
      <w:r>
        <w:rPr>
          <w:rFonts w:ascii="Times New Roman" w:hAnsi="Times New Roman"/>
          <w:i w:val="0"/>
          <w:color w:val="000000"/>
          <w:sz w:val="22"/>
        </w:rPr>
        <w:t>To capture literature across both computer science and educational technology, we searched five major academic indexing databases: Scopus, Web of Science, IEEE Xplore, ACM Digital Library, and Google Scholar. The search covered peer-reviewed articles published between January 2018 and March 2026.</w:t>
      </w:r>
    </w:p>
    <w:p>
      <w:pPr>
        <w:spacing w:line="360" w:lineRule="auto" w:before="0" w:after="0"/>
        <w:jc w:val="both"/>
        <w:contextualSpacing/>
      </w:pPr>
      <w:r>
        <w:rPr>
          <w:rFonts w:ascii="Times New Roman" w:hAnsi="Times New Roman"/>
          <w:i w:val="0"/>
          <w:color w:val="000000"/>
          <w:sz w:val="22"/>
        </w:rPr>
        <w:t>We executed the following Boolean search string across all five repositories:</w:t>
      </w:r>
    </w:p>
    <w:p>
      <w:pPr>
        <w:spacing w:line="360" w:lineRule="auto" w:before="0" w:after="0"/>
        <w:jc w:val="both"/>
        <w:contextualSpacing/>
      </w:pPr>
      <w:r>
        <w:rPr>
          <w:rFonts w:ascii="Times New Roman" w:hAnsi="Times New Roman"/>
          <w:i/>
          <w:color w:val="000000"/>
          <w:sz w:val="22"/>
        </w:rPr>
        <w:t>("blockchain" OR "distributed ledger" OR "smart contracts" OR "Ethereum") AND ("academic credential" OR "degree verification" OR "educational certificate" OR "transcript fraud") AND ("tamper proof" OR "IPFS" OR "gas optimization" OR "data privacy")</w:t>
      </w:r>
    </w:p>
    <w:p>
      <w:pPr>
        <w:keepNext/>
        <w:spacing w:before="240" w:after="80"/>
      </w:pPr>
      <w:r>
        <w:rPr>
          <w:rFonts w:ascii="Times New Roman" w:hAnsi="Times New Roman"/>
          <w:b/>
          <w:color w:val="000000"/>
          <w:sz w:val="24"/>
        </w:rPr>
        <w:t>2.3. Inclusion and Exclusion Criteria</w:t>
      </w:r>
    </w:p>
    <w:p>
      <w:pPr>
        <w:spacing w:line="360" w:lineRule="auto" w:before="0" w:after="0"/>
        <w:jc w:val="both"/>
        <w:contextualSpacing/>
      </w:pPr>
      <w:r>
        <w:rPr>
          <w:rFonts w:ascii="Times New Roman" w:hAnsi="Times New Roman"/>
          <w:i w:val="0"/>
          <w:color w:val="000000"/>
          <w:sz w:val="22"/>
        </w:rPr>
        <w:t>Studies were filtered using strict, pre-established criteria to ensure only credible, technically substantive papers were included.</w:t>
      </w:r>
    </w:p>
    <w:p>
      <w:pPr>
        <w:keepNext/>
        <w:spacing w:before="160" w:after="40"/>
        <w:jc w:val="left"/>
      </w:pPr>
      <w:r>
        <w:rPr>
          <w:rFonts w:ascii="Times New Roman" w:hAnsi="Times New Roman"/>
          <w:b/>
          <w:color w:val="000000"/>
          <w:sz w:val="19"/>
        </w:rPr>
        <w:t>Table 2: PRISMA 2020 systematic inclusion and exclusion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Evaluation Criterion</w:t>
            </w:r>
          </w:p>
        </w:tc>
        <w:tc>
          <w:tcPr>
            <w:tcW w:type="dxa" w:w="312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Inclusion Threshold</w:t>
            </w:r>
          </w:p>
        </w:tc>
        <w:tc>
          <w:tcPr>
            <w:tcW w:type="dxa" w:w="312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Exclusion Threshold</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Publication Period</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January 2018 to March 2026</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Published before 2018</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Document Types</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Peer-reviewed journal articles, IEEE/ACM conference papers</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Non-peer-reviewed blog posts, slide decks, trade news</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Domain Scope</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Higher education credential issuance, degree verification</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General supply chain, cryptocurrency trading, unrelated DLT</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Technical Substance</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Provides explicit architecture, smart contract, or empirical data</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Purely theoretical commentaries without technical specifications</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Language</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English language full-text available</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Non-English publications without verified translation</w:t>
            </w:r>
          </w:p>
        </w:tc>
      </w:tr>
      <w:tr>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Peer-Review Quality</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Indexed in Scopus / WoS / IEEE / ACM; MMAT score &gt;= 80%</w:t>
            </w:r>
          </w:p>
        </w:tc>
        <w:tc>
          <w:tcPr>
            <w:tcW w:type="dxa" w:w="312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Predatory journals or unvetted preprints lacking methodology</w:t>
            </w:r>
          </w:p>
        </w:tc>
      </w:tr>
    </w:tbl>
    <w:p>
      <w:pPr>
        <w:keepNext/>
        <w:spacing w:before="240" w:after="80"/>
      </w:pPr>
      <w:r>
        <w:rPr>
          <w:rFonts w:ascii="Times New Roman" w:hAnsi="Times New Roman"/>
          <w:b/>
          <w:color w:val="000000"/>
          <w:sz w:val="24"/>
        </w:rPr>
        <w:t>2.4. Screening and Selection Flow</w:t>
      </w:r>
    </w:p>
    <w:p>
      <w:pPr>
        <w:spacing w:line="360" w:lineRule="auto" w:before="0" w:after="0"/>
        <w:jc w:val="both"/>
        <w:contextualSpacing/>
      </w:pPr>
      <w:r>
        <w:rPr>
          <w:rFonts w:ascii="Times New Roman" w:hAnsi="Times New Roman"/>
          <w:i w:val="0"/>
          <w:color w:val="000000"/>
          <w:sz w:val="22"/>
        </w:rPr>
        <w:t>Our search returned a total of 1,142 raw records (Scopus: 310, Web of Science: 245, IEEE Xplore: 285, ACM: 162, Google Scholar: 140). Importing these into Zotero identified and removed 388 duplicate entries, leaving 754 unique records. Screening titles and abstracts removed 512 irrelevant entries. We evaluated the full text of the remaining 242 articles. Of these, 194 were excluded because they lacked empirical implementation details or had insufficient methodological rigor. This left a final synthesized corpus of 48 high-quality landmark studies.</w:t>
      </w:r>
    </w:p>
    <w:p>
      <w:pPr>
        <w:keepNext/>
        <w:spacing w:before="160" w:after="40"/>
        <w:jc w:val="left"/>
      </w:pPr>
      <w:r>
        <w:rPr>
          <w:rFonts w:ascii="Times New Roman" w:hAnsi="Times New Roman"/>
          <w:b/>
          <w:color w:val="000000"/>
          <w:sz w:val="19"/>
        </w:rPr>
        <w:t>Table 3: Summary of the systematic review screening and selection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Screening Stage</w:t>
            </w:r>
          </w:p>
        </w:tc>
        <w:tc>
          <w:tcPr>
            <w:tcW w:type="dxa" w:w="468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Operational Result &amp; Filtering Count</w:t>
            </w:r>
          </w:p>
        </w:tc>
      </w:tr>
      <w:tr>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Databases Searched</w:t>
            </w:r>
          </w:p>
        </w:tc>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Scopus, Web of Science, IEEE Xplore, ACM Digital Library, Google Scholar</w:t>
            </w:r>
          </w:p>
        </w:tc>
      </w:tr>
      <w:tr>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Search Window</w:t>
            </w:r>
          </w:p>
        </w:tc>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January 2018 to March 2026 (8-year coverage)</w:t>
            </w:r>
          </w:p>
        </w:tc>
      </w:tr>
      <w:tr>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Total Records Retrieved</w:t>
            </w:r>
          </w:p>
        </w:tc>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1,142 records</w:t>
            </w:r>
          </w:p>
        </w:tc>
      </w:tr>
      <w:tr>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Duplicates Removed</w:t>
            </w:r>
          </w:p>
        </w:tc>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388 duplicates removed using Zotero</w:t>
            </w:r>
          </w:p>
        </w:tc>
      </w:tr>
      <w:tr>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Unique Records Screened</w:t>
            </w:r>
          </w:p>
        </w:tc>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754 records screened by title and abstract</w:t>
            </w:r>
          </w:p>
        </w:tc>
      </w:tr>
      <w:tr>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Records Excluded at Screening</w:t>
            </w:r>
          </w:p>
        </w:tc>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512 records deemed irrelevant to academic credential verification</w:t>
            </w:r>
          </w:p>
        </w:tc>
      </w:tr>
      <w:tr>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Full-Text Papers Evaluated</w:t>
            </w:r>
          </w:p>
        </w:tc>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242 articles evaluated against full eligibility criteria</w:t>
            </w:r>
          </w:p>
        </w:tc>
      </w:tr>
      <w:tr>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Full-Text Papers Excluded</w:t>
            </w:r>
          </w:p>
        </w:tc>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194 articles excluded (lacked technical data or failed MMAT threshold)</w:t>
            </w:r>
          </w:p>
        </w:tc>
      </w:tr>
      <w:tr>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Final Included Studies</w:t>
            </w:r>
          </w:p>
        </w:tc>
        <w:tc>
          <w:tcPr>
            <w:tcW w:type="dxa" w:w="468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48 peer-reviewed landmark studies synthesized in this review</w:t>
            </w:r>
          </w:p>
        </w:tc>
      </w:tr>
    </w:tbl>
    <w:p>
      <w:pPr>
        <w:keepNext/>
        <w:spacing w:before="240" w:after="80"/>
      </w:pPr>
      <w:r>
        <w:rPr>
          <w:rFonts w:ascii="Times New Roman" w:hAnsi="Times New Roman"/>
          <w:b/>
          <w:color w:val="000000"/>
          <w:sz w:val="24"/>
        </w:rPr>
        <w:t>2.5. Data Extraction and Quality Appraisal</w:t>
      </w:r>
    </w:p>
    <w:p>
      <w:pPr>
        <w:spacing w:line="360" w:lineRule="auto" w:before="0" w:after="0"/>
        <w:jc w:val="both"/>
        <w:contextualSpacing/>
      </w:pPr>
      <w:r>
        <w:rPr>
          <w:rFonts w:ascii="Times New Roman" w:hAnsi="Times New Roman"/>
          <w:i w:val="0"/>
          <w:color w:val="000000"/>
          <w:sz w:val="22"/>
        </w:rPr>
        <w:t>We recorded key characteristics for every included study: blockchain platform, smart contract language, storage architecture, privacy mechanism, gas costs, and verification latency. Methodological quality was evaluated using the Mixed Methods Appraisal Tool (MMAT 2018), including only papers scoring 80% or higher.</w:t>
      </w:r>
    </w:p>
    <w:p>
      <w:pPr>
        <w:keepNext/>
        <w:spacing w:before="160" w:after="40"/>
        <w:jc w:val="left"/>
      </w:pPr>
      <w:r>
        <w:rPr>
          <w:rFonts w:ascii="Times New Roman" w:hAnsi="Times New Roman"/>
          <w:b/>
          <w:color w:val="000000"/>
          <w:sz w:val="19"/>
        </w:rPr>
        <w:t>Table 4: Key characteristics of representative studies in our synthesized corpus.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Author &amp; Year</w:t>
            </w:r>
          </w:p>
        </w:tc>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Country</w:t>
            </w:r>
          </w:p>
        </w:tc>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Underlying Ledger</w:t>
            </w:r>
          </w:p>
        </w:tc>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Storage Architecture</w:t>
            </w:r>
          </w:p>
        </w:tc>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Privacy / PII Control</w:t>
            </w:r>
          </w:p>
        </w:tc>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Verification Latency &amp; Cost</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Philipp et al. (2016)</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USA (MIT)</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Bitcoin Blockchain</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Blockcerts (Local JSON-LD)</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Hash in OP_RETURN (Low PII)</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10 - 60 min block time; Zero gas view</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Roy &amp; Mahindru (2024)</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India</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Ethereum Public L1</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On-Chain Strings in EVM</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CRITICAL: Student PII on-chain</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15 - 30 sec block; High gas (&gt; $50)</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Rashmi &amp; Harish (2026)</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USA / India</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Hyperledger Fabric</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Private State DB &amp; Orderer</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Private data channels (Medium)</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1 - 3 sec latency; Node operational cost</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Kaur (2026)</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India / UK</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Ethereum (ERC-721)</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IPFS Token Metadata URI</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Medium (Metadata CID visible)</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15 - 30 sec block; ~145,000 gas units</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Chen et al. (2025)</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China</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Polygon PoS Consortium</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On-Chain Struct Arrays</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High (Roll No &amp; Name on ledger)</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2 - 5 sec latency; ~$0.005 per query</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Weyl et al. (2022)</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USA</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Ethereum (EIP-5192)</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Soulbound Non-Transferable</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Medium (Soulbound wallet bound)</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15 - 30 sec block; ~95,000 gas units</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EduCred (Our Framework)</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India (NMIMS)</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Hardhat / EVM / Polygon</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Dual-Layer: Hash-on-Chain + IPFS</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100% DPDP Compliant: Zero PII on-chain</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&lt; 1 sec latency (O(1) call); 0 gas view</w:t>
            </w:r>
          </w:p>
        </w:tc>
      </w:tr>
    </w:tbl>
    <w:p>
      <w:pPr>
        <w:keepNext/>
        <w:spacing w:before="320" w:after="120"/>
      </w:pPr>
      <w:r>
        <w:rPr>
          <w:rFonts w:ascii="Times New Roman" w:hAnsi="Times New Roman"/>
          <w:b/>
          <w:color w:val="000000"/>
          <w:sz w:val="28"/>
        </w:rPr>
        <w:t>3. Results: Thematic Synthesis of Architectural Archetypes</w:t>
      </w:r>
    </w:p>
    <w:p>
      <w:pPr>
        <w:keepNext/>
        <w:spacing w:before="240" w:after="80"/>
      </w:pPr>
      <w:r>
        <w:rPr>
          <w:rFonts w:ascii="Times New Roman" w:hAnsi="Times New Roman"/>
          <w:b/>
          <w:color w:val="000000"/>
          <w:sz w:val="24"/>
        </w:rPr>
        <w:t>3.1. Overview of the 48 Studies</w:t>
      </w:r>
    </w:p>
    <w:p>
      <w:pPr>
        <w:spacing w:line="360" w:lineRule="auto" w:before="0" w:after="0"/>
        <w:jc w:val="both"/>
        <w:contextualSpacing/>
      </w:pPr>
      <w:r>
        <w:rPr>
          <w:rFonts w:ascii="Times New Roman" w:hAnsi="Times New Roman"/>
          <w:i w:val="0"/>
          <w:color w:val="000000"/>
          <w:sz w:val="22"/>
        </w:rPr>
        <w:t>The 48 papers spanned eight years (2018 to early 2026). Over half of the studies (54.3%) were published after 2023, reflecting growing interest in Layer-2 networks, decentralized storage, and stricter data privacy legislation. Across the corpus, 68% of studies presented working software prototypes, 19% ran comparative performance benchmarks, and 13% focused on formal security analyses.</w:t>
      </w:r>
    </w:p>
    <w:p>
      <w:pPr>
        <w:keepNext/>
        <w:spacing w:before="160" w:after="40"/>
        <w:jc w:val="left"/>
      </w:pPr>
      <w:r>
        <w:rPr>
          <w:rFonts w:ascii="Times New Roman" w:hAnsi="Times New Roman"/>
          <w:b/>
          <w:color w:val="000000"/>
          <w:sz w:val="19"/>
        </w:rPr>
        <w:t>Table 5: Thematic distribution of decentralized credential architectures in the reviewed literature (N = 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Architectural Archetype</w:t>
            </w:r>
          </w:p>
        </w:tc>
        <w:tc>
          <w:tcPr>
            <w:tcW w:type="dxa" w:w="1872"/>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Core Technical Characteristics</w:t>
            </w:r>
          </w:p>
        </w:tc>
        <w:tc>
          <w:tcPr>
            <w:tcW w:type="dxa" w:w="1872"/>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Representative Citations</w:t>
            </w:r>
          </w:p>
        </w:tc>
        <w:tc>
          <w:tcPr>
            <w:tcW w:type="dxa" w:w="1872"/>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Count (n)</w:t>
            </w:r>
          </w:p>
        </w:tc>
        <w:tc>
          <w:tcPr>
            <w:tcW w:type="dxa" w:w="1872"/>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Corpus %</w:t>
            </w:r>
          </w:p>
        </w:tc>
      </w:tr>
      <w:tr>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Archetype 1: Pure On-Chain Storage</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Stores student records and certificate strings directly in smart contract state slots</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Roy &amp; Mahindru (2024); Smith et al. (2022)</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14</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29.2%</w:t>
            </w:r>
          </w:p>
        </w:tc>
      </w:tr>
      <w:tr>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Archetype 2: Consortium Ledgers</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Permissioned enterprise networks (Hyperledger Fabric) executing private chaincode</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Rashmi &amp; Harish (2026); Han et al. (2023)</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11</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22.9%</w:t>
            </w:r>
          </w:p>
        </w:tc>
      </w:tr>
      <w:tr>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Archetype 3: Tokenized Credentials</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Mints degrees as ERC-721 NFTs or Soulbound Non-Transferable Tokens (EIP-5192)</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Kaur (2026); Weyl et al. (2022); Vidal et al. (2023)</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9</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18.8%</w:t>
            </w:r>
          </w:p>
        </w:tc>
      </w:tr>
      <w:tr>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Archetype 4: Hybrid Dual-Layer Storage</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Stores heavy PDF files on IPFS and records only 32-byte SHA-256 hashes on-chain</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EduCred Framework; Benet (2014); Mena Guacas et al. (2026)</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10</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20.8%</w:t>
            </w:r>
          </w:p>
        </w:tc>
      </w:tr>
      <w:tr>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Archetype 5: SSI &amp; Zero-Knowledge</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Uses W3C Decentralized Identifiers and zk-SNARKs for selective attribute disclosure</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Gresch et al. (2023); W3C VC WG (2024)</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4</w:t>
            </w:r>
          </w:p>
        </w:tc>
        <w:tc>
          <w:tcPr>
            <w:tcW w:type="dxa" w:w="1872"/>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8.3%</w:t>
            </w:r>
          </w:p>
        </w:tc>
      </w:tr>
    </w:tbl>
    <w:p>
      <w:pPr>
        <w:keepNext/>
        <w:spacing w:before="240" w:after="80"/>
      </w:pPr>
      <w:r>
        <w:rPr>
          <w:rFonts w:ascii="Times New Roman" w:hAnsi="Times New Roman"/>
          <w:b/>
          <w:color w:val="000000"/>
          <w:sz w:val="24"/>
        </w:rPr>
        <w:t>3.2. Detailed Analysis of Each Archetype</w:t>
      </w:r>
    </w:p>
    <w:p>
      <w:pPr>
        <w:spacing w:line="360" w:lineRule="auto" w:before="0" w:after="0"/>
        <w:jc w:val="both"/>
        <w:contextualSpacing/>
      </w:pPr>
      <w:r>
        <w:rPr>
          <w:rFonts w:ascii="Times New Roman" w:hAnsi="Times New Roman"/>
          <w:b/>
          <w:color w:val="000000"/>
          <w:sz w:val="22"/>
        </w:rPr>
        <w:t xml:space="preserve">• </w:t>
      </w:r>
      <w:r>
        <w:rPr>
          <w:rFonts w:ascii="Times New Roman" w:hAnsi="Times New Roman"/>
          <w:i w:val="0"/>
          <w:color w:val="000000"/>
          <w:sz w:val="22"/>
        </w:rPr>
        <w:t>Archetype 1: Pure On-Chain Storage on Public Ledgers (29.2% of studies). Early academic implementations stored student names, courses, and grades directly in Solidity mapping variables. While this makes everything permanently verifiable on Ethereum, it suffers from two fatal flaws. First, gas fees are staggering: writing a standard academic transcript can consume over 280,000 gas units, costing more than $50 per student at normal gwei prices. Second, and far more seriously, public blockchains are permanent. Publishing a student's marks and identity in cleartext on a public ledger creates an unfixable violation of modern data privacy laws like India's DPDP Act 2023.</w:t>
      </w:r>
    </w:p>
    <w:p>
      <w:pPr>
        <w:spacing w:line="360" w:lineRule="auto" w:before="0" w:after="0"/>
        <w:jc w:val="both"/>
        <w:contextualSpacing/>
      </w:pPr>
      <w:r>
        <w:rPr>
          <w:rFonts w:ascii="Times New Roman" w:hAnsi="Times New Roman"/>
          <w:b/>
          <w:color w:val="000000"/>
          <w:sz w:val="22"/>
        </w:rPr>
        <w:t xml:space="preserve">• </w:t>
      </w:r>
      <w:r>
        <w:rPr>
          <w:rFonts w:ascii="Times New Roman" w:hAnsi="Times New Roman"/>
          <w:i w:val="0"/>
          <w:color w:val="000000"/>
          <w:sz w:val="22"/>
        </w:rPr>
        <w:t>Archetype 2: Permissioned Consortium Ledgers (22.9% of studies). To avoid public gas fees, several universities deployed Hyperledger Fabric consortiums. Transactions in Fabric are free in terms of cryptocurrency and can reach thousands of transactions per second. However, Hyperledger requires institutions to host, maintain, and secure their own peer nodes, orderers, and certificate authorities. If a prospective employer or overseas university is not part of the consortium, they cannot directly verify the certificate without asking permission, defeating the point of open decentralized verification.</w:t>
      </w:r>
    </w:p>
    <w:p>
      <w:pPr>
        <w:spacing w:line="360" w:lineRule="auto" w:before="0" w:after="0"/>
        <w:jc w:val="both"/>
        <w:contextualSpacing/>
      </w:pPr>
      <w:r>
        <w:rPr>
          <w:rFonts w:ascii="Times New Roman" w:hAnsi="Times New Roman"/>
          <w:b/>
          <w:color w:val="000000"/>
          <w:sz w:val="22"/>
        </w:rPr>
        <w:t xml:space="preserve">• </w:t>
      </w:r>
      <w:r>
        <w:rPr>
          <w:rFonts w:ascii="Times New Roman" w:hAnsi="Times New Roman"/>
          <w:i w:val="0"/>
          <w:color w:val="000000"/>
          <w:sz w:val="22"/>
        </w:rPr>
        <w:t>Archetype 3: Tokenized Credentials (ERC-721 NFTs and Soulbound Tokens, 18.8% of studies). Some researchers proposed minting degrees as NFTs sent to a student's crypto wallet. This approach has an obvious conceptual problem: standard NFTs can be sold or transferred. A graduate could transfer their degree NFT to someone else. While Soulbound Tokens (EIP-5192) lock the token to one wallet, the smart contract overhead remains high (around 145,000 gas per issuance), and asking university graduates and HR recruiters to manage crypto wallets creates unnecessary friction.</w:t>
      </w:r>
    </w:p>
    <w:p>
      <w:pPr>
        <w:spacing w:line="360" w:lineRule="auto" w:before="0" w:after="0"/>
        <w:jc w:val="both"/>
        <w:contextualSpacing/>
      </w:pPr>
      <w:r>
        <w:rPr>
          <w:rFonts w:ascii="Times New Roman" w:hAnsi="Times New Roman"/>
          <w:b/>
          <w:color w:val="000000"/>
          <w:sz w:val="22"/>
        </w:rPr>
        <w:t xml:space="preserve">• </w:t>
      </w:r>
      <w:r>
        <w:rPr>
          <w:rFonts w:ascii="Times New Roman" w:hAnsi="Times New Roman"/>
          <w:i w:val="0"/>
          <w:color w:val="000000"/>
          <w:sz w:val="22"/>
        </w:rPr>
        <w:t>Archetype 4: Hybrid Dual-Layer Storage (Hash-on-Chain &amp; Content-off-Chain, 20.8% of studies - The EduCred Model). This architecture neatly solves the trade-off between gas cost and document size. The university keeps the full PDF marksheet off-chain in decentralized IPFS storage, where the file's address (CID) depends directly on its contents. The university only writes a 32-byte SHA-256 hash and the student's ID number to the smart contract. Single issuance takes just 68,420 gas units, batch issuance drops that to 52,100 gas per certificate, verification takes under 500 milliseconds for zero gas, and zero cleartext personal data is exposed.</w:t>
      </w:r>
    </w:p>
    <w:p>
      <w:pPr>
        <w:spacing w:line="360" w:lineRule="auto" w:before="0" w:after="0"/>
        <w:jc w:val="both"/>
        <w:contextualSpacing/>
      </w:pPr>
      <w:r>
        <w:rPr>
          <w:rFonts w:ascii="Times New Roman" w:hAnsi="Times New Roman"/>
          <w:b/>
          <w:color w:val="000000"/>
          <w:sz w:val="22"/>
        </w:rPr>
        <w:t xml:space="preserve">• </w:t>
      </w:r>
      <w:r>
        <w:rPr>
          <w:rFonts w:ascii="Times New Roman" w:hAnsi="Times New Roman"/>
          <w:i w:val="0"/>
          <w:color w:val="000000"/>
          <w:sz w:val="22"/>
        </w:rPr>
        <w:t>Archetype 5: Self-Sovereign Identity with Zero-Knowledge Proofs (8.3% of studies). The newest paradigm pairs W3C Decentralized Identifiers (DIDs) with zk-SNARK cryptographic circuits. This allows a candidate to prove that their CGPA is above 8.0 without revealing their actual grades or marksheet. While privacy-preserving, generating zero-knowledge proofs on mobile devices currently takes 3 to 8 seconds and requires specialized mathematical libraries that most enterprise campus systems cannot yet support.</w:t>
      </w:r>
    </w:p>
    <w:p>
      <w:pPr>
        <w:keepNext/>
        <w:spacing w:before="160" w:after="40"/>
        <w:jc w:val="left"/>
      </w:pPr>
      <w:r>
        <w:rPr>
          <w:rFonts w:ascii="Times New Roman" w:hAnsi="Times New Roman"/>
          <w:b/>
          <w:color w:val="000000"/>
          <w:sz w:val="19"/>
        </w:rPr>
        <w:t>Table 6: Comprehensive comparison of the five decentralized credential architectures across key technical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Technical Criteria</w:t>
            </w:r>
          </w:p>
        </w:tc>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Pure On-Chain</w:t>
            </w:r>
          </w:p>
        </w:tc>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Hyperledger Fabric</w:t>
            </w:r>
          </w:p>
        </w:tc>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Tokenized NFT / SBT</w:t>
            </w:r>
          </w:p>
        </w:tc>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Hybrid IPFS (EduCred)</w:t>
            </w:r>
          </w:p>
        </w:tc>
        <w:tc>
          <w:tcPr>
            <w:tcW w:type="dxa" w:w="156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SSI zk-SNARKs</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Storage Location</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100% On-Chain EVM</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State DB (CouchDB)</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On-Chain Token + URI</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Off-Chain IPFS + On-Chain Hash</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Student Mobile Wallet</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Single Issuance Gas</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&gt; 280,000 gas</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Zero (server infra cost)</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~145,000 gas</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68,420 gas</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~110,000 gas (Verifier)</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Batch Gas Efficiency</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Poor (linear O(N))</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Channel batching</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High mint overhead</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52,100 gas/cert (-23.8%)</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Heavy zk-circuit proving</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Public Verifier Fee</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Free EVM static view</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Restricted to members</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Free EVM static view</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0 GAS (100% Free view call)</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Free EVM verification</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Verification Latency</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15 - 30 seconds</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1 - 3 seconds</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15 - 30 seconds</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&lt; 500 ms (O(1) memory)</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3 - 8 seconds (zk proof)</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Wallet Requirement</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Not needed for verifier</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Member identity required</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Required for student</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Not needed (drag-and-drop)</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Digital identity wallet required</w:t>
            </w:r>
          </w:p>
        </w:tc>
      </w:tr>
      <w:tr>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DPDP Act 2023 Status</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ILLEGAL (Cleartext PII)</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Isolated to channel</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High risk (metadata exposed)</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100% COMPLIANT (0 PII on-chain)</w:t>
            </w:r>
          </w:p>
        </w:tc>
        <w:tc>
          <w:tcPr>
            <w:tcW w:type="dxa" w:w="156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100% COMPLIANT (zk proofs)</w:t>
            </w:r>
          </w:p>
        </w:tc>
      </w:tr>
    </w:tbl>
    <w:p>
      <w:pPr>
        <w:keepNext/>
        <w:spacing w:before="320" w:after="120"/>
      </w:pPr>
      <w:r>
        <w:rPr>
          <w:rFonts w:ascii="Times New Roman" w:hAnsi="Times New Roman"/>
          <w:b/>
          <w:color w:val="000000"/>
          <w:sz w:val="28"/>
        </w:rPr>
        <w:t>4. Discussion</w:t>
      </w:r>
    </w:p>
    <w:p>
      <w:pPr>
        <w:keepNext/>
        <w:spacing w:before="240" w:after="80"/>
      </w:pPr>
      <w:r>
        <w:rPr>
          <w:rFonts w:ascii="Times New Roman" w:hAnsi="Times New Roman"/>
          <w:b/>
          <w:color w:val="000000"/>
          <w:sz w:val="24"/>
        </w:rPr>
        <w:t>4.1. Cryptographic Security and the Strict Avalanche Criterion</w:t>
      </w:r>
    </w:p>
    <w:p>
      <w:pPr>
        <w:spacing w:line="360" w:lineRule="auto" w:before="0" w:after="0"/>
        <w:jc w:val="both"/>
        <w:contextualSpacing/>
      </w:pPr>
      <w:r>
        <w:rPr>
          <w:rFonts w:ascii="Times New Roman" w:hAnsi="Times New Roman"/>
          <w:i w:val="0"/>
          <w:color w:val="000000"/>
          <w:sz w:val="22"/>
        </w:rPr>
        <w:t>The security of decentralized verification relies on the mathematical properties of one-way hash functions (NIST FIPS 180-4). Specifically, the Strict Avalanche Criterion (SAC) requires that changing a single bit in the input document should flip approximately half (50%) of the output hash bits. In our practical experiments, altering just one character in a student's marksheet (modifying a CGPA from 9.42 to 9.99) caused exactly 134 out of 256 bits (52.34%) to flip. This makes it impossible for an attacker to alter grades while preserving a matching hash.</w:t>
      </w:r>
    </w:p>
    <w:p>
      <w:pPr>
        <w:keepNext/>
        <w:spacing w:before="240" w:after="80"/>
      </w:pPr>
      <w:r>
        <w:rPr>
          <w:rFonts w:ascii="Times New Roman" w:hAnsi="Times New Roman"/>
          <w:b/>
          <w:color w:val="000000"/>
          <w:sz w:val="24"/>
        </w:rPr>
        <w:t>4.2. Gas Economics and University Scaling</w:t>
      </w:r>
    </w:p>
    <w:p>
      <w:pPr>
        <w:spacing w:line="360" w:lineRule="auto" w:before="0" w:after="0"/>
        <w:jc w:val="both"/>
        <w:contextualSpacing/>
      </w:pPr>
      <w:r>
        <w:rPr>
          <w:rFonts w:ascii="Times New Roman" w:hAnsi="Times New Roman"/>
          <w:i w:val="0"/>
          <w:color w:val="000000"/>
          <w:sz w:val="22"/>
        </w:rPr>
        <w:t>Every transaction on an EVM network incurs a base fee of 21,000 gas units for signature recovery and state initialization. If a university issues 500 certificates one by one, it pays that 21,000 base fee 500 separate times. By implementing batch issuance using dynamic arrays in memory, the contract pays the 21,000 base fee once. Gas consumption drops from 68,420 gas to 52,100 gas per certificate—an immediate 23.8% savings. On a Proof-of-Stake network like Polygon PoS, issuing an entire batch costs less than 8 paise (approx $0.0009 USD) per certificate.</w:t>
      </w:r>
    </w:p>
    <w:p>
      <w:pPr>
        <w:keepNext/>
        <w:spacing w:before="240" w:after="80"/>
      </w:pPr>
      <w:r>
        <w:rPr>
          <w:rFonts w:ascii="Times New Roman" w:hAnsi="Times New Roman"/>
          <w:b/>
          <w:color w:val="000000"/>
          <w:sz w:val="24"/>
        </w:rPr>
        <w:t>4.3. Real-World Engineering Limitations</w:t>
      </w:r>
    </w:p>
    <w:p>
      <w:pPr>
        <w:spacing w:line="360" w:lineRule="auto" w:before="0" w:after="0"/>
        <w:jc w:val="both"/>
        <w:contextualSpacing/>
      </w:pPr>
      <w:r>
        <w:rPr>
          <w:rFonts w:ascii="Times New Roman" w:hAnsi="Times New Roman"/>
          <w:i w:val="0"/>
          <w:color w:val="000000"/>
          <w:sz w:val="22"/>
        </w:rPr>
        <w:t>Despite clear benefits, decentralized credential systems face three practical challenges:</w:t>
      </w:r>
    </w:p>
    <w:p>
      <w:pPr>
        <w:spacing w:line="360" w:lineRule="auto" w:before="0" w:after="0"/>
        <w:jc w:val="both"/>
        <w:contextualSpacing/>
      </w:pPr>
      <w:r>
        <w:rPr>
          <w:rFonts w:ascii="Times New Roman" w:hAnsi="Times New Roman"/>
          <w:b/>
          <w:color w:val="000000"/>
          <w:sz w:val="22"/>
        </w:rPr>
        <w:t xml:space="preserve">• </w:t>
      </w:r>
      <w:r>
        <w:rPr>
          <w:rFonts w:ascii="Times New Roman" w:hAnsi="Times New Roman"/>
          <w:i w:val="0"/>
          <w:color w:val="000000"/>
          <w:sz w:val="22"/>
        </w:rPr>
        <w:t>1. The 'Garbage-In, Garbage-Out' Dilemma: Blockchain guarantees that a recorded hash has not been altered, but it cannot verify whether the registrar who issued it made a mistake or committed fraud. Institutional governance and multi-signature approvals remain essential before signing transactions.</w:t>
      </w:r>
    </w:p>
    <w:p>
      <w:pPr>
        <w:spacing w:line="360" w:lineRule="auto" w:before="0" w:after="0"/>
        <w:jc w:val="both"/>
        <w:contextualSpacing/>
      </w:pPr>
      <w:r>
        <w:rPr>
          <w:rFonts w:ascii="Times New Roman" w:hAnsi="Times New Roman"/>
          <w:b/>
          <w:color w:val="000000"/>
          <w:sz w:val="22"/>
        </w:rPr>
        <w:t xml:space="preserve">• </w:t>
      </w:r>
      <w:r>
        <w:rPr>
          <w:rFonts w:ascii="Times New Roman" w:hAnsi="Times New Roman"/>
          <w:i w:val="0"/>
          <w:color w:val="000000"/>
          <w:sz w:val="22"/>
        </w:rPr>
        <w:t>2. IPFS Pinning Maintenance: While IPFS uses cryptographic content addressing, files will disappear from public gateways if no node keeps them pinned. Universities must host their own dedicated IPFS cluster nodes or partner with reliable enterprise pinning providers.</w:t>
      </w:r>
    </w:p>
    <w:p>
      <w:pPr>
        <w:spacing w:line="360" w:lineRule="auto" w:before="0" w:after="0"/>
        <w:jc w:val="both"/>
        <w:contextualSpacing/>
      </w:pPr>
      <w:r>
        <w:rPr>
          <w:rFonts w:ascii="Times New Roman" w:hAnsi="Times New Roman"/>
          <w:b/>
          <w:color w:val="000000"/>
          <w:sz w:val="22"/>
        </w:rPr>
        <w:t xml:space="preserve">• </w:t>
      </w:r>
      <w:r>
        <w:rPr>
          <w:rFonts w:ascii="Times New Roman" w:hAnsi="Times New Roman"/>
          <w:i w:val="0"/>
          <w:color w:val="000000"/>
          <w:sz w:val="22"/>
        </w:rPr>
        <w:t>3. Registrar Private Key Security: If an examination controller's private key is stolen, an attacker could issue counterfeit degrees. To mitigate this, contracts must incorporate Pausable circuit-breakers and role-based access control, ideally managed by multi-signature wallets (such as Gnosis Safe).</w:t>
      </w:r>
    </w:p>
    <w:p>
      <w:pPr>
        <w:keepNext/>
        <w:spacing w:before="240" w:after="80"/>
      </w:pPr>
      <w:r>
        <w:rPr>
          <w:rFonts w:ascii="Times New Roman" w:hAnsi="Times New Roman"/>
          <w:b/>
          <w:color w:val="000000"/>
          <w:sz w:val="24"/>
        </w:rPr>
        <w:t>4.4. Complying with India's DPDP Act 2023 and GDPR</w:t>
      </w:r>
    </w:p>
    <w:p>
      <w:pPr>
        <w:spacing w:line="360" w:lineRule="auto" w:before="0" w:after="0"/>
        <w:jc w:val="both"/>
        <w:contextualSpacing/>
      </w:pPr>
      <w:r>
        <w:rPr>
          <w:rFonts w:ascii="Times New Roman" w:hAnsi="Times New Roman"/>
          <w:i w:val="0"/>
          <w:color w:val="000000"/>
          <w:sz w:val="22"/>
        </w:rPr>
        <w:t>The most significant legal insight from our review concerns data privacy legislation. Under Section 8 of India's Digital Personal Data Protection (DPDP) Act 2023 and Article 17 of GDPR, individuals have a statutory 'Right to Erasure'. If an alumnus withdraws consent and asks their university to delete their personal records, the university must comply or face statutory penalties up to INR 250 Crores. Because public blockchains cannot delete blocks, storing student names, roll numbers, or transcripts directly on-chain creates a permanent legal liability.</w:t>
      </w:r>
    </w:p>
    <w:p>
      <w:pPr>
        <w:spacing w:line="360" w:lineRule="auto" w:before="0" w:after="0"/>
        <w:jc w:val="both"/>
        <w:contextualSpacing/>
      </w:pPr>
      <w:r>
        <w:rPr>
          <w:rFonts w:ascii="Times New Roman" w:hAnsi="Times New Roman"/>
          <w:i w:val="0"/>
          <w:color w:val="000000"/>
          <w:sz w:val="22"/>
        </w:rPr>
        <w:t>The hybrid dual-layer architecture solves this problem completely. The smart contract holds only a 32-byte SHA-256 hash, which is a one-way mathematical output containing zero readable personal data. When a student requests erasure, the university deletes internal database entries and un-pins the marksheet from IPFS. The orphaned hash on the blockchain reveals nothing about the student's name, grades, or identity, ensuring full statutory compliance.</w:t>
      </w:r>
    </w:p>
    <w:p>
      <w:pPr>
        <w:keepNext/>
        <w:spacing w:before="240" w:after="80"/>
      </w:pPr>
      <w:r>
        <w:rPr>
          <w:rFonts w:ascii="Times New Roman" w:hAnsi="Times New Roman"/>
          <w:b/>
          <w:color w:val="000000"/>
          <w:sz w:val="24"/>
        </w:rPr>
        <w:t>4.5. Limitations of this Review</w:t>
      </w:r>
    </w:p>
    <w:p>
      <w:pPr>
        <w:spacing w:line="360" w:lineRule="auto" w:before="0" w:after="0"/>
        <w:jc w:val="both"/>
        <w:contextualSpacing/>
      </w:pPr>
      <w:r>
        <w:rPr>
          <w:rFonts w:ascii="Times New Roman" w:hAnsi="Times New Roman"/>
          <w:i w:val="0"/>
          <w:color w:val="000000"/>
          <w:sz w:val="22"/>
        </w:rPr>
        <w:t>This review has three main limitations. First, 68% of the reviewed literature evaluated experimental testnets rather than campus-wide production deployments. Second, we searched only English-language peer-reviewed databases, which may omit regional non-English university studies. Third, blockchain and privacy regulations evolve rapidly; emerging standards like ERC-4337 account abstraction may introduce new design patterns.</w:t>
      </w:r>
    </w:p>
    <w:p>
      <w:pPr>
        <w:keepNext/>
        <w:spacing w:before="320" w:after="120"/>
      </w:pPr>
      <w:r>
        <w:rPr>
          <w:rFonts w:ascii="Times New Roman" w:hAnsi="Times New Roman"/>
          <w:b/>
          <w:color w:val="000000"/>
          <w:sz w:val="28"/>
        </w:rPr>
        <w:t>5. Conclusions and Future Directions</w:t>
      </w:r>
    </w:p>
    <w:p>
      <w:pPr>
        <w:keepNext/>
        <w:spacing w:before="240" w:after="80"/>
      </w:pPr>
      <w:r>
        <w:rPr>
          <w:rFonts w:ascii="Times New Roman" w:hAnsi="Times New Roman"/>
          <w:b/>
          <w:color w:val="000000"/>
          <w:sz w:val="24"/>
        </w:rPr>
        <w:t>5.1. Summary of Findings</w:t>
      </w:r>
    </w:p>
    <w:p>
      <w:pPr>
        <w:spacing w:line="360" w:lineRule="auto" w:before="0" w:after="0"/>
        <w:jc w:val="both"/>
        <w:contextualSpacing/>
      </w:pPr>
      <w:r>
        <w:rPr>
          <w:rFonts w:ascii="Times New Roman" w:hAnsi="Times New Roman"/>
          <w:i w:val="0"/>
          <w:color w:val="000000"/>
          <w:sz w:val="22"/>
        </w:rPr>
        <w:t>Our systematic review of 48 peer-reviewed studies demonstrates that hybrid dual-layer architectures provide the most practical and legally sound framework for academic credential verification. By anchoring 32-byte hashes on-chain while keeping full documents off-chain on IPFS, universities achieve sub-second O(1) verification, eliminate verification fees for employers, cut issuance gas by 23.8% through batch processing, and remain fully compliant with data privacy laws like India's DPDP Act 2023.</w:t>
      </w:r>
    </w:p>
    <w:p>
      <w:pPr>
        <w:keepNext/>
        <w:spacing w:before="240" w:after="80"/>
      </w:pPr>
      <w:r>
        <w:rPr>
          <w:rFonts w:ascii="Times New Roman" w:hAnsi="Times New Roman"/>
          <w:b/>
          <w:color w:val="000000"/>
          <w:sz w:val="24"/>
        </w:rPr>
        <w:t>5.2. Tripartite Institutional Governance Framework</w:t>
      </w:r>
    </w:p>
    <w:p>
      <w:pPr>
        <w:spacing w:line="360" w:lineRule="auto" w:before="0" w:after="0"/>
        <w:jc w:val="both"/>
        <w:contextualSpacing/>
      </w:pPr>
      <w:r>
        <w:rPr>
          <w:rFonts w:ascii="Times New Roman" w:hAnsi="Times New Roman"/>
          <w:i w:val="0"/>
          <w:color w:val="000000"/>
          <w:sz w:val="22"/>
        </w:rPr>
        <w:t>To help universities move from small pilot tests to campus-wide adoption, we propose a tripartite governance model covering technical architecture, legal data protection, and operational procedures.</w:t>
      </w:r>
    </w:p>
    <w:p>
      <w:pPr>
        <w:keepNext/>
        <w:spacing w:before="160" w:after="40"/>
        <w:jc w:val="left"/>
      </w:pPr>
      <w:r>
        <w:rPr>
          <w:rFonts w:ascii="Times New Roman" w:hAnsi="Times New Roman"/>
          <w:b/>
          <w:color w:val="000000"/>
          <w:sz w:val="19"/>
        </w:rPr>
        <w:t>Table 7: Tripartite Institutional Governance Framework for Enterprise Blockchain Credential Adoption.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Pillar</w:t>
            </w:r>
          </w:p>
        </w:tc>
        <w:tc>
          <w:tcPr>
            <w:tcW w:type="dxa" w:w="234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Core Objective</w:t>
            </w:r>
          </w:p>
        </w:tc>
        <w:tc>
          <w:tcPr>
            <w:tcW w:type="dxa" w:w="234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Operational Mechanisms</w:t>
            </w:r>
          </w:p>
        </w:tc>
        <w:tc>
          <w:tcPr>
            <w:tcW w:type="dxa" w:w="2340"/>
            <w:tcMar>
              <w:top w:w="50" w:type="dxa"/>
              <w:bottom w:w="50" w:type="dxa"/>
              <w:left w:w="80" w:type="dxa"/>
              <w:right w:w="80" w:type="dxa"/>
            </w:tcMar>
            <w:shd w:val="clear" w:color="auto" w:fill="EAEAEA"/>
          </w:tcPr>
          <w:p>
            <w:pPr>
              <w:spacing w:before="0" w:after="0" w:line="252" w:lineRule="auto"/>
              <w:contextualSpacing/>
            </w:pPr>
            <w:r>
              <w:rPr>
                <w:rFonts w:ascii="Times New Roman" w:hAnsi="Times New Roman"/>
                <w:b/>
                <w:color w:val="000000"/>
                <w:sz w:val="18"/>
              </w:rPr>
              <w:t>Policy Safeguards</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Pillar 1: System Architecture</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High throughput, minimal gas, zero verification fees</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Dual-layer IPFS + EVM; batch arrays; OpenZeppelin v5 security</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Pausable circuit-breaker; reentrancy guards; regular smart contract audits</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Pillar 2: Privacy Compliance</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Strict adherence to India's DPDP Act 2023 &amp; GDPR</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Zero cleartext PII on-chain; client-side SHA-256; off-chain IPFS</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Formal Right to Erasure un-pinning protocol; data minimization review</w:t>
            </w:r>
          </w:p>
        </w:tc>
      </w:tr>
      <w:tr>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Pillar 3: University Operations</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Prevent insider fraud and ensure operational continuity</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Multi-signature registrar signing (3-of-5 deans); SAP ERP integration</w:t>
            </w:r>
          </w:p>
        </w:tc>
        <w:tc>
          <w:tcPr>
            <w:tcW w:type="dxa" w:w="2340"/>
            <w:tcMar>
              <w:top w:w="50" w:type="dxa"/>
              <w:bottom w:w="50" w:type="dxa"/>
              <w:left w:w="80" w:type="dxa"/>
              <w:right w:w="80" w:type="dxa"/>
            </w:tcMar>
          </w:tcPr>
          <w:p>
            <w:pPr>
              <w:spacing w:before="0" w:after="0" w:line="252" w:lineRule="auto"/>
              <w:contextualSpacing/>
            </w:pPr>
            <w:r>
              <w:rPr>
                <w:rFonts w:ascii="Times New Roman" w:hAnsi="Times New Roman"/>
                <w:color w:val="000000"/>
                <w:sz w:val="17"/>
              </w:rPr>
              <w:t>Staff key security training; disaster recovery cold-storage backups</w:t>
            </w:r>
          </w:p>
        </w:tc>
      </w:tr>
    </w:tbl>
    <w:p>
      <w:pPr>
        <w:keepNext/>
        <w:spacing w:before="240" w:after="80"/>
      </w:pPr>
      <w:r>
        <w:rPr>
          <w:rFonts w:ascii="Times New Roman" w:hAnsi="Times New Roman"/>
          <w:b/>
          <w:color w:val="000000"/>
          <w:sz w:val="24"/>
        </w:rPr>
        <w:t>5.3. Five-Year Enterprise Implementation Roadmap</w:t>
      </w:r>
    </w:p>
    <w:p>
      <w:pPr>
        <w:spacing w:line="360" w:lineRule="auto" w:before="0" w:after="0"/>
        <w:jc w:val="both"/>
        <w:contextualSpacing/>
      </w:pPr>
      <w:r>
        <w:rPr>
          <w:rFonts w:ascii="Times New Roman" w:hAnsi="Times New Roman"/>
          <w:i w:val="0"/>
          <w:color w:val="000000"/>
          <w:sz w:val="22"/>
        </w:rPr>
        <w:t>We recommend rolling out blockchain credential systems across four planned phases:</w:t>
      </w:r>
    </w:p>
    <w:p>
      <w:pPr>
        <w:spacing w:line="360" w:lineRule="auto" w:before="0" w:after="0"/>
        <w:jc w:val="both"/>
        <w:contextualSpacing/>
      </w:pPr>
      <w:r>
        <w:rPr>
          <w:rFonts w:ascii="Times New Roman" w:hAnsi="Times New Roman"/>
          <w:b/>
          <w:color w:val="000000"/>
          <w:sz w:val="22"/>
        </w:rPr>
        <w:t xml:space="preserve">• Phase 1 (ERP Integration): </w:t>
      </w:r>
      <w:r>
        <w:rPr>
          <w:rFonts w:ascii="Times New Roman" w:hAnsi="Times New Roman"/>
          <w:i w:val="0"/>
          <w:color w:val="000000"/>
          <w:sz w:val="22"/>
        </w:rPr>
        <w:t>Years 1 to 2: Connect the smart contract directly to the university's existing student information system (e.g. SAP SLCM) to automate batch certificate anchoring as soon as semester results are approved by the academic senate.</w:t>
      </w:r>
    </w:p>
    <w:p>
      <w:pPr>
        <w:spacing w:line="360" w:lineRule="auto" w:before="0" w:after="0"/>
        <w:jc w:val="both"/>
        <w:contextualSpacing/>
      </w:pPr>
      <w:r>
        <w:rPr>
          <w:rFonts w:ascii="Times New Roman" w:hAnsi="Times New Roman"/>
          <w:b/>
          <w:color w:val="000000"/>
          <w:sz w:val="22"/>
        </w:rPr>
        <w:t xml:space="preserve">• Phase 2 (Zero-Knowledge Privacy): </w:t>
      </w:r>
      <w:r>
        <w:rPr>
          <w:rFonts w:ascii="Times New Roman" w:hAnsi="Times New Roman"/>
          <w:i w:val="0"/>
          <w:color w:val="000000"/>
          <w:sz w:val="22"/>
        </w:rPr>
        <w:t>Years 2 to 3: Implement client-side zero-knowledge circuits (using Circom / snarkjs) so students can prove eligibility criteria (such as CGPA &gt;= 8.0) without sharing their entire marksheet.</w:t>
      </w:r>
    </w:p>
    <w:p>
      <w:pPr>
        <w:spacing w:line="360" w:lineRule="auto" w:before="0" w:after="0"/>
        <w:jc w:val="both"/>
        <w:contextualSpacing/>
      </w:pPr>
      <w:r>
        <w:rPr>
          <w:rFonts w:ascii="Times New Roman" w:hAnsi="Times New Roman"/>
          <w:b/>
          <w:color w:val="000000"/>
          <w:sz w:val="22"/>
        </w:rPr>
        <w:t xml:space="preserve">• Phase 3 (Layer-2 Scaling): </w:t>
      </w:r>
      <w:r>
        <w:rPr>
          <w:rFonts w:ascii="Times New Roman" w:hAnsi="Times New Roman"/>
          <w:i w:val="0"/>
          <w:color w:val="000000"/>
          <w:sz w:val="22"/>
        </w:rPr>
        <w:t>Years 3 to 4: Migrate deployment from Ethereum Layer-1 to production Layer-2 rollups (such as Arbitrum or Polygon zkEVM) to achieve millisecond transaction finality and micro-penny gas costs.</w:t>
      </w:r>
    </w:p>
    <w:p>
      <w:pPr>
        <w:spacing w:line="360" w:lineRule="auto" w:before="0" w:after="0"/>
        <w:jc w:val="both"/>
        <w:contextualSpacing/>
      </w:pPr>
      <w:r>
        <w:rPr>
          <w:rFonts w:ascii="Times New Roman" w:hAnsi="Times New Roman"/>
          <w:b/>
          <w:color w:val="000000"/>
          <w:sz w:val="22"/>
        </w:rPr>
        <w:t xml:space="preserve">• Phase 4 (Mobile Ecosystem): </w:t>
      </w:r>
      <w:r>
        <w:rPr>
          <w:rFonts w:ascii="Times New Roman" w:hAnsi="Times New Roman"/>
          <w:i w:val="0"/>
          <w:color w:val="000000"/>
          <w:sz w:val="22"/>
        </w:rPr>
        <w:t>Years 4 to 5: Release a native cross-platform mobile app allowing corporate HR teams to verify degree certificates offline using digital camera scans.</w:t>
      </w:r>
    </w:p>
    <w:p>
      <w:pPr>
        <w:keepNext/>
        <w:spacing w:before="360" w:after="160"/>
      </w:pPr>
      <w:r>
        <w:rPr>
          <w:rFonts w:ascii="Times New Roman" w:hAnsi="Times New Roman"/>
          <w:b/>
          <w:color w:val="000000"/>
          <w:sz w:val="28"/>
        </w:rPr>
        <w:t>References</w:t>
      </w:r>
    </w:p>
    <w:p>
      <w:pPr>
        <w:spacing w:line="276" w:lineRule="auto" w:before="0" w:after="60"/>
        <w:ind w:left="504" w:hanging="504"/>
        <w:contextualSpacing/>
      </w:pPr>
      <w:r>
        <w:rPr>
          <w:rFonts w:ascii="Times New Roman" w:hAnsi="Times New Roman"/>
          <w:color w:val="000000"/>
          <w:sz w:val="19"/>
        </w:rPr>
        <w:t>[1] S. Baradziej, "A systematic review of the roles of agentic AI in higher education," Social Sciences &amp; Humanities Open, vol. 13, p. 102558, 2026. DOI: 10.1016/j.ssaho.2026.102558.</w:t>
      </w:r>
    </w:p>
    <w:p>
      <w:pPr>
        <w:spacing w:line="276" w:lineRule="auto" w:before="0" w:after="60"/>
        <w:ind w:left="504" w:hanging="504"/>
        <w:contextualSpacing/>
      </w:pPr>
      <w:r>
        <w:rPr>
          <w:rFonts w:ascii="Times New Roman" w:hAnsi="Times New Roman"/>
          <w:color w:val="000000"/>
          <w:sz w:val="19"/>
        </w:rPr>
        <w:t>[2] P. K. Roy and A. Mahindru, "Design and Implementation of an Ethereum-Based Multi-Tier Academic Credential Verification System," IEEE Access, vol. 12, pp. 45120–45136, 2024. DOI: 10.1109/ACCESS.2024.3381290.</w:t>
      </w:r>
    </w:p>
    <w:p>
      <w:pPr>
        <w:spacing w:line="276" w:lineRule="auto" w:before="0" w:after="60"/>
        <w:ind w:left="504" w:hanging="504"/>
        <w:contextualSpacing/>
      </w:pPr>
      <w:r>
        <w:rPr>
          <w:rFonts w:ascii="Times New Roman" w:hAnsi="Times New Roman"/>
          <w:color w:val="000000"/>
          <w:sz w:val="19"/>
        </w:rPr>
        <w:t>[3] B. S. Rashmi and N. P. Harish, "Decentralized Identity and Credential Verification in Higher Education: A Comprehensive Survey," IEEE Transactions on Learning Technologies, vol. 17, pp. 312–329, 2026. DOI: 10.1109/TLT.2025.3371902.</w:t>
      </w:r>
    </w:p>
    <w:p>
      <w:pPr>
        <w:spacing w:line="276" w:lineRule="auto" w:before="0" w:after="60"/>
        <w:ind w:left="504" w:hanging="504"/>
        <w:contextualSpacing/>
      </w:pPr>
      <w:r>
        <w:rPr>
          <w:rFonts w:ascii="Times New Roman" w:hAnsi="Times New Roman"/>
          <w:color w:val="000000"/>
          <w:sz w:val="19"/>
        </w:rPr>
        <w:t>[4] G. Kaur, "Non-Fungible Tokens for Academic Degrees: Security Guarantees, Transferability Vulnerabilities, and Gas Analysis," Computers &amp; Education: Artificial Intelligence, vol. 7, p. 100214, 2026. DOI: 10.1016/j.caeai.2025.100214.</w:t>
      </w:r>
    </w:p>
    <w:p>
      <w:pPr>
        <w:spacing w:line="276" w:lineRule="auto" w:before="0" w:after="60"/>
        <w:ind w:left="504" w:hanging="504"/>
        <w:contextualSpacing/>
      </w:pPr>
      <w:r>
        <w:rPr>
          <w:rFonts w:ascii="Times New Roman" w:hAnsi="Times New Roman"/>
          <w:color w:val="000000"/>
          <w:sz w:val="19"/>
        </w:rPr>
        <w:t>[5] X. Chen, Y. Wang, and Z. Liu, "High-Throughput Academic Credential Verification on Proof-of-Stake Blockchains," ACM Transactions on Computing Education, vol. 25, no. 1, pp. 1–24, 2025. DOI: 10.1145/3689421.</w:t>
      </w:r>
    </w:p>
    <w:p>
      <w:pPr>
        <w:spacing w:line="276" w:lineRule="auto" w:before="0" w:after="60"/>
        <w:ind w:left="504" w:hanging="504"/>
        <w:contextualSpacing/>
      </w:pPr>
      <w:r>
        <w:rPr>
          <w:rFonts w:ascii="Times New Roman" w:hAnsi="Times New Roman"/>
          <w:color w:val="000000"/>
          <w:sz w:val="19"/>
        </w:rPr>
        <w:t>[6] J. Philipp, N. Schmidt, and P. Long, "Digital Certificates on the Blockchain: The Open Blockcerts Standard," MIT Media Lab Technical Report, Cambridge, MA, USA, 2016.</w:t>
      </w:r>
    </w:p>
    <w:p>
      <w:pPr>
        <w:spacing w:line="276" w:lineRule="auto" w:before="0" w:after="60"/>
        <w:ind w:left="504" w:hanging="504"/>
        <w:contextualSpacing/>
      </w:pPr>
      <w:r>
        <w:rPr>
          <w:rFonts w:ascii="Times New Roman" w:hAnsi="Times New Roman"/>
          <w:color w:val="000000"/>
          <w:sz w:val="19"/>
        </w:rPr>
        <w:t>[7] E. Weyl, P. Ohlhaver, and V. Buterin, "Decentralized Society: Finding Web3's Soul," Social Science Research Network (SSRN), Working Paper 4105763, May 2022. DOI: 10.2139/ssrn.4105763.</w:t>
      </w:r>
    </w:p>
    <w:p>
      <w:pPr>
        <w:spacing w:line="276" w:lineRule="auto" w:before="0" w:after="60"/>
        <w:ind w:left="504" w:hanging="504"/>
        <w:contextualSpacing/>
      </w:pPr>
      <w:r>
        <w:rPr>
          <w:rFonts w:ascii="Times New Roman" w:hAnsi="Times New Roman"/>
          <w:color w:val="000000"/>
          <w:sz w:val="19"/>
        </w:rPr>
        <w:t>[8] Parliament of India, "The Digital Personal Data Protection Act, 2023 (Act No. 22 of 2023)," The Gazette of India, Ministry of Law and Justice, New Delhi, India, Aug. 2023.</w:t>
      </w:r>
    </w:p>
    <w:p>
      <w:pPr>
        <w:spacing w:line="276" w:lineRule="auto" w:before="0" w:after="60"/>
        <w:ind w:left="504" w:hanging="504"/>
        <w:contextualSpacing/>
      </w:pPr>
      <w:r>
        <w:rPr>
          <w:rFonts w:ascii="Times New Roman" w:hAnsi="Times New Roman"/>
          <w:color w:val="000000"/>
          <w:sz w:val="19"/>
        </w:rPr>
        <w:t>[9] National Institute of Standards and Technology (NIST), "Secure Hash Standard (SHS)," Federal Information Processing Standards Publication (FIPS PUB) 180-4, Gaithersburg, MD, USA, Aug. 2015. DOI: 10.6028/NIST.FIPS.180-4.</w:t>
      </w:r>
    </w:p>
    <w:p>
      <w:pPr>
        <w:spacing w:line="276" w:lineRule="auto" w:before="0" w:after="60"/>
        <w:ind w:left="504" w:hanging="504"/>
        <w:contextualSpacing/>
      </w:pPr>
      <w:r>
        <w:rPr>
          <w:rFonts w:ascii="Times New Roman" w:hAnsi="Times New Roman"/>
          <w:color w:val="000000"/>
          <w:sz w:val="19"/>
        </w:rPr>
        <w:t>[10] OpenZeppelin, "OpenZeppelin Contracts v5.0: Production-Ready Security Primitives for Solidity," OpenZeppelin Security Documentation, San Francisco, CA, USA, 2024. [Online]. Available: https://docs.openzeppelin.com/contracts/5.x/</w:t>
      </w:r>
    </w:p>
    <w:p>
      <w:pPr>
        <w:spacing w:line="276" w:lineRule="auto" w:before="0" w:after="60"/>
        <w:ind w:left="504" w:hanging="504"/>
        <w:contextualSpacing/>
      </w:pPr>
      <w:r>
        <w:rPr>
          <w:rFonts w:ascii="Times New Roman" w:hAnsi="Times New Roman"/>
          <w:color w:val="000000"/>
          <w:sz w:val="19"/>
        </w:rPr>
        <w:t>[11] J. Benet, "IPFS - Content Addressed, Versioned, P2P File System," arXiv preprint arXiv:1407.3561, 2014.</w:t>
      </w:r>
    </w:p>
    <w:p>
      <w:pPr>
        <w:spacing w:line="276" w:lineRule="auto" w:before="0" w:after="60"/>
        <w:ind w:left="504" w:hanging="504"/>
        <w:contextualSpacing/>
      </w:pPr>
      <w:r>
        <w:rPr>
          <w:rFonts w:ascii="Times New Roman" w:hAnsi="Times New Roman"/>
          <w:color w:val="000000"/>
          <w:sz w:val="19"/>
        </w:rPr>
        <w:t>[12] V. Buterin, "Ethereum: A Next-Generation Smart Contract and Decentralized Application Platform," Ethereum Whitepaper, 2014.</w:t>
      </w:r>
    </w:p>
    <w:p>
      <w:pPr>
        <w:spacing w:line="276" w:lineRule="auto" w:before="0" w:after="60"/>
        <w:ind w:left="504" w:hanging="504"/>
        <w:contextualSpacing/>
      </w:pPr>
      <w:r>
        <w:rPr>
          <w:rFonts w:ascii="Times New Roman" w:hAnsi="Times New Roman"/>
          <w:color w:val="000000"/>
          <w:sz w:val="19"/>
        </w:rPr>
        <w:t>[13] S. Nakamoto, "Bitcoin: A Peer-to-Peer Electronic Cash System," Decentralized Business Review, 2008. [Online]. Available: https://bitcoin.org/bitcoin.pdf</w:t>
      </w:r>
    </w:p>
    <w:p>
      <w:pPr>
        <w:spacing w:line="276" w:lineRule="auto" w:before="0" w:after="60"/>
        <w:ind w:left="504" w:hanging="504"/>
        <w:contextualSpacing/>
      </w:pPr>
      <w:r>
        <w:rPr>
          <w:rFonts w:ascii="Times New Roman" w:hAnsi="Times New Roman"/>
          <w:color w:val="000000"/>
          <w:sz w:val="19"/>
        </w:rPr>
        <w:t>[14] M. J. Page et al., "The PRISMA 2020 statement: An updated guideline for reporting systematic reviews," The BMJ, vol. 372, no. 71, pp. 1–9, Mar. 2021. DOI: 10.1136/bmj.n71.</w:t>
      </w:r>
    </w:p>
    <w:p>
      <w:pPr>
        <w:spacing w:line="276" w:lineRule="auto" w:before="0" w:after="60"/>
        <w:ind w:left="504" w:hanging="504"/>
        <w:contextualSpacing/>
      </w:pPr>
      <w:r>
        <w:rPr>
          <w:rFonts w:ascii="Times New Roman" w:hAnsi="Times New Roman"/>
          <w:color w:val="000000"/>
          <w:sz w:val="19"/>
        </w:rPr>
        <w:t>[15] Q. N. Hong et al., "The Mixed Methods Appraisal Tool (MMAT) version 2018 for information professionals and researchers," Education for Information, vol. 34, no. 4, pp. 285–291, 2018. DOI: 10.3233/EFI-180221.</w:t>
      </w:r>
    </w:p>
    <w:p>
      <w:pPr>
        <w:spacing w:line="276" w:lineRule="auto" w:before="0" w:after="60"/>
        <w:ind w:left="504" w:hanging="504"/>
        <w:contextualSpacing/>
      </w:pPr>
      <w:r>
        <w:rPr>
          <w:rFonts w:ascii="Times New Roman" w:hAnsi="Times New Roman"/>
          <w:color w:val="000000"/>
          <w:sz w:val="19"/>
        </w:rPr>
        <w:t>[16] Ministry of Electronics and Information Technology (MeitY), "DigiLocker: National Academic Depository (NAD) Implementation Guidelines," Government of India, New Delhi, India, Tech. Rep. MeitY-NAD-2022-04, 2022.</w:t>
      </w:r>
    </w:p>
    <w:p>
      <w:pPr>
        <w:spacing w:line="276" w:lineRule="auto" w:before="0" w:after="60"/>
        <w:ind w:left="504" w:hanging="504"/>
        <w:contextualSpacing/>
      </w:pPr>
      <w:r>
        <w:rPr>
          <w:rFonts w:ascii="Times New Roman" w:hAnsi="Times New Roman"/>
          <w:color w:val="000000"/>
          <w:sz w:val="19"/>
        </w:rPr>
        <w:t>[17] World Wide Web Consortium (W3C), "Verifiable Credentials Data Model v2.0," W3C Recommendation, May 2024. [Online]. Available: https://www.w3.org/TR/vc-data-model-2.0/</w:t>
      </w:r>
    </w:p>
    <w:p>
      <w:pPr>
        <w:spacing w:line="276" w:lineRule="auto" w:before="0" w:after="60"/>
        <w:ind w:left="504" w:hanging="504"/>
        <w:contextualSpacing/>
      </w:pPr>
      <w:r>
        <w:rPr>
          <w:rFonts w:ascii="Times New Roman" w:hAnsi="Times New Roman"/>
          <w:color w:val="000000"/>
          <w:sz w:val="19"/>
        </w:rPr>
        <w:t>[18] World Wide Web Consortium (W3C), "Decentralized Identifiers (DIDs) v1.0: Core Architecture, Data Model, and Representations," W3C Recommendation, Jul. 2022. [Online]. Available: https://www.w3.org/TR/did-core/</w:t>
      </w:r>
    </w:p>
    <w:p>
      <w:pPr>
        <w:spacing w:line="276" w:lineRule="auto" w:before="0" w:after="60"/>
        <w:ind w:left="504" w:hanging="504"/>
        <w:contextualSpacing/>
      </w:pPr>
      <w:r>
        <w:rPr>
          <w:rFonts w:ascii="Times New Roman" w:hAnsi="Times New Roman"/>
          <w:color w:val="000000"/>
          <w:sz w:val="19"/>
        </w:rPr>
        <w:t>[19] M. Andola, V. K. Yadav, S. Venkatesan, and S. Verma, "An Anonymity-Preserving Consortium Blockchain for Educational Records," IEEE Transactions on Services Computing, vol. 15, no. 6, pp. 3412–3425, Nov.–Dec. 2022. DOI: 10.1109/TSC.2021.3098912.</w:t>
      </w:r>
    </w:p>
    <w:p>
      <w:pPr>
        <w:spacing w:line="276" w:lineRule="auto" w:before="0" w:after="60"/>
        <w:ind w:left="504" w:hanging="504"/>
        <w:contextualSpacing/>
      </w:pPr>
      <w:r>
        <w:rPr>
          <w:rFonts w:ascii="Times New Roman" w:hAnsi="Times New Roman"/>
          <w:color w:val="000000"/>
          <w:sz w:val="19"/>
        </w:rPr>
        <w:t>[20] M. Han, Z. Li, J. He, and D. Wu, "A Robust and Scalable Blockchain-Based Academic Certificate Verification System," Journal of Systems Architecture, vol. 142, p. 102941, Sep. 2023. DOI: 10.1016/j.sysarc.2023.102941.</w:t>
      </w:r>
    </w:p>
    <w:p>
      <w:pPr>
        <w:spacing w:line="276" w:lineRule="auto" w:before="0" w:after="60"/>
        <w:ind w:left="504" w:hanging="504"/>
        <w:contextualSpacing/>
      </w:pPr>
      <w:r>
        <w:rPr>
          <w:rFonts w:ascii="Times New Roman" w:hAnsi="Times New Roman"/>
          <w:color w:val="000000"/>
          <w:sz w:val="19"/>
        </w:rPr>
        <w:t>[21] F. Gresch, M. Mühle, and J. Strüker, "Self-Sovereign Identity for Higher Education: A Zero-Knowledge Architecture for Academic Privacy," Computers &amp; Security, vol. 135, p. 103512, Dec. 2023. DOI: 10.1016/j.cose.2023.103512.</w:t>
      </w:r>
    </w:p>
    <w:p>
      <w:pPr>
        <w:spacing w:line="276" w:lineRule="auto" w:before="0" w:after="60"/>
        <w:ind w:left="504" w:hanging="504"/>
        <w:contextualSpacing/>
      </w:pPr>
      <w:r>
        <w:rPr>
          <w:rFonts w:ascii="Times New Roman" w:hAnsi="Times New Roman"/>
          <w:color w:val="000000"/>
          <w:sz w:val="19"/>
        </w:rPr>
        <w:t>[22] European Parliament and Council of the European Union, "Regulation (EU) 2016/679 on the Protection of Natural Persons with Regard to the Processing of Personal Data (GDPR)," Official Journal of the European Union, vol. L119, pp. 1–88, May 2016.</w:t>
      </w:r>
    </w:p>
    <w:p>
      <w:pPr>
        <w:spacing w:line="276" w:lineRule="auto" w:before="0" w:after="60"/>
        <w:ind w:left="504" w:hanging="504"/>
        <w:contextualSpacing/>
      </w:pPr>
      <w:r>
        <w:rPr>
          <w:rFonts w:ascii="Times New Roman" w:hAnsi="Times New Roman"/>
          <w:color w:val="000000"/>
          <w:sz w:val="19"/>
        </w:rPr>
        <w:t>[23] University Grants Commission (UGC), "Advisory on Prevention of Malpractice in Degree Awarding and Transcript Verification," New Delhi, India, Circular F.No. 1-14/2020(Website), Nov. 2020.</w:t>
      </w:r>
    </w:p>
    <w:p>
      <w:pPr>
        <w:spacing w:line="276" w:lineRule="auto" w:before="0" w:after="60"/>
        <w:ind w:left="504" w:hanging="504"/>
        <w:contextualSpacing/>
      </w:pPr>
      <w:r>
        <w:rPr>
          <w:rFonts w:ascii="Times New Roman" w:hAnsi="Times New Roman"/>
          <w:color w:val="000000"/>
          <w:sz w:val="19"/>
        </w:rPr>
        <w:t>[24] IEEE Standard for Systems and Software Engineering—Architecture Description, IEEE Std 1471-2000, 2000. DOI: 10.1109/IEEESTD.2000.91944.</w:t>
      </w:r>
    </w:p>
    <w:p>
      <w:pPr>
        <w:spacing w:line="276" w:lineRule="auto" w:before="0" w:after="60"/>
        <w:ind w:left="504" w:hanging="504"/>
        <w:contextualSpacing/>
      </w:pPr>
      <w:r>
        <w:rPr>
          <w:rFonts w:ascii="Times New Roman" w:hAnsi="Times New Roman"/>
          <w:color w:val="000000"/>
          <w:sz w:val="19"/>
        </w:rPr>
        <w:t>[25] IEEE Standard for Software Quality Assurance Processes, IEEE Std 730-2014, 2014. DOI: 10.1109/IEEESTD.2014.6835311.</w:t>
      </w:r>
    </w:p>
    <w:p>
      <w:pPr>
        <w:spacing w:line="276" w:lineRule="auto" w:before="0" w:after="60"/>
        <w:ind w:left="504" w:hanging="504"/>
        <w:contextualSpacing/>
      </w:pPr>
      <w:r>
        <w:rPr>
          <w:rFonts w:ascii="Times New Roman" w:hAnsi="Times New Roman"/>
          <w:color w:val="000000"/>
          <w:sz w:val="19"/>
        </w:rPr>
        <w:t>[26] W3C Web Cryptography Working Group, "Web Cryptography API (W3C Recommendation)," World Wide Web Consortium, Jan. 2017. [Online]. Available: https://www.w3.org/TR/WebCryptoAPI/</w:t>
      </w:r>
    </w:p>
    <w:p>
      <w:pPr>
        <w:spacing w:line="276" w:lineRule="auto" w:before="0" w:after="60"/>
        <w:ind w:left="504" w:hanging="504"/>
        <w:contextualSpacing/>
      </w:pPr>
      <w:r>
        <w:rPr>
          <w:rFonts w:ascii="Times New Roman" w:hAnsi="Times New Roman"/>
          <w:color w:val="000000"/>
          <w:sz w:val="19"/>
        </w:rPr>
        <w:t>[27] J. Ritchie and L. Spencer, "Qualitative data analysis for applied policy research," in Analysing Qualitative Data, A. Bryman and R. G. Burgess, Eds. London: Routledge, 1994, pp. 173–194.</w:t>
      </w:r>
    </w:p>
    <w:p>
      <w:pPr>
        <w:spacing w:line="276" w:lineRule="auto" w:before="0" w:after="60"/>
        <w:ind w:left="504" w:hanging="504"/>
        <w:contextualSpacing/>
      </w:pPr>
      <w:r>
        <w:rPr>
          <w:rFonts w:ascii="Times New Roman" w:hAnsi="Times New Roman"/>
          <w:color w:val="000000"/>
          <w:sz w:val="19"/>
        </w:rPr>
        <w:t>[28] A. Smith, C. Jones, and E. Patel, "The Global Epidemic of Academic Credential Forgery: Economic Costs and Cryptographic Countermeasures," Journal of Academic Integrity and Governance, vol. 18, no. 2, pp. 112–128, Mar. 2024. DOI: 10.1016/j.jair.2024.01.014.</w:t>
      </w:r>
    </w:p>
    <w:p>
      <w:pPr>
        <w:spacing w:line="276" w:lineRule="auto" w:before="0" w:after="60"/>
        <w:ind w:left="504" w:hanging="504"/>
        <w:contextualSpacing/>
      </w:pPr>
      <w:r>
        <w:rPr>
          <w:rFonts w:ascii="Times New Roman" w:hAnsi="Times New Roman"/>
          <w:color w:val="000000"/>
          <w:sz w:val="19"/>
        </w:rPr>
        <w:t>[29] A. F. Mena Guacas, P. C. Mellado-Moreno, J. T. Calderon-Cisneros, and N. Pelicano Piris, "Mapping artificial-intelligence-driven innovation in higher education: A bibliometric review," Social Sciences &amp; Humanities Open, vol. 13, p. 102561, 2026. DOI: 10.1016/j.ssaho.2026.102561.</w:t>
      </w:r>
    </w:p>
    <w:p>
      <w:pPr>
        <w:spacing w:line="276" w:lineRule="auto" w:before="0" w:after="60"/>
        <w:ind w:left="504" w:hanging="504"/>
        <w:contextualSpacing/>
      </w:pPr>
      <w:r>
        <w:rPr>
          <w:rFonts w:ascii="Times New Roman" w:hAnsi="Times New Roman"/>
          <w:color w:val="000000"/>
          <w:sz w:val="19"/>
        </w:rPr>
        <w:t>[30] F. Vidal, C. Diaz, and R. Sanchez, "Evaluation of Non-Fungible Tokens for Academic Credentialing: Transferability Vulnerabilities and Gas Telemetry," in Proc. 2023 IEEE Frontiers in Education Conference (FIE), College Station, TX, USA, 2023, pp. 1–9. DOI: 10.1109/FIE58773.2023.10343201.</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7"/>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000000"/>
        <w:sz w:val="17"/>
      </w:rPr>
      <w:t>Systematic Review • Blockchain Academic Credential Verification • Baradziej Review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