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This document contains claims related to the deep learning system.</w:t>
      </w:r>
    </w:p>
    <w:p>
      <w:pPr>
        <w:sectPr>
          <w:pgSz w:w="12240" w:h="15840"/>
          <w:pgMar w:top="400" w:right="400" w:bottom="400" w:left="400" w:header="720" w:footer="720" w:gutter="0"/>
          <w:cols w:space="720"/>
          <w:docGrid w:linePitch="360"/>
        </w:sectPr>
      </w:pPr>
    </w:p>
    <w:p>
      <w:pPr>
        <w:pStyle w:val="Heading1"/>
      </w:pPr>
      <w:r>
        <w:t>CLAIMS</w:t>
      </w:r>
    </w:p>
    <w:p>
      <w:pPr>
        <w:ind w:left="0" w:right="0"/>
        <w:jc w:val="left"/>
      </w:pPr>
      <w:r>
        <w:rPr>
          <w:sz w:val="20"/>
        </w:rPr>
        <w:t>1. A deep learning system comprising:</w:t>
        <w:br/>
        <w:t xml:space="preserve">   a deep learning architecture;</w:t>
        <w:br/>
        <w:t xml:space="preserve">   a large dataset for training the deep learning architecture;</w:t>
        <w:br/>
        <w:t xml:space="preserve">   transfer learning techniques incorporated in the deep learning architecture;</w:t>
        <w:br/>
        <w:t xml:space="preserve">   minimal retraining required for adapting to new data.</w:t>
      </w:r>
    </w:p>
    <w:p>
      <w:pPr>
        <w:ind w:left="0" w:right="0"/>
        <w:jc w:val="left"/>
      </w:pPr>
      <w:r>
        <w:rPr>
          <w:sz w:val="20"/>
        </w:rPr>
        <w:t>2. The deep learning system of claim 1, wherein the large dataset comprises at least one million data samples.</w:t>
      </w:r>
    </w:p>
    <w:p>
      <w:pPr>
        <w:ind w:left="0" w:right="0"/>
        <w:jc w:val="left"/>
      </w:pPr>
      <w:r>
        <w:rPr>
          <w:sz w:val="20"/>
        </w:rPr>
        <w:t>3. The deep learning system of claim 1, wherein the transfer learning techniques include fine-tuning pre-trained models.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