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rFonts w:ascii="Calibri" w:hAnsi="Calibri"/>
          <w:b/>
          <w:color w:val="000000"/>
          <w:sz w:val="34"/>
          <w:u w:val="single"/>
        </w:rPr>
        <w:t>FMCG Multi-Store Demand Forecasting</w:t>
      </w:r>
    </w:p>
    <w:p>
      <w:r>
        <w:rPr>
          <w:b/>
          <w:color w:val="000000"/>
        </w:rPr>
        <w:t>Himanshu Verma</w:t>
      </w:r>
    </w:p>
    <w:p>
      <w:r>
        <w:rPr>
          <w:color w:val="000000"/>
        </w:rPr>
        <w:t>Forecasting daily units sold for every active store-SKU pair, 14 days ahead.</w:t>
      </w:r>
    </w:p>
    <w:tbl>
      <w:tblPr>
        <w:tblStyle w:val="TableGrid"/>
        <w:tblW w:type="auto" w:w="0"/>
        <w:jc w:val="left"/>
        <w:tblLook w:firstColumn="1" w:firstRow="1" w:lastColumn="0" w:lastRow="0" w:noHBand="0" w:noVBand="1" w:val="04A0"/>
      </w:tblPr>
      <w:tblGrid>
        <w:gridCol w:w="4320"/>
        <w:gridCol w:w="4320"/>
      </w:tblGrid>
      <w:tr>
        <w:tc>
          <w:tcPr>
            <w:tcW w:type="dxa" w:w="4320"/>
            <w:shd w:val="clear" w:fill="F2F2F2"/>
          </w:tcPr>
          <w:p>
            <w:r>
              <w:rPr>
                <w:b/>
                <w:color w:val="000000"/>
                <w:sz w:val="18"/>
              </w:rPr>
            </w:r>
          </w:p>
        </w:tc>
        <w:tc>
          <w:tcPr>
            <w:tcW w:type="dxa" w:w="4320"/>
            <w:shd w:val="clear" w:fill="F2F2F2"/>
          </w:tcPr>
          <w:p>
            <w:r>
              <w:rPr>
                <w:b/>
                <w:color w:val="000000"/>
                <w:sz w:val="18"/>
              </w:rPr>
            </w:r>
          </w:p>
        </w:tc>
      </w:tr>
      <w:tr>
        <w:tc>
          <w:tcPr>
            <w:tcW w:type="dxa" w:w="4320"/>
          </w:tcPr>
          <w:p>
            <w:r>
              <w:rPr>
                <w:color w:val="000000"/>
                <w:sz w:val="18"/>
              </w:rPr>
            </w:r>
            <w:r>
              <w:rPr>
                <w:color w:val="000000"/>
                <w:sz w:val="18"/>
              </w:rPr>
              <w:t>Code (GitHub)</w:t>
            </w:r>
          </w:p>
        </w:tc>
        <w:tc>
          <w:tcPr>
            <w:tcW w:type="dxa" w:w="4320"/>
          </w:tcPr>
          <w:p>
            <w:r>
              <w:rPr>
                <w:color w:val="000000"/>
                <w:sz w:val="18"/>
              </w:rPr>
            </w:r>
            <w:hyperlink r:id="rId9">
              <w:r>
                <w:rPr>
                  <w:color w:val="000000"/>
                  <w:u w:val="single"/>
                </w:rPr>
                <w:t>github.com/Himanshu-Verma-ds/demand-forecasting</w:t>
              </w:r>
            </w:hyperlink>
          </w:p>
        </w:tc>
      </w:tr>
      <w:tr>
        <w:tc>
          <w:tcPr>
            <w:tcW w:type="dxa" w:w="4320"/>
          </w:tcPr>
          <w:p>
            <w:r>
              <w:rPr>
                <w:color w:val="000000"/>
                <w:sz w:val="18"/>
              </w:rPr>
            </w:r>
            <w:r>
              <w:rPr>
                <w:color w:val="000000"/>
                <w:sz w:val="18"/>
              </w:rPr>
              <w:t>Code + data (DagsHub)</w:t>
            </w:r>
          </w:p>
        </w:tc>
        <w:tc>
          <w:tcPr>
            <w:tcW w:type="dxa" w:w="4320"/>
          </w:tcPr>
          <w:p>
            <w:r>
              <w:rPr>
                <w:color w:val="000000"/>
                <w:sz w:val="18"/>
              </w:rPr>
            </w:r>
            <w:hyperlink r:id="rId10">
              <w:r>
                <w:rPr>
                  <w:color w:val="000000"/>
                  <w:u w:val="single"/>
                </w:rPr>
                <w:t>dagshub.com/Himanshu-Verma-ds/demand-forecasting-assignment</w:t>
              </w:r>
            </w:hyperlink>
          </w:p>
        </w:tc>
      </w:tr>
      <w:tr>
        <w:tc>
          <w:tcPr>
            <w:tcW w:type="dxa" w:w="4320"/>
          </w:tcPr>
          <w:p>
            <w:r>
              <w:rPr>
                <w:color w:val="000000"/>
                <w:sz w:val="18"/>
              </w:rPr>
            </w:r>
            <w:r>
              <w:rPr>
                <w:color w:val="000000"/>
                <w:sz w:val="18"/>
              </w:rPr>
              <w:t>MLflow — run 1 (67 runs)</w:t>
            </w:r>
          </w:p>
        </w:tc>
        <w:tc>
          <w:tcPr>
            <w:tcW w:type="dxa" w:w="4320"/>
          </w:tcPr>
          <w:p>
            <w:r>
              <w:rPr>
                <w:color w:val="000000"/>
                <w:sz w:val="18"/>
              </w:rPr>
            </w:r>
            <w:hyperlink r:id="rId11">
              <w:r>
                <w:rPr>
                  <w:color w:val="000000"/>
                  <w:u w:val="single"/>
                </w:rPr>
                <w:t>experiment 2</w:t>
              </w:r>
            </w:hyperlink>
          </w:p>
        </w:tc>
      </w:tr>
      <w:tr>
        <w:tc>
          <w:tcPr>
            <w:tcW w:type="dxa" w:w="4320"/>
          </w:tcPr>
          <w:p>
            <w:r>
              <w:rPr>
                <w:color w:val="000000"/>
                <w:sz w:val="18"/>
              </w:rPr>
            </w:r>
            <w:r>
              <w:rPr>
                <w:color w:val="000000"/>
                <w:sz w:val="18"/>
              </w:rPr>
              <w:t>MLflow — run 2 (96 runs)</w:t>
            </w:r>
          </w:p>
        </w:tc>
        <w:tc>
          <w:tcPr>
            <w:tcW w:type="dxa" w:w="4320"/>
          </w:tcPr>
          <w:p>
            <w:r>
              <w:rPr>
                <w:color w:val="000000"/>
                <w:sz w:val="18"/>
              </w:rPr>
            </w:r>
            <w:hyperlink r:id="rId12">
              <w:r>
                <w:rPr>
                  <w:color w:val="000000"/>
                  <w:u w:val="single"/>
                </w:rPr>
                <w:t>experiment 3</w:t>
              </w:r>
            </w:hyperlink>
          </w:p>
        </w:tc>
      </w:tr>
    </w:tbl>
    <w:p/>
    <w:p>
      <w:r>
        <w:rPr>
          <w:color w:val="000000"/>
        </w:rPr>
        <w:t>Data: 1.1M rows, 2021-01-01 to 2023-12-31, 13 stores, 102 SKUs, 1,005 store-SKU series.</w:t>
      </w:r>
    </w:p>
    <w:p>
      <w:pPr>
        <w:jc w:val="center"/>
      </w:pPr>
      <w:r>
        <w:rPr>
          <w:color w:val="000000"/>
        </w:rPr>
        <w:t>────────────────────────────────────────</w:t>
      </w:r>
    </w:p>
    <w:p>
      <w:pPr>
        <w:pStyle w:val="Heading2"/>
        <w:spacing w:before="320" w:after="120"/>
      </w:pPr>
      <w:r>
        <w:rPr>
          <w:rFonts w:ascii="Calibri" w:hAnsi="Calibri"/>
          <w:b/>
          <w:color w:val="000000"/>
          <w:sz w:val="27"/>
          <w:u w:val="single"/>
        </w:rPr>
        <w:t>1. EDA: what I asked, what I found, why it mattered</w:t>
      </w:r>
    </w:p>
    <w:p>
      <w:r>
        <w:t xml:space="preserve">I ran the EDA to answer specific questions whose answers would become configuration values, not to produce charts. Notebook: </w:t>
      </w:r>
      <w:r>
        <w:rPr>
          <w:rFonts w:ascii="Consolas" w:hAnsi="Consolas"/>
          <w:color w:val="000000"/>
          <w:sz w:val="18"/>
        </w:rPr>
        <w:t>notebooks/01_eda.ipynb</w:t>
      </w:r>
      <w:r>
        <w:rPr>
          <w:color w:val="00000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Question I asked</w:t>
            </w:r>
          </w:p>
        </w:tc>
        <w:tc>
          <w:tcPr>
            <w:tcW w:type="dxa" w:w="2880"/>
            <w:shd w:val="clear" w:fill="F2F2F2"/>
          </w:tcPr>
          <w:p>
            <w:r>
              <w:rPr>
                <w:b/>
                <w:color w:val="000000"/>
                <w:sz w:val="18"/>
              </w:rPr>
            </w:r>
            <w:r>
              <w:rPr>
                <w:b/>
                <w:color w:val="000000"/>
                <w:sz w:val="18"/>
              </w:rPr>
              <w:t>What the data said</w:t>
            </w:r>
          </w:p>
        </w:tc>
        <w:tc>
          <w:tcPr>
            <w:tcW w:type="dxa" w:w="2880"/>
            <w:shd w:val="clear" w:fill="F2F2F2"/>
          </w:tcPr>
          <w:p>
            <w:r>
              <w:rPr>
                <w:b/>
                <w:color w:val="000000"/>
                <w:sz w:val="18"/>
              </w:rPr>
            </w:r>
            <w:r>
              <w:rPr>
                <w:b/>
                <w:color w:val="000000"/>
                <w:sz w:val="18"/>
              </w:rPr>
              <w:t>What I did about it</w:t>
            </w:r>
          </w:p>
        </w:tc>
      </w:tr>
      <w:tr>
        <w:tc>
          <w:tcPr>
            <w:tcW w:type="dxa" w:w="2880"/>
          </w:tcPr>
          <w:p>
            <w:r>
              <w:rPr>
                <w:color w:val="000000"/>
                <w:sz w:val="18"/>
              </w:rPr>
            </w:r>
            <w:r>
              <w:rPr>
                <w:color w:val="000000"/>
                <w:sz w:val="18"/>
              </w:rPr>
              <w:t>Is the data clean enough to build lag features directly?</w:t>
            </w:r>
          </w:p>
        </w:tc>
        <w:tc>
          <w:tcPr>
            <w:tcW w:type="dxa" w:w="2880"/>
          </w:tcPr>
          <w:p>
            <w:r>
              <w:rPr>
                <w:color w:val="000000"/>
                <w:sz w:val="18"/>
              </w:rPr>
            </w:r>
            <w:r>
              <w:rPr>
                <w:color w:val="000000"/>
                <w:sz w:val="18"/>
              </w:rPr>
              <w:t>No missing values; exactly one row per store-SKU-date</w:t>
            </w:r>
          </w:p>
        </w:tc>
        <w:tc>
          <w:tcPr>
            <w:tcW w:type="dxa" w:w="2880"/>
          </w:tcPr>
          <w:p>
            <w:r>
              <w:rPr>
                <w:color w:val="000000"/>
                <w:sz w:val="18"/>
              </w:rPr>
            </w:r>
            <w:r>
              <w:rPr>
                <w:color w:val="000000"/>
                <w:sz w:val="18"/>
              </w:rPr>
              <w:t>Built lags directly, no imputation layer needed underneath</w:t>
            </w:r>
          </w:p>
        </w:tc>
      </w:tr>
      <w:tr>
        <w:tc>
          <w:tcPr>
            <w:tcW w:type="dxa" w:w="2880"/>
          </w:tcPr>
          <w:p>
            <w:r>
              <w:rPr>
                <w:color w:val="000000"/>
                <w:sz w:val="18"/>
              </w:rPr>
            </w:r>
            <w:r>
              <w:rPr>
                <w:color w:val="000000"/>
                <w:sz w:val="18"/>
              </w:rPr>
              <w:t>Do stockouts equal zero inventory?</w:t>
            </w:r>
          </w:p>
        </w:tc>
        <w:tc>
          <w:tcPr>
            <w:tcW w:type="dxa" w:w="2880"/>
          </w:tcPr>
          <w:p>
            <w:r>
              <w:rPr>
                <w:color w:val="000000"/>
                <w:sz w:val="18"/>
              </w:rPr>
            </w:r>
            <w:r>
              <w:rPr>
                <w:color w:val="000000"/>
                <w:sz w:val="18"/>
              </w:rPr>
              <w:t>No. Almost every stockout row still shows positive stock on hand</w:t>
            </w:r>
          </w:p>
        </w:tc>
        <w:tc>
          <w:tcPr>
            <w:tcW w:type="dxa" w:w="2880"/>
          </w:tcPr>
          <w:p>
            <w:r>
              <w:rPr>
                <w:color w:val="000000"/>
                <w:sz w:val="18"/>
              </w:rPr>
            </w:r>
            <w:r>
              <w:rPr>
                <w:color w:val="000000"/>
                <w:sz w:val="18"/>
              </w:rPr>
              <w:t>Treated the stockout flag as authoritative; it cannot be re-derived from inventory</w:t>
            </w:r>
          </w:p>
        </w:tc>
      </w:tr>
      <w:tr>
        <w:tc>
          <w:tcPr>
            <w:tcW w:type="dxa" w:w="2880"/>
          </w:tcPr>
          <w:p>
            <w:r>
              <w:rPr>
                <w:color w:val="000000"/>
                <w:sz w:val="18"/>
              </w:rPr>
            </w:r>
            <w:r>
              <w:rPr>
                <w:color w:val="000000"/>
                <w:sz w:val="18"/>
              </w:rPr>
              <w:t>Is the product/store hierarchy stable?</w:t>
            </w:r>
          </w:p>
        </w:tc>
        <w:tc>
          <w:tcPr>
            <w:tcW w:type="dxa" w:w="2880"/>
          </w:tcPr>
          <w:p>
            <w:r>
              <w:rPr>
                <w:color w:val="000000"/>
                <w:sz w:val="18"/>
              </w:rPr>
            </w:r>
            <w:r>
              <w:rPr>
                <w:color w:val="000000"/>
                <w:sz w:val="18"/>
              </w:rPr>
              <w:t>Every SKU maps to one category, subcategory and brand; every store to one country, city, channel</w:t>
            </w:r>
          </w:p>
        </w:tc>
        <w:tc>
          <w:tcPr>
            <w:tcW w:type="dxa" w:w="2880"/>
          </w:tcPr>
          <w:p>
            <w:r>
              <w:rPr>
                <w:color w:val="000000"/>
                <w:sz w:val="18"/>
              </w:rPr>
            </w:r>
            <w:r>
              <w:rPr>
                <w:color w:val="000000"/>
                <w:sz w:val="18"/>
              </w:rPr>
              <w:t>Encoded static attributes once per series; no effective-dating needed</w:t>
            </w:r>
          </w:p>
        </w:tc>
      </w:tr>
      <w:tr>
        <w:tc>
          <w:tcPr>
            <w:tcW w:type="dxa" w:w="2880"/>
          </w:tcPr>
          <w:p>
            <w:r>
              <w:rPr>
                <w:color w:val="000000"/>
                <w:sz w:val="18"/>
              </w:rPr>
            </w:r>
            <w:r>
              <w:rPr>
                <w:color w:val="000000"/>
                <w:sz w:val="18"/>
              </w:rPr>
              <w:t>Is history dense enough for series-level forecasting?</w:t>
            </w:r>
          </w:p>
        </w:tc>
        <w:tc>
          <w:tcPr>
            <w:tcW w:type="dxa" w:w="2880"/>
          </w:tcPr>
          <w:p>
            <w:r>
              <w:rPr>
                <w:color w:val="000000"/>
                <w:sz w:val="18"/>
              </w:rPr>
            </w:r>
            <w:r>
              <w:rPr>
                <w:color w:val="000000"/>
                <w:sz w:val="18"/>
              </w:rPr>
              <w:t>Median series has all 1,095 days; 1,004 of 1,005 reach the final date</w:t>
            </w:r>
          </w:p>
        </w:tc>
        <w:tc>
          <w:tcPr>
            <w:tcW w:type="dxa" w:w="2880"/>
          </w:tcPr>
          <w:p>
            <w:r>
              <w:rPr>
                <w:color w:val="000000"/>
                <w:sz w:val="18"/>
              </w:rPr>
            </w:r>
            <w:r>
              <w:rPr>
                <w:color w:val="000000"/>
                <w:sz w:val="18"/>
              </w:rPr>
              <w:t>Chose a single global model over all series rather than ~1,000 local ones</w:t>
            </w:r>
          </w:p>
        </w:tc>
      </w:tr>
      <w:tr>
        <w:tc>
          <w:tcPr>
            <w:tcW w:type="dxa" w:w="2880"/>
          </w:tcPr>
          <w:p>
            <w:r>
              <w:rPr>
                <w:color w:val="000000"/>
                <w:sz w:val="18"/>
              </w:rPr>
            </w:r>
            <w:r>
              <w:rPr>
                <w:color w:val="000000"/>
                <w:sz w:val="18"/>
              </w:rPr>
              <w:t>Are any series dead?</w:t>
            </w:r>
          </w:p>
        </w:tc>
        <w:tc>
          <w:tcPr>
            <w:tcW w:type="dxa" w:w="2880"/>
          </w:tcPr>
          <w:p>
            <w:r>
              <w:rPr>
                <w:color w:val="000000"/>
                <w:sz w:val="18"/>
              </w:rPr>
            </w:r>
            <w:r>
              <w:rPr>
                <w:color w:val="000000"/>
                <w:sz w:val="18"/>
              </w:rPr>
              <w:t>One (store 13 / SKU 73) stops on 2022-09-12</w:t>
            </w:r>
          </w:p>
        </w:tc>
        <w:tc>
          <w:tcPr>
            <w:tcW w:type="dxa" w:w="2880"/>
          </w:tcPr>
          <w:p>
            <w:r>
              <w:rPr>
                <w:color w:val="000000"/>
                <w:sz w:val="18"/>
              </w:rPr>
            </w:r>
            <w:r>
              <w:rPr>
                <w:color w:val="000000"/>
                <w:sz w:val="18"/>
              </w:rPr>
              <w:t>Fixed the active forecast set at 1,004 series and excluded it</w:t>
            </w:r>
          </w:p>
        </w:tc>
      </w:tr>
      <w:tr>
        <w:tc>
          <w:tcPr>
            <w:tcW w:type="dxa" w:w="2880"/>
          </w:tcPr>
          <w:p>
            <w:r>
              <w:rPr>
                <w:color w:val="000000"/>
                <w:sz w:val="18"/>
              </w:rPr>
            </w:r>
            <w:r>
              <w:rPr>
                <w:color w:val="000000"/>
                <w:sz w:val="18"/>
              </w:rPr>
              <w:t>What shape is demand?</w:t>
            </w:r>
          </w:p>
        </w:tc>
        <w:tc>
          <w:tcPr>
            <w:tcW w:type="dxa" w:w="2880"/>
          </w:tcPr>
          <w:p>
            <w:r>
              <w:rPr>
                <w:color w:val="000000"/>
                <w:sz w:val="18"/>
              </w:rPr>
            </w:r>
            <w:r>
              <w:rPr>
                <w:color w:val="000000"/>
                <w:sz w:val="18"/>
              </w:rPr>
              <w:t>Right-skewed: median 49, mean 59, max 704</w:t>
            </w:r>
          </w:p>
        </w:tc>
        <w:tc>
          <w:tcPr>
            <w:tcW w:type="dxa" w:w="2880"/>
          </w:tcPr>
          <w:p>
            <w:r>
              <w:rPr>
                <w:color w:val="000000"/>
                <w:sz w:val="18"/>
              </w:rPr>
            </w:r>
            <w:r>
              <w:rPr>
                <w:color w:val="000000"/>
                <w:sz w:val="18"/>
              </w:rPr>
              <w:t>Used absolute-error objectives, and WAPE as the decision metric rather than RMSE</w:t>
            </w:r>
          </w:p>
        </w:tc>
      </w:tr>
      <w:tr>
        <w:tc>
          <w:tcPr>
            <w:tcW w:type="dxa" w:w="2880"/>
          </w:tcPr>
          <w:p>
            <w:r>
              <w:rPr>
                <w:color w:val="000000"/>
                <w:sz w:val="18"/>
              </w:rPr>
            </w:r>
            <w:r>
              <w:rPr>
                <w:color w:val="000000"/>
                <w:sz w:val="18"/>
              </w:rPr>
              <w:t>Is there weekly seasonality?</w:t>
            </w:r>
          </w:p>
        </w:tc>
        <w:tc>
          <w:tcPr>
            <w:tcW w:type="dxa" w:w="2880"/>
          </w:tcPr>
          <w:p>
            <w:r>
              <w:rPr>
                <w:color w:val="000000"/>
                <w:sz w:val="18"/>
              </w:rPr>
            </w:r>
            <w:r>
              <w:rPr>
                <w:color w:val="000000"/>
                <w:sz w:val="18"/>
              </w:rPr>
              <w:t>Autocorrelation peaks cleanly at 7, 14, 21 and 28 days</w:t>
            </w:r>
          </w:p>
        </w:tc>
        <w:tc>
          <w:tcPr>
            <w:tcW w:type="dxa" w:w="2880"/>
          </w:tcPr>
          <w:p>
            <w:r>
              <w:rPr>
                <w:color w:val="000000"/>
                <w:sz w:val="18"/>
              </w:rPr>
            </w:r>
            <w:r>
              <w:rPr>
                <w:color w:val="000000"/>
                <w:sz w:val="18"/>
              </w:rPr>
              <w:t>Set demand lags at 1, 7, 14, 28 days and rolling windows at 7, 14, 28</w:t>
            </w:r>
          </w:p>
        </w:tc>
      </w:tr>
      <w:tr>
        <w:tc>
          <w:tcPr>
            <w:tcW w:type="dxa" w:w="2880"/>
          </w:tcPr>
          <w:p>
            <w:r>
              <w:rPr>
                <w:color w:val="000000"/>
                <w:sz w:val="18"/>
              </w:rPr>
            </w:r>
            <w:r>
              <w:rPr>
                <w:color w:val="000000"/>
                <w:sz w:val="18"/>
              </w:rPr>
              <w:t>Is there annual seasonality?</w:t>
            </w:r>
          </w:p>
        </w:tc>
        <w:tc>
          <w:tcPr>
            <w:tcW w:type="dxa" w:w="2880"/>
          </w:tcPr>
          <w:p>
            <w:r>
              <w:rPr>
                <w:color w:val="000000"/>
                <w:sz w:val="18"/>
              </w:rPr>
            </w:r>
            <w:r>
              <w:rPr>
                <w:color w:val="000000"/>
                <w:sz w:val="18"/>
              </w:rPr>
              <w:t>Peaks in Jun–Aug and Oct–Dec, repeating in all three years</w:t>
            </w:r>
          </w:p>
        </w:tc>
        <w:tc>
          <w:tcPr>
            <w:tcW w:type="dxa" w:w="2880"/>
          </w:tcPr>
          <w:p>
            <w:r>
              <w:rPr>
                <w:color w:val="000000"/>
                <w:sz w:val="18"/>
              </w:rPr>
            </w:r>
            <w:r>
              <w:rPr>
                <w:color w:val="000000"/>
                <w:sz w:val="18"/>
              </w:rPr>
              <w:t>Added cyclical day-of-week, month and day-of-year encodings</w:t>
            </w:r>
          </w:p>
        </w:tc>
      </w:tr>
      <w:tr>
        <w:tc>
          <w:tcPr>
            <w:tcW w:type="dxa" w:w="2880"/>
          </w:tcPr>
          <w:p>
            <w:r>
              <w:rPr>
                <w:color w:val="000000"/>
                <w:sz w:val="18"/>
              </w:rPr>
            </w:r>
            <w:r>
              <w:rPr>
                <w:color w:val="000000"/>
                <w:sz w:val="18"/>
              </w:rPr>
              <w:t>Do promotions matter?</w:t>
            </w:r>
          </w:p>
        </w:tc>
        <w:tc>
          <w:tcPr>
            <w:tcW w:type="dxa" w:w="2880"/>
          </w:tcPr>
          <w:p>
            <w:r>
              <w:rPr>
                <w:color w:val="000000"/>
                <w:sz w:val="18"/>
              </w:rPr>
            </w:r>
            <w:r>
              <w:rPr>
                <w:color w:val="000000"/>
                <w:sz w:val="18"/>
              </w:rPr>
              <w:t>Promo days show 63%–131% higher demand; demand rises with discount depth</w:t>
            </w:r>
          </w:p>
        </w:tc>
        <w:tc>
          <w:tcPr>
            <w:tcW w:type="dxa" w:w="2880"/>
          </w:tcPr>
          <w:p>
            <w:r>
              <w:rPr>
                <w:color w:val="000000"/>
                <w:sz w:val="18"/>
              </w:rPr>
            </w:r>
            <w:r>
              <w:rPr>
                <w:color w:val="000000"/>
                <w:sz w:val="18"/>
              </w:rPr>
              <w:t>Made the promo flag a known-future covariate and gave promo days their own error slice</w:t>
            </w:r>
          </w:p>
        </w:tc>
      </w:tr>
      <w:tr>
        <w:tc>
          <w:tcPr>
            <w:tcW w:type="dxa" w:w="2880"/>
          </w:tcPr>
          <w:p>
            <w:r>
              <w:rPr>
                <w:color w:val="000000"/>
                <w:sz w:val="18"/>
              </w:rPr>
            </w:r>
            <w:r>
              <w:rPr>
                <w:color w:val="000000"/>
                <w:sz w:val="18"/>
              </w:rPr>
              <w:t>How common are stockouts?</w:t>
            </w:r>
          </w:p>
        </w:tc>
        <w:tc>
          <w:tcPr>
            <w:tcW w:type="dxa" w:w="2880"/>
          </w:tcPr>
          <w:p>
            <w:r>
              <w:rPr>
                <w:color w:val="000000"/>
                <w:sz w:val="18"/>
              </w:rPr>
            </w:r>
            <w:r>
              <w:rPr>
                <w:color w:val="000000"/>
                <w:sz w:val="18"/>
              </w:rPr>
              <w:t>~3% of rows</w:t>
            </w:r>
          </w:p>
        </w:tc>
        <w:tc>
          <w:tcPr>
            <w:tcW w:type="dxa" w:w="2880"/>
          </w:tcPr>
          <w:p>
            <w:r>
              <w:rPr>
                <w:color w:val="000000"/>
                <w:sz w:val="18"/>
              </w:rPr>
            </w:r>
            <w:r>
              <w:rPr>
                <w:color w:val="000000"/>
                <w:sz w:val="18"/>
              </w:rPr>
              <w:t>Built a configurable censored-demand target with down-weighting</w:t>
            </w:r>
          </w:p>
        </w:tc>
      </w:tr>
      <w:tr>
        <w:tc>
          <w:tcPr>
            <w:tcW w:type="dxa" w:w="2880"/>
          </w:tcPr>
          <w:p>
            <w:r>
              <w:rPr>
                <w:color w:val="000000"/>
                <w:sz w:val="18"/>
              </w:rPr>
            </w:r>
            <w:r>
              <w:rPr>
                <w:color w:val="000000"/>
                <w:sz w:val="18"/>
              </w:rPr>
              <w:t>Are price and weather usable?</w:t>
            </w:r>
          </w:p>
        </w:tc>
        <w:tc>
          <w:tcPr>
            <w:tcW w:type="dxa" w:w="2880"/>
          </w:tcPr>
          <w:p>
            <w:r>
              <w:rPr>
                <w:color w:val="000000"/>
                <w:sz w:val="18"/>
              </w:rPr>
            </w:r>
            <w:r>
              <w:rPr>
                <w:color w:val="000000"/>
                <w:sz w:val="18"/>
              </w:rPr>
              <w:t>Present historically, but not committed 14 days ahead</w:t>
            </w:r>
          </w:p>
        </w:tc>
        <w:tc>
          <w:tcPr>
            <w:tcW w:type="dxa" w:w="2880"/>
          </w:tcPr>
          <w:p>
            <w:r>
              <w:rPr>
                <w:color w:val="000000"/>
                <w:sz w:val="18"/>
              </w:rPr>
            </w:r>
            <w:r>
              <w:rPr>
                <w:color w:val="000000"/>
                <w:sz w:val="18"/>
              </w:rPr>
              <w:t>Excluded both from future covariates</w:t>
            </w:r>
          </w:p>
        </w:tc>
      </w:tr>
    </w:tbl>
    <w:p/>
    <w:p>
      <w:r>
        <w:rPr>
          <w:color w:val="000000"/>
        </w:rPr>
        <w:t>Two findings did most of the work.</w:t>
      </w:r>
    </w:p>
    <w:p>
      <w:r>
        <w:rPr>
          <w:b/>
          <w:color w:val="000000"/>
        </w:rPr>
        <w:t>The autocorrelation set the lags.</w:t>
      </w:r>
      <w:r>
        <w:rPr>
          <w:color w:val="000000"/>
        </w:rPr>
        <w:t xml:space="preserve"> Peaks at 7, 14, 21 and 28 days are why the lag set is 1, 7, 14 and 28 rather than anything else: one day for short-run level, seven for the same weekday last week, then 14 and 28 to confirm the weekly signal is stable and to span a monthly cycle. The same logic fixed the rolling windows at one, two and four weeks. The cyclical calendar encodings exist because plain integers would place Sunday six units away from Monday, and December twelve from January.</w:t>
      </w:r>
    </w:p>
    <w:p>
      <w:r>
        <w:rPr>
          <w:color w:val="000000"/>
        </w:rPr>
        <w:t>I also let the sequence models choose their own history window rather than fixing it, constrained to whole weeks. They picked 42 days (LSTM), 70 (Transformer) and 56 (TiDE) — six, ten and eight weeks. Every winner is a multiple of seven, which is a quiet confirmation that the weekly structure is real and the models are using it.</w:t>
      </w:r>
    </w:p>
    <w:p>
      <w:r>
        <w:rPr>
          <w:b/>
          <w:color w:val="000000"/>
        </w:rPr>
        <w:t>The promo slice earned its place.</w:t>
      </w:r>
      <w:r>
        <w:rPr>
          <w:color w:val="000000"/>
        </w:rPr>
        <w:t xml:space="preserve"> Promotions are roughly 7% of rows carrying close to double the demand. On validation they score 0.2755 WAPE against 0.2639 on normal days, but the mean absolute error is twice as large: 31.0 units against 15.4. Promotions are the weakest part of the model and the aggregate number barely registers it.</w:t>
      </w:r>
    </w:p>
    <w:p>
      <w:pPr>
        <w:jc w:val="center"/>
      </w:pPr>
      <w:r>
        <w:rPr>
          <w:color w:val="000000"/>
        </w:rPr>
        <w:t>────────────────────────────────────────</w:t>
      </w:r>
    </w:p>
    <w:p>
      <w:pPr>
        <w:pStyle w:val="Heading2"/>
        <w:spacing w:before="320" w:after="120"/>
      </w:pPr>
      <w:r>
        <w:rPr>
          <w:rFonts w:ascii="Calibri" w:hAnsi="Calibri"/>
          <w:b/>
          <w:color w:val="000000"/>
          <w:sz w:val="27"/>
          <w:u w:val="single"/>
        </w:rPr>
        <w:t>2. How I prepared the dataset</w:t>
      </w:r>
    </w:p>
    <w:p>
      <w:r>
        <w:rPr>
          <w:color w:val="000000"/>
        </w:rPr>
        <w:t>Three steps, run identically in training and at inference, which is what makes train/serve skew structurally impossible: load and sort by series and date, build the demand target with stockout handling, then build point-in-time features.</w:t>
      </w:r>
    </w:p>
    <w:p>
      <w:r>
        <w:rPr>
          <w:color w:val="000000"/>
        </w:rPr>
        <w:t>The result is 1.1M rows and 72 columns, of which about 52 numeric and 9 categorical reach the models.</w:t>
      </w:r>
    </w:p>
    <w:p>
      <w:r>
        <w:rPr>
          <w:color w:val="000000"/>
        </w:rPr>
        <w:t>I kept the panel long rather than splitting it per series. Every row carries its store, SKU, channel, category, subcategory and brand, and one global model reads all 1,005 series at once. Every group-wise calculation is scoped to a single store-SKU pair, so no series can contaminate another's lags.</w:t>
      </w:r>
    </w:p>
    <w:p>
      <w:pPr>
        <w:pStyle w:val="Heading3"/>
        <w:spacing w:before="240" w:after="120"/>
      </w:pPr>
      <w:r>
        <w:rPr>
          <w:rFonts w:ascii="Calibri" w:hAnsi="Calibri"/>
          <w:b/>
          <w:color w:val="000000"/>
          <w:sz w:val="23"/>
          <w:u w:val="single"/>
        </w:rPr>
        <w:t>Historical features vs known-future covariates</w:t>
      </w:r>
    </w:p>
    <w:p>
      <w:r>
        <w:rPr>
          <w:color w:val="000000"/>
        </w:rPr>
        <w:t>The split between these two is the core contract of the whole system.</w:t>
      </w:r>
    </w:p>
    <w:tbl>
      <w:tblPr>
        <w:tblStyle w:val="TableGrid"/>
        <w:tblW w:type="auto" w:w="0"/>
        <w:jc w:val="left"/>
        <w:tblLook w:firstColumn="1" w:firstRow="1" w:lastColumn="0" w:lastRow="0" w:noHBand="0" w:noVBand="1" w:val="04A0"/>
      </w:tblPr>
      <w:tblGrid>
        <w:gridCol w:w="4320"/>
        <w:gridCol w:w="4320"/>
      </w:tblGrid>
      <w:tr>
        <w:tc>
          <w:tcPr>
            <w:tcW w:type="dxa" w:w="4320"/>
            <w:shd w:val="clear" w:fill="F2F2F2"/>
          </w:tcPr>
          <w:p>
            <w:r>
              <w:rPr>
                <w:b/>
                <w:color w:val="000000"/>
                <w:sz w:val="18"/>
              </w:rPr>
            </w:r>
            <w:r>
              <w:rPr>
                <w:b/>
                <w:color w:val="000000"/>
                <w:sz w:val="18"/>
              </w:rPr>
              <w:t>Type</w:t>
            </w:r>
          </w:p>
        </w:tc>
        <w:tc>
          <w:tcPr>
            <w:tcW w:type="dxa" w:w="4320"/>
            <w:shd w:val="clear" w:fill="F2F2F2"/>
          </w:tcPr>
          <w:p>
            <w:r>
              <w:rPr>
                <w:b/>
                <w:color w:val="000000"/>
                <w:sz w:val="18"/>
              </w:rPr>
            </w:r>
            <w:r>
              <w:rPr>
                <w:b/>
                <w:color w:val="000000"/>
                <w:sz w:val="18"/>
              </w:rPr>
              <w:t>Features</w:t>
            </w:r>
          </w:p>
        </w:tc>
      </w:tr>
      <w:tr>
        <w:tc>
          <w:tcPr>
            <w:tcW w:type="dxa" w:w="4320"/>
          </w:tcPr>
          <w:p>
            <w:r>
              <w:rPr>
                <w:color w:val="000000"/>
                <w:sz w:val="18"/>
              </w:rPr>
            </w:r>
            <w:r>
              <w:rPr>
                <w:b/>
                <w:color w:val="000000"/>
                <w:sz w:val="18"/>
              </w:rPr>
              <w:t>Historical only</w:t>
            </w:r>
            <w:r>
              <w:rPr>
                <w:color w:val="000000"/>
                <w:sz w:val="18"/>
              </w:rPr>
              <w:t xml:space="preserve"> (never known ahead)</w:t>
            </w:r>
          </w:p>
        </w:tc>
        <w:tc>
          <w:tcPr>
            <w:tcW w:type="dxa" w:w="4320"/>
          </w:tcPr>
          <w:p>
            <w:r>
              <w:rPr>
                <w:color w:val="000000"/>
                <w:sz w:val="18"/>
              </w:rPr>
            </w:r>
            <w:r>
              <w:rPr>
                <w:color w:val="000000"/>
                <w:sz w:val="18"/>
              </w:rPr>
              <w:t>Demand lags at 1, 7, 14, 28 days; rolling mean, standard deviation and max over 7, 14, 28 days; lagged stockout flags and 28-day stockout rate; lagged and rolling stock on hand; lagged price and discount plus their 28-day means; prior-day promo state and 28-day promo rate; day-lagged store-level and SKU-level average demand</w:t>
            </w:r>
          </w:p>
        </w:tc>
      </w:tr>
      <w:tr>
        <w:tc>
          <w:tcPr>
            <w:tcW w:type="dxa" w:w="4320"/>
          </w:tcPr>
          <w:p>
            <w:r>
              <w:rPr>
                <w:color w:val="000000"/>
                <w:sz w:val="18"/>
              </w:rPr>
            </w:r>
            <w:r>
              <w:rPr>
                <w:b/>
                <w:color w:val="000000"/>
                <w:sz w:val="18"/>
              </w:rPr>
              <w:t>Known future</w:t>
            </w:r>
            <w:r>
              <w:rPr>
                <w:color w:val="000000"/>
                <w:sz w:val="18"/>
              </w:rPr>
              <w:t xml:space="preserve"> (available at forecast time)</w:t>
            </w:r>
          </w:p>
        </w:tc>
        <w:tc>
          <w:tcPr>
            <w:tcW w:type="dxa" w:w="4320"/>
          </w:tcPr>
          <w:p>
            <w:r>
              <w:rPr>
                <w:color w:val="000000"/>
                <w:sz w:val="18"/>
              </w:rPr>
            </w:r>
            <w:r>
              <w:rPr>
                <w:color w:val="000000"/>
                <w:sz w:val="18"/>
              </w:rPr>
              <w:t>Calendar: year, month, day, weekday, week of year, weekend flag, holiday flag, and six cyclical encodings. Commercial: promotion flag</w:t>
            </w:r>
          </w:p>
        </w:tc>
      </w:tr>
      <w:tr>
        <w:tc>
          <w:tcPr>
            <w:tcW w:type="dxa" w:w="4320"/>
          </w:tcPr>
          <w:p>
            <w:r>
              <w:rPr>
                <w:color w:val="000000"/>
                <w:sz w:val="18"/>
              </w:rPr>
            </w:r>
            <w:r>
              <w:rPr>
                <w:b/>
                <w:color w:val="000000"/>
                <w:sz w:val="18"/>
              </w:rPr>
              <w:t>Static</w:t>
            </w:r>
          </w:p>
        </w:tc>
        <w:tc>
          <w:tcPr>
            <w:tcW w:type="dxa" w:w="4320"/>
          </w:tcPr>
          <w:p>
            <w:r>
              <w:rPr>
                <w:color w:val="000000"/>
                <w:sz w:val="18"/>
              </w:rPr>
            </w:r>
            <w:r>
              <w:rPr>
                <w:color w:val="000000"/>
                <w:sz w:val="18"/>
              </w:rPr>
              <w:t>Store, SKU, store-SKU key, country, city, channel, category, subcategory, brand, series age</w:t>
            </w:r>
          </w:p>
        </w:tc>
      </w:tr>
      <w:tr>
        <w:tc>
          <w:tcPr>
            <w:tcW w:type="dxa" w:w="4320"/>
          </w:tcPr>
          <w:p>
            <w:r>
              <w:rPr>
                <w:color w:val="000000"/>
                <w:sz w:val="18"/>
              </w:rPr>
            </w:r>
            <w:r>
              <w:rPr>
                <w:b/>
                <w:color w:val="000000"/>
                <w:sz w:val="18"/>
              </w:rPr>
              <w:t>Blocked entirely</w:t>
            </w:r>
          </w:p>
        </w:tc>
        <w:tc>
          <w:tcPr>
            <w:tcW w:type="dxa" w:w="4320"/>
          </w:tcPr>
          <w:p>
            <w:r>
              <w:rPr>
                <w:color w:val="000000"/>
                <w:sz w:val="18"/>
              </w:rPr>
            </w:r>
            <w:r>
              <w:rPr>
                <w:color w:val="000000"/>
                <w:sz w:val="18"/>
              </w:rPr>
              <w:t>Gross and net sales (both are units times price, so they leak the target); same-day stockout flag and stock on hand (outcomes, not inputs); purchase cost and margin, kept only for the business-cost proxy</w:t>
            </w:r>
          </w:p>
        </w:tc>
      </w:tr>
    </w:tbl>
    <w:p/>
    <w:p>
      <w:r>
        <w:rPr>
          <w:color w:val="000000"/>
        </w:rPr>
        <w:t>Price and weather are historically available but excluded from the future set, because a planner running the forecast on day zero would not have committed prices or a 14-day weather forecast. The training contract and the serving contract are the same object.</w:t>
      </w:r>
    </w:p>
    <w:p>
      <w:pPr>
        <w:jc w:val="center"/>
      </w:pPr>
      <w:r>
        <w:rPr>
          <w:color w:val="000000"/>
        </w:rPr>
        <w:t>────────────────────────────────────────</w:t>
      </w:r>
    </w:p>
    <w:p>
      <w:pPr>
        <w:pStyle w:val="Heading2"/>
        <w:spacing w:before="320" w:after="120"/>
      </w:pPr>
      <w:r>
        <w:rPr>
          <w:rFonts w:ascii="Calibri" w:hAnsi="Calibri"/>
          <w:b/>
          <w:color w:val="000000"/>
          <w:sz w:val="27"/>
          <w:u w:val="single"/>
        </w:rPr>
        <w:t>3. How I made sure there was no leakage</w:t>
      </w:r>
    </w:p>
    <w:p>
      <w:r>
        <w:rPr>
          <w:color w:val="000000"/>
        </w:rPr>
        <w:t>Six controls, then proof.</w:t>
      </w:r>
    </w:p>
    <w:p>
      <w:pPr>
        <w:pStyle w:val="ListNumber"/>
      </w:pPr>
      <w:r>
        <w:rPr>
          <w:color w:val="000000"/>
        </w:rPr>
        <w:t>Revenue columns are permanently blocked, since both are units multiplied by price.</w:t>
      </w:r>
    </w:p>
    <w:p>
      <w:pPr>
        <w:pStyle w:val="ListNumber"/>
      </w:pPr>
      <w:r>
        <w:rPr>
          <w:color w:val="000000"/>
        </w:rPr>
        <w:t>Every rolling statistic derived from the target is shifted by one day before being rolled.</w:t>
      </w:r>
    </w:p>
    <w:p>
      <w:pPr>
        <w:pStyle w:val="ListNumber"/>
      </w:pPr>
      <w:r>
        <w:rPr>
          <w:color w:val="000000"/>
        </w:rPr>
        <w:t>Same-day stockout and inventory are never features; only their lagged forms.</w:t>
      </w:r>
    </w:p>
    <w:p>
      <w:pPr>
        <w:pStyle w:val="ListNumber"/>
      </w:pPr>
      <w:r>
        <w:rPr>
          <w:color w:val="000000"/>
        </w:rPr>
        <w:t>The split is chronological, never random.</w:t>
      </w:r>
    </w:p>
    <w:p>
      <w:pPr>
        <w:pStyle w:val="ListNumber"/>
      </w:pPr>
      <w:r>
        <w:rPr>
          <w:color w:val="000000"/>
        </w:rPr>
        <w:t xml:space="preserve">Tree models forecast the validation and test windows </w:t>
      </w:r>
      <w:r>
        <w:rPr>
          <w:b/>
          <w:color w:val="000000"/>
        </w:rPr>
        <w:t>recursively from a fixed origin</w:t>
      </w:r>
      <w:r>
        <w:rPr>
          <w:color w:val="000000"/>
        </w:rPr>
        <w:t>, so day</w:t>
      </w:r>
    </w:p>
    <w:p>
      <w:r>
        <w:t xml:space="preserve">two's one-day lag is day one's </w:t>
      </w:r>
      <w:r>
        <w:rPr>
          <w:i/>
          <w:color w:val="000000"/>
        </w:rPr>
        <w:t>prediction</w:t>
      </w:r>
      <w:r>
        <w:rPr>
          <w:color w:val="000000"/>
        </w:rPr>
        <w:t>, never its actual value.</w:t>
      </w:r>
    </w:p>
    <w:p>
      <w:pPr>
        <w:pStyle w:val="ListNumber"/>
      </w:pPr>
      <w:r>
        <w:rPr>
          <w:color w:val="000000"/>
        </w:rPr>
        <w:t>Scaling statistics and category mappings are fitted on training rows only and frozen into the</w:t>
      </w:r>
    </w:p>
    <w:p>
      <w:r>
        <w:rPr>
          <w:color w:val="000000"/>
        </w:rPr>
        <w:t>saved model.</w:t>
      </w:r>
    </w:p>
    <w:p>
      <w:r>
        <w:t xml:space="preserve">The failure mode I was guarding against is subtle: computing lags across the whole table and </w:t>
      </w:r>
      <w:r>
        <w:rPr>
          <w:i/>
          <w:color w:val="000000"/>
        </w:rPr>
        <w:t>then</w:t>
      </w:r>
      <w:r>
        <w:rPr>
          <w:color w:val="000000"/>
        </w:rPr>
        <w:t xml:space="preserve"> filtering out validation rows leaves December 5th holding December 4th's actual demand, which is unknowable at a December 3rd origin. That single mistake can roughly halve reported error.</w:t>
      </w:r>
    </w:p>
    <w:p>
      <w:r>
        <w:rPr>
          <w:color w:val="000000"/>
        </w:rPr>
        <w:t>Unit tests only cover the feature builder, so I attacked the end-to-end forecast paths directly by corrupting information that is unknowable at the origin and checking the forecast did not move.</w:t>
      </w:r>
    </w:p>
    <w:tbl>
      <w:tblPr>
        <w:tblStyle w:val="TableGrid"/>
        <w:tblW w:type="auto" w:w="0"/>
        <w:jc w:val="left"/>
        <w:tblLook w:firstColumn="1" w:firstRow="1" w:lastColumn="0" w:lastRow="0" w:noHBand="0" w:noVBand="1" w:val="04A0"/>
      </w:tblPr>
      <w:tblGrid>
        <w:gridCol w:w="4320"/>
        <w:gridCol w:w="4320"/>
      </w:tblGrid>
      <w:tr>
        <w:tc>
          <w:tcPr>
            <w:tcW w:type="dxa" w:w="4320"/>
            <w:shd w:val="clear" w:fill="F2F2F2"/>
          </w:tcPr>
          <w:p>
            <w:r>
              <w:rPr>
                <w:b/>
                <w:color w:val="000000"/>
                <w:sz w:val="18"/>
              </w:rPr>
            </w:r>
            <w:r>
              <w:rPr>
                <w:b/>
                <w:color w:val="000000"/>
                <w:sz w:val="18"/>
              </w:rPr>
              <w:t>What I corrupted</w:t>
            </w:r>
          </w:p>
        </w:tc>
        <w:tc>
          <w:tcPr>
            <w:tcW w:type="dxa" w:w="4320"/>
            <w:shd w:val="clear" w:fill="F2F2F2"/>
          </w:tcPr>
          <w:p>
            <w:r>
              <w:rPr>
                <w:b/>
                <w:color w:val="000000"/>
                <w:sz w:val="18"/>
              </w:rPr>
            </w:r>
            <w:r>
              <w:rPr>
                <w:b/>
                <w:color w:val="000000"/>
                <w:sz w:val="18"/>
              </w:rPr>
              <w:t>Result</w:t>
            </w:r>
          </w:p>
        </w:tc>
      </w:tr>
      <w:tr>
        <w:tc>
          <w:tcPr>
            <w:tcW w:type="dxa" w:w="4320"/>
          </w:tcPr>
          <w:p>
            <w:r>
              <w:rPr>
                <w:color w:val="000000"/>
                <w:sz w:val="18"/>
              </w:rPr>
            </w:r>
            <w:r>
              <w:rPr>
                <w:color w:val="000000"/>
                <w:sz w:val="18"/>
              </w:rPr>
              <w:t>Future actual demand, multiplied by 1000</w:t>
            </w:r>
          </w:p>
        </w:tc>
        <w:tc>
          <w:tcPr>
            <w:tcW w:type="dxa" w:w="4320"/>
          </w:tcPr>
          <w:p>
            <w:r>
              <w:rPr>
                <w:color w:val="000000"/>
                <w:sz w:val="18"/>
              </w:rPr>
            </w:r>
            <w:r>
              <w:rPr>
                <w:color w:val="000000"/>
                <w:sz w:val="18"/>
              </w:rPr>
              <w:t>No change to any forecast</w:t>
            </w:r>
          </w:p>
        </w:tc>
      </w:tr>
      <w:tr>
        <w:tc>
          <w:tcPr>
            <w:tcW w:type="dxa" w:w="4320"/>
          </w:tcPr>
          <w:p>
            <w:r>
              <w:rPr>
                <w:color w:val="000000"/>
                <w:sz w:val="18"/>
              </w:rPr>
            </w:r>
            <w:r>
              <w:rPr>
                <w:color w:val="000000"/>
                <w:sz w:val="18"/>
              </w:rPr>
              <w:t>Future stockout flags and inventory</w:t>
            </w:r>
          </w:p>
        </w:tc>
        <w:tc>
          <w:tcPr>
            <w:tcW w:type="dxa" w:w="4320"/>
          </w:tcPr>
          <w:p>
            <w:r>
              <w:rPr>
                <w:color w:val="000000"/>
                <w:sz w:val="18"/>
              </w:rPr>
            </w:r>
            <w:r>
              <w:rPr>
                <w:color w:val="000000"/>
                <w:sz w:val="18"/>
              </w:rPr>
              <w:t>No change</w:t>
            </w:r>
          </w:p>
        </w:tc>
      </w:tr>
      <w:tr>
        <w:tc>
          <w:tcPr>
            <w:tcW w:type="dxa" w:w="4320"/>
          </w:tcPr>
          <w:p>
            <w:r>
              <w:rPr>
                <w:color w:val="000000"/>
                <w:sz w:val="18"/>
              </w:rPr>
            </w:r>
            <w:r>
              <w:rPr>
                <w:color w:val="000000"/>
                <w:sz w:val="18"/>
              </w:rPr>
              <w:t>Future price, discount, temperature, rainfall</w:t>
            </w:r>
          </w:p>
        </w:tc>
        <w:tc>
          <w:tcPr>
            <w:tcW w:type="dxa" w:w="4320"/>
          </w:tcPr>
          <w:p>
            <w:r>
              <w:rPr>
                <w:color w:val="000000"/>
                <w:sz w:val="18"/>
              </w:rPr>
            </w:r>
            <w:r>
              <w:rPr>
                <w:color w:val="000000"/>
                <w:sz w:val="18"/>
              </w:rPr>
              <w:t>No change</w:t>
            </w:r>
          </w:p>
        </w:tc>
      </w:tr>
      <w:tr>
        <w:tc>
          <w:tcPr>
            <w:tcW w:type="dxa" w:w="4320"/>
          </w:tcPr>
          <w:p>
            <w:r>
              <w:rPr>
                <w:color w:val="000000"/>
                <w:sz w:val="18"/>
              </w:rPr>
            </w:r>
            <w:r>
              <w:rPr>
                <w:b/>
                <w:color w:val="000000"/>
                <w:sz w:val="18"/>
              </w:rPr>
              <w:t>Promotion flag</w:t>
            </w:r>
            <w:r>
              <w:rPr>
                <w:color w:val="000000"/>
                <w:sz w:val="18"/>
              </w:rPr>
              <w:t xml:space="preserve"> (declared known)</w:t>
            </w:r>
          </w:p>
        </w:tc>
        <w:tc>
          <w:tcPr>
            <w:tcW w:type="dxa" w:w="4320"/>
          </w:tcPr>
          <w:p>
            <w:r>
              <w:rPr>
                <w:color w:val="000000"/>
                <w:sz w:val="18"/>
              </w:rPr>
            </w:r>
            <w:r>
              <w:rPr>
                <w:color w:val="000000"/>
                <w:sz w:val="18"/>
              </w:rPr>
              <w:t xml:space="preserve">Moved by 151 units — correctly </w:t>
            </w:r>
            <w:r>
              <w:rPr>
                <w:i/>
                <w:color w:val="000000"/>
                <w:sz w:val="18"/>
              </w:rPr>
              <w:t>does</w:t>
            </w:r>
            <w:r>
              <w:rPr>
                <w:color w:val="000000"/>
                <w:sz w:val="18"/>
              </w:rPr>
              <w:t xml:space="preserve"> influence the forecast</w:t>
            </w:r>
          </w:p>
        </w:tc>
      </w:tr>
      <w:tr>
        <w:tc>
          <w:tcPr>
            <w:tcW w:type="dxa" w:w="4320"/>
          </w:tcPr>
          <w:p>
            <w:r>
              <w:rPr>
                <w:color w:val="000000"/>
                <w:sz w:val="18"/>
              </w:rPr>
            </w:r>
            <w:r>
              <w:rPr>
                <w:color w:val="000000"/>
                <w:sz w:val="18"/>
              </w:rPr>
              <w:t>Recursion check: day two's one-day lag</w:t>
            </w:r>
          </w:p>
        </w:tc>
        <w:tc>
          <w:tcPr>
            <w:tcW w:type="dxa" w:w="4320"/>
          </w:tcPr>
          <w:p>
            <w:r>
              <w:rPr>
                <w:color w:val="000000"/>
                <w:sz w:val="18"/>
              </w:rPr>
            </w:r>
            <w:r>
              <w:rPr>
                <w:color w:val="000000"/>
                <w:sz w:val="18"/>
              </w:rPr>
              <w:t>Equals day one's prediction, not its actual</w:t>
            </w:r>
          </w:p>
        </w:tc>
      </w:tr>
      <w:tr>
        <w:tc>
          <w:tcPr>
            <w:tcW w:type="dxa" w:w="4320"/>
          </w:tcPr>
          <w:p>
            <w:r>
              <w:rPr>
                <w:color w:val="000000"/>
                <w:sz w:val="18"/>
              </w:rPr>
            </w:r>
            <w:r>
              <w:rPr>
                <w:color w:val="000000"/>
                <w:sz w:val="18"/>
              </w:rPr>
              <w:t>Stockout target built from train-only vs full data</w:t>
            </w:r>
          </w:p>
        </w:tc>
        <w:tc>
          <w:tcPr>
            <w:tcW w:type="dxa" w:w="4320"/>
          </w:tcPr>
          <w:p>
            <w:r>
              <w:rPr>
                <w:color w:val="000000"/>
                <w:sz w:val="18"/>
              </w:rPr>
            </w:r>
            <w:r>
              <w:rPr>
                <w:color w:val="000000"/>
                <w:sz w:val="18"/>
              </w:rPr>
              <w:t>0 of 21,340 training targets changed</w:t>
            </w:r>
          </w:p>
        </w:tc>
      </w:tr>
    </w:tbl>
    <w:p/>
    <w:p>
      <w:r>
        <w:rPr>
          <w:color w:val="000000"/>
        </w:rPr>
        <w:t>The promotion row is the control. Without it, six zero-deltas would be equally consistent with a model that simply ignores all of its future inputs.</w:t>
      </w:r>
    </w:p>
    <w:p>
      <w:pPr>
        <w:jc w:val="center"/>
      </w:pPr>
      <w:r>
        <w:rPr>
          <w:color w:val="000000"/>
        </w:rPr>
        <w:t>────────────────────────────────────────</w:t>
      </w:r>
    </w:p>
    <w:p>
      <w:pPr>
        <w:pStyle w:val="Heading2"/>
        <w:spacing w:before="320" w:after="120"/>
      </w:pPr>
      <w:r>
        <w:rPr>
          <w:rFonts w:ascii="Calibri" w:hAnsi="Calibri"/>
          <w:b/>
          <w:color w:val="000000"/>
          <w:sz w:val="27"/>
          <w:u w:val="single"/>
        </w:rPr>
        <w:t>4. Train, validation and test split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F2F2F2"/>
          </w:tcPr>
          <w:p>
            <w:r>
              <w:rPr>
                <w:b/>
                <w:color w:val="000000"/>
                <w:sz w:val="18"/>
              </w:rPr>
            </w:r>
            <w:r>
              <w:rPr>
                <w:b/>
                <w:color w:val="000000"/>
                <w:sz w:val="18"/>
              </w:rPr>
              <w:t>Split</w:t>
            </w:r>
          </w:p>
        </w:tc>
        <w:tc>
          <w:tcPr>
            <w:tcW w:type="dxa" w:w="2160"/>
            <w:shd w:val="clear" w:fill="F2F2F2"/>
          </w:tcPr>
          <w:p>
            <w:r>
              <w:rPr>
                <w:b/>
                <w:color w:val="000000"/>
                <w:sz w:val="18"/>
              </w:rPr>
            </w:r>
            <w:r>
              <w:rPr>
                <w:b/>
                <w:color w:val="000000"/>
                <w:sz w:val="18"/>
              </w:rPr>
              <w:t>Dates</w:t>
            </w:r>
          </w:p>
        </w:tc>
        <w:tc>
          <w:tcPr>
            <w:tcW w:type="dxa" w:w="2160"/>
            <w:shd w:val="clear" w:fill="F2F2F2"/>
          </w:tcPr>
          <w:p>
            <w:r>
              <w:rPr>
                <w:b/>
                <w:color w:val="000000"/>
                <w:sz w:val="18"/>
              </w:rPr>
            </w:r>
            <w:r>
              <w:rPr>
                <w:b/>
                <w:color w:val="000000"/>
                <w:sz w:val="18"/>
              </w:rPr>
              <w:t>Rows</w:t>
            </w:r>
          </w:p>
        </w:tc>
        <w:tc>
          <w:tcPr>
            <w:tcW w:type="dxa" w:w="2160"/>
            <w:shd w:val="clear" w:fill="F2F2F2"/>
          </w:tcPr>
          <w:p>
            <w:r>
              <w:rPr>
                <w:b/>
                <w:color w:val="000000"/>
                <w:sz w:val="18"/>
              </w:rPr>
            </w:r>
            <w:r>
              <w:rPr>
                <w:b/>
                <w:color w:val="000000"/>
                <w:sz w:val="18"/>
              </w:rPr>
              <w:t>Purpose</w:t>
            </w:r>
          </w:p>
        </w:tc>
      </w:tr>
      <w:tr>
        <w:tc>
          <w:tcPr>
            <w:tcW w:type="dxa" w:w="2160"/>
          </w:tcPr>
          <w:p>
            <w:r>
              <w:rPr>
                <w:color w:val="000000"/>
                <w:sz w:val="18"/>
              </w:rPr>
            </w:r>
            <w:r>
              <w:rPr>
                <w:color w:val="000000"/>
                <w:sz w:val="18"/>
              </w:rPr>
              <w:t>Train</w:t>
            </w:r>
          </w:p>
        </w:tc>
        <w:tc>
          <w:tcPr>
            <w:tcW w:type="dxa" w:w="2160"/>
          </w:tcPr>
          <w:p>
            <w:r>
              <w:rPr>
                <w:color w:val="000000"/>
                <w:sz w:val="18"/>
              </w:rPr>
            </w:r>
            <w:r>
              <w:rPr>
                <w:color w:val="000000"/>
                <w:sz w:val="18"/>
              </w:rPr>
              <w:t>2021-01-01 to 2023-12-03</w:t>
            </w:r>
          </w:p>
        </w:tc>
        <w:tc>
          <w:tcPr>
            <w:tcW w:type="dxa" w:w="2160"/>
          </w:tcPr>
          <w:p>
            <w:r>
              <w:rPr>
                <w:color w:val="000000"/>
                <w:sz w:val="18"/>
              </w:rPr>
            </w:r>
            <w:r>
              <w:rPr>
                <w:color w:val="000000"/>
                <w:sz w:val="18"/>
              </w:rPr>
              <w:t>1,071,888</w:t>
            </w:r>
          </w:p>
        </w:tc>
        <w:tc>
          <w:tcPr>
            <w:tcW w:type="dxa" w:w="2160"/>
          </w:tcPr>
          <w:p>
            <w:r>
              <w:rPr>
                <w:color w:val="000000"/>
                <w:sz w:val="18"/>
              </w:rPr>
            </w:r>
            <w:r>
              <w:rPr>
                <w:color w:val="000000"/>
                <w:sz w:val="18"/>
              </w:rPr>
              <w:t>Fitting</w:t>
            </w:r>
          </w:p>
        </w:tc>
      </w:tr>
      <w:tr>
        <w:tc>
          <w:tcPr>
            <w:tcW w:type="dxa" w:w="2160"/>
          </w:tcPr>
          <w:p>
            <w:r>
              <w:rPr>
                <w:color w:val="000000"/>
                <w:sz w:val="18"/>
              </w:rPr>
            </w:r>
            <w:r>
              <w:rPr>
                <w:color w:val="000000"/>
                <w:sz w:val="18"/>
              </w:rPr>
              <w:t>Validation</w:t>
            </w:r>
          </w:p>
        </w:tc>
        <w:tc>
          <w:tcPr>
            <w:tcW w:type="dxa" w:w="2160"/>
          </w:tcPr>
          <w:p>
            <w:r>
              <w:rPr>
                <w:color w:val="000000"/>
                <w:sz w:val="18"/>
              </w:rPr>
            </w:r>
            <w:r>
              <w:rPr>
                <w:color w:val="000000"/>
                <w:sz w:val="18"/>
              </w:rPr>
              <w:t>2023-12-04 to 2023-12-17</w:t>
            </w:r>
          </w:p>
        </w:tc>
        <w:tc>
          <w:tcPr>
            <w:tcW w:type="dxa" w:w="2160"/>
          </w:tcPr>
          <w:p>
            <w:r>
              <w:rPr>
                <w:color w:val="000000"/>
                <w:sz w:val="18"/>
              </w:rPr>
            </w:r>
            <w:r>
              <w:rPr>
                <w:color w:val="000000"/>
                <w:sz w:val="18"/>
              </w:rPr>
              <w:t>14,056</w:t>
            </w:r>
          </w:p>
        </w:tc>
        <w:tc>
          <w:tcPr>
            <w:tcW w:type="dxa" w:w="2160"/>
          </w:tcPr>
          <w:p>
            <w:r>
              <w:rPr>
                <w:color w:val="000000"/>
                <w:sz w:val="18"/>
              </w:rPr>
            </w:r>
            <w:r>
              <w:rPr>
                <w:color w:val="000000"/>
                <w:sz w:val="18"/>
              </w:rPr>
              <w:t>Tuning and model selection</w:t>
            </w:r>
          </w:p>
        </w:tc>
      </w:tr>
      <w:tr>
        <w:tc>
          <w:tcPr>
            <w:tcW w:type="dxa" w:w="2160"/>
          </w:tcPr>
          <w:p>
            <w:r>
              <w:rPr>
                <w:color w:val="000000"/>
                <w:sz w:val="18"/>
              </w:rPr>
            </w:r>
            <w:r>
              <w:rPr>
                <w:color w:val="000000"/>
                <w:sz w:val="18"/>
              </w:rPr>
              <w:t>Test</w:t>
            </w:r>
          </w:p>
        </w:tc>
        <w:tc>
          <w:tcPr>
            <w:tcW w:type="dxa" w:w="2160"/>
          </w:tcPr>
          <w:p>
            <w:r>
              <w:rPr>
                <w:color w:val="000000"/>
                <w:sz w:val="18"/>
              </w:rPr>
            </w:r>
            <w:r>
              <w:rPr>
                <w:color w:val="000000"/>
                <w:sz w:val="18"/>
              </w:rPr>
              <w:t>2023-12-18 to 2023-12-31</w:t>
            </w:r>
          </w:p>
        </w:tc>
        <w:tc>
          <w:tcPr>
            <w:tcW w:type="dxa" w:w="2160"/>
          </w:tcPr>
          <w:p>
            <w:r>
              <w:rPr>
                <w:color w:val="000000"/>
                <w:sz w:val="18"/>
              </w:rPr>
            </w:r>
            <w:r>
              <w:rPr>
                <w:color w:val="000000"/>
                <w:sz w:val="18"/>
              </w:rPr>
              <w:t>14,056</w:t>
            </w:r>
          </w:p>
        </w:tc>
        <w:tc>
          <w:tcPr>
            <w:tcW w:type="dxa" w:w="2160"/>
          </w:tcPr>
          <w:p>
            <w:r>
              <w:rPr>
                <w:color w:val="000000"/>
                <w:sz w:val="18"/>
              </w:rPr>
            </w:r>
            <w:r>
              <w:rPr>
                <w:color w:val="000000"/>
                <w:sz w:val="18"/>
              </w:rPr>
              <w:t>Scored once, at the end</w:t>
            </w:r>
          </w:p>
        </w:tc>
      </w:tr>
    </w:tbl>
    <w:p/>
    <w:p>
      <w:r>
        <w:rPr>
          <w:color w:val="000000"/>
        </w:rPr>
        <w:t>Each evaluation window is 1,004 active series across 14 days. Both are 14 days long because the deployed task is a 14-day batch forecast, and selecting on the same geometry means validation measures the real task.</w:t>
      </w:r>
    </w:p>
    <w:p>
      <w:r>
        <w:rPr>
          <w:color w:val="000000"/>
        </w:rPr>
        <w:t>I did not use k-fold. Random folds put future rows into training, and because the features are lags and rolling windows, neighbouring rows are near-duplicates, so a random split leaves copies of nearly every validation row in the training set. After validation froze the configuration, I refit on train plus validation and forecast the test window once from the new origin.</w:t>
      </w:r>
    </w:p>
    <w:p>
      <w:pPr>
        <w:jc w:val="center"/>
      </w:pPr>
      <w:r>
        <w:rPr>
          <w:color w:val="000000"/>
        </w:rPr>
        <w:t>────────────────────────────────────────</w:t>
      </w:r>
    </w:p>
    <w:p>
      <w:pPr>
        <w:pStyle w:val="Heading2"/>
        <w:spacing w:before="320" w:after="120"/>
      </w:pPr>
      <w:r>
        <w:rPr>
          <w:rFonts w:ascii="Calibri" w:hAnsi="Calibri"/>
          <w:b/>
          <w:color w:val="000000"/>
          <w:sz w:val="27"/>
          <w:u w:val="single"/>
        </w:rPr>
        <w:t>5. Tech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Purpose</w:t>
            </w:r>
          </w:p>
        </w:tc>
        <w:tc>
          <w:tcPr>
            <w:tcW w:type="dxa" w:w="2880"/>
            <w:shd w:val="clear" w:fill="F2F2F2"/>
          </w:tcPr>
          <w:p>
            <w:r>
              <w:rPr>
                <w:b/>
                <w:color w:val="000000"/>
                <w:sz w:val="18"/>
              </w:rPr>
            </w:r>
            <w:r>
              <w:rPr>
                <w:b/>
                <w:color w:val="000000"/>
                <w:sz w:val="18"/>
              </w:rPr>
              <w:t>Tool</w:t>
            </w:r>
          </w:p>
        </w:tc>
        <w:tc>
          <w:tcPr>
            <w:tcW w:type="dxa" w:w="2880"/>
            <w:shd w:val="clear" w:fill="F2F2F2"/>
          </w:tcPr>
          <w:p>
            <w:r>
              <w:rPr>
                <w:b/>
                <w:color w:val="000000"/>
                <w:sz w:val="18"/>
              </w:rPr>
            </w:r>
            <w:r>
              <w:rPr>
                <w:b/>
                <w:color w:val="000000"/>
                <w:sz w:val="18"/>
              </w:rPr>
              <w:t>How I used it</w:t>
            </w:r>
          </w:p>
        </w:tc>
      </w:tr>
      <w:tr>
        <w:tc>
          <w:tcPr>
            <w:tcW w:type="dxa" w:w="2880"/>
          </w:tcPr>
          <w:p>
            <w:r>
              <w:rPr>
                <w:color w:val="000000"/>
                <w:sz w:val="18"/>
              </w:rPr>
            </w:r>
            <w:r>
              <w:rPr>
                <w:color w:val="000000"/>
                <w:sz w:val="18"/>
              </w:rPr>
              <w:t>Data versioning</w:t>
            </w:r>
          </w:p>
        </w:tc>
        <w:tc>
          <w:tcPr>
            <w:tcW w:type="dxa" w:w="2880"/>
          </w:tcPr>
          <w:p>
            <w:r>
              <w:rPr>
                <w:color w:val="000000"/>
                <w:sz w:val="18"/>
              </w:rPr>
            </w:r>
            <w:r>
              <w:rPr>
                <w:color w:val="000000"/>
                <w:sz w:val="18"/>
              </w:rPr>
              <w:t>DVC</w:t>
            </w:r>
          </w:p>
        </w:tc>
        <w:tc>
          <w:tcPr>
            <w:tcW w:type="dxa" w:w="2880"/>
          </w:tcPr>
          <w:p>
            <w:r>
              <w:rPr>
                <w:color w:val="000000"/>
                <w:sz w:val="18"/>
              </w:rPr>
            </w:r>
            <w:r>
              <w:rPr>
                <w:color w:val="000000"/>
                <w:sz w:val="18"/>
              </w:rPr>
              <w:t>Tracks the 212 MB raw dataset against a DagsHub remote; only the pointer file is in Git</w:t>
            </w:r>
          </w:p>
        </w:tc>
      </w:tr>
      <w:tr>
        <w:tc>
          <w:tcPr>
            <w:tcW w:type="dxa" w:w="2880"/>
          </w:tcPr>
          <w:p>
            <w:r>
              <w:rPr>
                <w:color w:val="000000"/>
                <w:sz w:val="18"/>
              </w:rPr>
            </w:r>
            <w:r>
              <w:rPr>
                <w:color w:val="000000"/>
                <w:sz w:val="18"/>
              </w:rPr>
              <w:t>Experiment tracking</w:t>
            </w:r>
          </w:p>
        </w:tc>
        <w:tc>
          <w:tcPr>
            <w:tcW w:type="dxa" w:w="2880"/>
          </w:tcPr>
          <w:p>
            <w:r>
              <w:rPr>
                <w:color w:val="000000"/>
                <w:sz w:val="18"/>
              </w:rPr>
            </w:r>
            <w:r>
              <w:rPr>
                <w:color w:val="000000"/>
                <w:sz w:val="18"/>
              </w:rPr>
              <w:t>MLflow on DagsHub</w:t>
            </w:r>
          </w:p>
        </w:tc>
        <w:tc>
          <w:tcPr>
            <w:tcW w:type="dxa" w:w="2880"/>
          </w:tcPr>
          <w:p>
            <w:r>
              <w:rPr>
                <w:color w:val="000000"/>
                <w:sz w:val="18"/>
              </w:rPr>
            </w:r>
            <w:r>
              <w:rPr>
                <w:color w:val="000000"/>
                <w:sz w:val="18"/>
              </w:rPr>
              <w:t>163 runs across two experiments; every tuning trial logged with parameters, metrics and its fitted model</w:t>
            </w:r>
          </w:p>
        </w:tc>
      </w:tr>
      <w:tr>
        <w:tc>
          <w:tcPr>
            <w:tcW w:type="dxa" w:w="2880"/>
          </w:tcPr>
          <w:p>
            <w:r>
              <w:rPr>
                <w:color w:val="000000"/>
                <w:sz w:val="18"/>
              </w:rPr>
            </w:r>
            <w:r>
              <w:rPr>
                <w:color w:val="000000"/>
                <w:sz w:val="18"/>
              </w:rPr>
              <w:t>Code hosting</w:t>
            </w:r>
          </w:p>
        </w:tc>
        <w:tc>
          <w:tcPr>
            <w:tcW w:type="dxa" w:w="2880"/>
          </w:tcPr>
          <w:p>
            <w:r>
              <w:rPr>
                <w:color w:val="000000"/>
                <w:sz w:val="18"/>
              </w:rPr>
            </w:r>
            <w:r>
              <w:rPr>
                <w:color w:val="000000"/>
                <w:sz w:val="18"/>
              </w:rPr>
              <w:t>GitHub + DagsHub</w:t>
            </w:r>
          </w:p>
        </w:tc>
        <w:tc>
          <w:tcPr>
            <w:tcW w:type="dxa" w:w="2880"/>
          </w:tcPr>
          <w:p>
            <w:r>
              <w:rPr>
                <w:color w:val="000000"/>
                <w:sz w:val="18"/>
              </w:rPr>
            </w:r>
            <w:r>
              <w:rPr>
                <w:color w:val="000000"/>
                <w:sz w:val="18"/>
              </w:rPr>
              <w:t>Same history on both; DagsHub also holds the data and experiments</w:t>
            </w:r>
          </w:p>
        </w:tc>
      </w:tr>
      <w:tr>
        <w:tc>
          <w:tcPr>
            <w:tcW w:type="dxa" w:w="2880"/>
          </w:tcPr>
          <w:p>
            <w:r>
              <w:rPr>
                <w:color w:val="000000"/>
                <w:sz w:val="18"/>
              </w:rPr>
            </w:r>
            <w:r>
              <w:rPr>
                <w:color w:val="000000"/>
                <w:sz w:val="18"/>
              </w:rPr>
              <w:t>Hyperparameter search</w:t>
            </w:r>
          </w:p>
        </w:tc>
        <w:tc>
          <w:tcPr>
            <w:tcW w:type="dxa" w:w="2880"/>
          </w:tcPr>
          <w:p>
            <w:r>
              <w:rPr>
                <w:color w:val="000000"/>
                <w:sz w:val="18"/>
              </w:rPr>
            </w:r>
            <w:r>
              <w:rPr>
                <w:color w:val="000000"/>
                <w:sz w:val="18"/>
              </w:rPr>
              <w:t>Optuna (TPE sampler)</w:t>
            </w:r>
          </w:p>
        </w:tc>
        <w:tc>
          <w:tcPr>
            <w:tcW w:type="dxa" w:w="2880"/>
          </w:tcPr>
          <w:p>
            <w:r>
              <w:rPr>
                <w:color w:val="000000"/>
                <w:sz w:val="18"/>
              </w:rPr>
            </w:r>
            <w:r>
              <w:rPr>
                <w:color w:val="000000"/>
                <w:sz w:val="18"/>
              </w:rPr>
              <w:t>Bayesian search scored on a real 14-day recursive forecast; studies persist so an interrupted sweep resumes</w:t>
            </w:r>
          </w:p>
        </w:tc>
      </w:tr>
      <w:tr>
        <w:tc>
          <w:tcPr>
            <w:tcW w:type="dxa" w:w="2880"/>
          </w:tcPr>
          <w:p>
            <w:r>
              <w:rPr>
                <w:color w:val="000000"/>
                <w:sz w:val="18"/>
              </w:rPr>
            </w:r>
            <w:r>
              <w:rPr>
                <w:color w:val="000000"/>
                <w:sz w:val="18"/>
              </w:rPr>
              <w:t>Tree models</w:t>
            </w:r>
          </w:p>
        </w:tc>
        <w:tc>
          <w:tcPr>
            <w:tcW w:type="dxa" w:w="2880"/>
          </w:tcPr>
          <w:p>
            <w:r>
              <w:rPr>
                <w:color w:val="000000"/>
                <w:sz w:val="18"/>
              </w:rPr>
            </w:r>
            <w:r>
              <w:rPr>
                <w:color w:val="000000"/>
                <w:sz w:val="18"/>
              </w:rPr>
              <w:t>LightGBM, XGBoost, CatBoost</w:t>
            </w:r>
          </w:p>
        </w:tc>
        <w:tc>
          <w:tcPr>
            <w:tcW w:type="dxa" w:w="2880"/>
          </w:tcPr>
          <w:p>
            <w:r>
              <w:rPr>
                <w:color w:val="000000"/>
                <w:sz w:val="18"/>
              </w:rPr>
            </w:r>
            <w:r>
              <w:rPr>
                <w:color w:val="000000"/>
                <w:sz w:val="18"/>
              </w:rPr>
              <w:t>Global models over the long panel</w:t>
            </w:r>
          </w:p>
        </w:tc>
      </w:tr>
      <w:tr>
        <w:tc>
          <w:tcPr>
            <w:tcW w:type="dxa" w:w="2880"/>
          </w:tcPr>
          <w:p>
            <w:r>
              <w:rPr>
                <w:color w:val="000000"/>
                <w:sz w:val="18"/>
              </w:rPr>
            </w:r>
            <w:r>
              <w:rPr>
                <w:color w:val="000000"/>
                <w:sz w:val="18"/>
              </w:rPr>
              <w:t>Sequence models</w:t>
            </w:r>
          </w:p>
        </w:tc>
        <w:tc>
          <w:tcPr>
            <w:tcW w:type="dxa" w:w="2880"/>
          </w:tcPr>
          <w:p>
            <w:r>
              <w:rPr>
                <w:color w:val="000000"/>
                <w:sz w:val="18"/>
              </w:rPr>
            </w:r>
            <w:r>
              <w:rPr>
                <w:color w:val="000000"/>
                <w:sz w:val="18"/>
              </w:rPr>
              <w:t>PyTorch (LSTM, Transformer)</w:t>
            </w:r>
          </w:p>
        </w:tc>
        <w:tc>
          <w:tcPr>
            <w:tcW w:type="dxa" w:w="2880"/>
          </w:tcPr>
          <w:p>
            <w:r>
              <w:rPr>
                <w:color w:val="000000"/>
                <w:sz w:val="18"/>
              </w:rPr>
            </w:r>
            <w:r>
              <w:rPr>
                <w:color w:val="000000"/>
                <w:sz w:val="18"/>
              </w:rPr>
              <w:t>Written from scratch, shared weights across all series</w:t>
            </w:r>
          </w:p>
        </w:tc>
      </w:tr>
      <w:tr>
        <w:tc>
          <w:tcPr>
            <w:tcW w:type="dxa" w:w="2880"/>
          </w:tcPr>
          <w:p>
            <w:r>
              <w:rPr>
                <w:color w:val="000000"/>
                <w:sz w:val="18"/>
              </w:rPr>
            </w:r>
            <w:r>
              <w:rPr>
                <w:color w:val="000000"/>
                <w:sz w:val="18"/>
              </w:rPr>
              <w:t>Library models</w:t>
            </w:r>
          </w:p>
        </w:tc>
        <w:tc>
          <w:tcPr>
            <w:tcW w:type="dxa" w:w="2880"/>
          </w:tcPr>
          <w:p>
            <w:r>
              <w:rPr>
                <w:color w:val="000000"/>
                <w:sz w:val="18"/>
              </w:rPr>
            </w:r>
            <w:r>
              <w:rPr>
                <w:color w:val="000000"/>
                <w:sz w:val="18"/>
              </w:rPr>
              <w:t>Darts (TiDE)</w:t>
            </w:r>
          </w:p>
        </w:tc>
        <w:tc>
          <w:tcPr>
            <w:tcW w:type="dxa" w:w="2880"/>
          </w:tcPr>
          <w:p>
            <w:r>
              <w:rPr>
                <w:color w:val="000000"/>
                <w:sz w:val="18"/>
              </w:rPr>
            </w:r>
            <w:r>
              <w:rPr>
                <w:color w:val="000000"/>
                <w:sz w:val="18"/>
              </w:rPr>
              <w:t>Global model with static and future covariates</w:t>
            </w:r>
          </w:p>
        </w:tc>
      </w:tr>
      <w:tr>
        <w:tc>
          <w:tcPr>
            <w:tcW w:type="dxa" w:w="2880"/>
          </w:tcPr>
          <w:p>
            <w:r>
              <w:rPr>
                <w:color w:val="000000"/>
                <w:sz w:val="18"/>
              </w:rPr>
            </w:r>
            <w:r>
              <w:rPr>
                <w:color w:val="000000"/>
                <w:sz w:val="18"/>
              </w:rPr>
              <w:t>Serving</w:t>
            </w:r>
          </w:p>
        </w:tc>
        <w:tc>
          <w:tcPr>
            <w:tcW w:type="dxa" w:w="2880"/>
          </w:tcPr>
          <w:p>
            <w:r>
              <w:rPr>
                <w:color w:val="000000"/>
                <w:sz w:val="18"/>
              </w:rPr>
            </w:r>
            <w:r>
              <w:rPr>
                <w:color w:val="000000"/>
                <w:sz w:val="18"/>
              </w:rPr>
              <w:t>FastAPI</w:t>
            </w:r>
          </w:p>
        </w:tc>
        <w:tc>
          <w:tcPr>
            <w:tcW w:type="dxa" w:w="2880"/>
          </w:tcPr>
          <w:p>
            <w:r>
              <w:rPr>
                <w:color w:val="000000"/>
                <w:sz w:val="18"/>
              </w:rPr>
            </w:r>
            <w:r>
              <w:rPr>
                <w:color w:val="000000"/>
                <w:sz w:val="18"/>
              </w:rPr>
              <w:t>Single forecast endpoint; routes to the right adapter based on the registered model family</w:t>
            </w:r>
          </w:p>
        </w:tc>
      </w:tr>
      <w:tr>
        <w:tc>
          <w:tcPr>
            <w:tcW w:type="dxa" w:w="2880"/>
          </w:tcPr>
          <w:p>
            <w:r>
              <w:rPr>
                <w:color w:val="000000"/>
                <w:sz w:val="18"/>
              </w:rPr>
            </w:r>
            <w:r>
              <w:rPr>
                <w:color w:val="000000"/>
                <w:sz w:val="18"/>
              </w:rPr>
              <w:t>Containerisation</w:t>
            </w:r>
          </w:p>
        </w:tc>
        <w:tc>
          <w:tcPr>
            <w:tcW w:type="dxa" w:w="2880"/>
          </w:tcPr>
          <w:p>
            <w:r>
              <w:rPr>
                <w:color w:val="000000"/>
                <w:sz w:val="18"/>
              </w:rPr>
            </w:r>
            <w:r>
              <w:rPr>
                <w:color w:val="000000"/>
                <w:sz w:val="18"/>
              </w:rPr>
              <w:t>Docker</w:t>
            </w:r>
          </w:p>
        </w:tc>
        <w:tc>
          <w:tcPr>
            <w:tcW w:type="dxa" w:w="2880"/>
          </w:tcPr>
          <w:p>
            <w:r>
              <w:rPr>
                <w:color w:val="000000"/>
                <w:sz w:val="18"/>
              </w:rPr>
            </w:r>
            <w:r>
              <w:rPr>
                <w:color w:val="000000"/>
                <w:sz w:val="18"/>
              </w:rPr>
              <w:t>Slim Python base, non-root user, data and artifacts mounted rather than baked in</w:t>
            </w:r>
          </w:p>
        </w:tc>
      </w:tr>
      <w:tr>
        <w:tc>
          <w:tcPr>
            <w:tcW w:type="dxa" w:w="2880"/>
          </w:tcPr>
          <w:p>
            <w:r>
              <w:rPr>
                <w:color w:val="000000"/>
                <w:sz w:val="18"/>
              </w:rPr>
            </w:r>
            <w:r>
              <w:rPr>
                <w:color w:val="000000"/>
                <w:sz w:val="18"/>
              </w:rPr>
              <w:t>Logging</w:t>
            </w:r>
          </w:p>
        </w:tc>
        <w:tc>
          <w:tcPr>
            <w:tcW w:type="dxa" w:w="2880"/>
          </w:tcPr>
          <w:p>
            <w:r>
              <w:rPr>
                <w:color w:val="000000"/>
                <w:sz w:val="18"/>
              </w:rPr>
            </w:r>
            <w:r>
              <w:rPr>
                <w:color w:val="000000"/>
                <w:sz w:val="18"/>
              </w:rPr>
              <w:t>Python logging</w:t>
            </w:r>
          </w:p>
        </w:tc>
        <w:tc>
          <w:tcPr>
            <w:tcW w:type="dxa" w:w="2880"/>
          </w:tcPr>
          <w:p>
            <w:r>
              <w:rPr>
                <w:color w:val="000000"/>
                <w:sz w:val="18"/>
              </w:rPr>
            </w:r>
            <w:r>
              <w:rPr>
                <w:color w:val="000000"/>
                <w:sz w:val="18"/>
              </w:rPr>
              <w:t>One midnight-rotating file per pipeline step, 14-day retention</w:t>
            </w:r>
          </w:p>
        </w:tc>
      </w:tr>
      <w:tr>
        <w:tc>
          <w:tcPr>
            <w:tcW w:type="dxa" w:w="2880"/>
          </w:tcPr>
          <w:p>
            <w:r>
              <w:rPr>
                <w:color w:val="000000"/>
                <w:sz w:val="18"/>
              </w:rPr>
            </w:r>
            <w:r>
              <w:rPr>
                <w:color w:val="000000"/>
                <w:sz w:val="18"/>
              </w:rPr>
              <w:t>Monitoring</w:t>
            </w:r>
          </w:p>
        </w:tc>
        <w:tc>
          <w:tcPr>
            <w:tcW w:type="dxa" w:w="2880"/>
          </w:tcPr>
          <w:p>
            <w:r>
              <w:rPr>
                <w:color w:val="000000"/>
                <w:sz w:val="18"/>
              </w:rPr>
            </w:r>
            <w:r>
              <w:rPr>
                <w:color w:val="000000"/>
                <w:sz w:val="18"/>
              </w:rPr>
              <w:t>Custom drift module</w:t>
            </w:r>
          </w:p>
        </w:tc>
        <w:tc>
          <w:tcPr>
            <w:tcW w:type="dxa" w:w="2880"/>
          </w:tcPr>
          <w:p>
            <w:r>
              <w:rPr>
                <w:color w:val="000000"/>
                <w:sz w:val="18"/>
              </w:rPr>
            </w:r>
            <w:r>
              <w:rPr>
                <w:color w:val="000000"/>
                <w:sz w:val="18"/>
              </w:rPr>
              <w:t>PSI and KS tests on features, plus an explicit promotional-regime check</w:t>
            </w:r>
          </w:p>
        </w:tc>
      </w:tr>
      <w:tr>
        <w:tc>
          <w:tcPr>
            <w:tcW w:type="dxa" w:w="2880"/>
          </w:tcPr>
          <w:p>
            <w:r>
              <w:rPr>
                <w:color w:val="000000"/>
                <w:sz w:val="18"/>
              </w:rPr>
            </w:r>
            <w:r>
              <w:rPr>
                <w:color w:val="000000"/>
                <w:sz w:val="18"/>
              </w:rPr>
              <w:t>Testing</w:t>
            </w:r>
          </w:p>
        </w:tc>
        <w:tc>
          <w:tcPr>
            <w:tcW w:type="dxa" w:w="2880"/>
          </w:tcPr>
          <w:p>
            <w:r>
              <w:rPr>
                <w:color w:val="000000"/>
                <w:sz w:val="18"/>
              </w:rPr>
            </w:r>
            <w:r>
              <w:rPr>
                <w:color w:val="000000"/>
                <w:sz w:val="18"/>
              </w:rPr>
              <w:t>pytest</w:t>
            </w:r>
          </w:p>
        </w:tc>
        <w:tc>
          <w:tcPr>
            <w:tcW w:type="dxa" w:w="2880"/>
          </w:tcPr>
          <w:p>
            <w:r>
              <w:rPr>
                <w:color w:val="000000"/>
                <w:sz w:val="18"/>
              </w:rPr>
            </w:r>
            <w:r>
              <w:rPr>
                <w:color w:val="000000"/>
                <w:sz w:val="18"/>
              </w:rPr>
              <w:t>28 tests covering leakage, splits, metrics, hierarchy and a performance-equivalence check</w:t>
            </w:r>
          </w:p>
        </w:tc>
      </w:tr>
    </w:tbl>
    <w:p/>
    <w:p>
      <w:pPr>
        <w:jc w:val="center"/>
      </w:pPr>
      <w:r>
        <w:rPr>
          <w:color w:val="000000"/>
        </w:rPr>
        <w:t>────────────────────────────────────────</w:t>
      </w:r>
    </w:p>
    <w:p>
      <w:pPr>
        <w:pStyle w:val="Heading2"/>
        <w:spacing w:before="320" w:after="120"/>
      </w:pPr>
      <w:r>
        <w:rPr>
          <w:rFonts w:ascii="Calibri" w:hAnsi="Calibri"/>
          <w:b/>
          <w:color w:val="000000"/>
          <w:sz w:val="27"/>
          <w:u w:val="single"/>
        </w:rPr>
        <w:t>6. Pipeline flow</w:t>
      </w:r>
    </w:p>
    <w:p>
      <w:pPr>
        <w:pStyle w:val="ListNumber"/>
      </w:pPr>
      <w:r>
        <w:rPr>
          <w:b/>
          <w:color w:val="000000"/>
        </w:rPr>
        <w:t>Prepare</w:t>
      </w:r>
      <w:r>
        <w:rPr>
          <w:color w:val="000000"/>
        </w:rPr>
        <w:t xml:space="preserve"> — load raw data, build the demand target and point-in-time features.</w:t>
      </w:r>
    </w:p>
    <w:p>
      <w:pPr>
        <w:pStyle w:val="ListNumber"/>
      </w:pPr>
      <w:r>
        <w:rPr>
          <w:b/>
          <w:color w:val="000000"/>
        </w:rPr>
        <w:t>Tune</w:t>
      </w:r>
      <w:r>
        <w:rPr>
          <w:color w:val="000000"/>
        </w:rPr>
        <w:t xml:space="preserve"> — Bayesian search per model against a recursive 14-day validation forecast. Every trial</w:t>
      </w:r>
    </w:p>
    <w:p>
      <w:r>
        <w:rPr>
          <w:color w:val="000000"/>
        </w:rPr>
        <w:t>logged to MLflow with its parameters, train and validation metrics, and its fitted model.</w:t>
      </w:r>
    </w:p>
    <w:p>
      <w:pPr>
        <w:pStyle w:val="ListNumber"/>
      </w:pPr>
      <w:r>
        <w:rPr>
          <w:b/>
          <w:color w:val="000000"/>
        </w:rPr>
        <w:t>Train</w:t>
      </w:r>
      <w:r>
        <w:rPr>
          <w:color w:val="000000"/>
        </w:rPr>
        <w:t xml:space="preserve"> — fit on the tuned parameters, evaluate validation, refit on train plus validation,</w:t>
      </w:r>
    </w:p>
    <w:p>
      <w:r>
        <w:rPr>
          <w:color w:val="000000"/>
        </w:rPr>
        <w:t>score test once.</w:t>
      </w:r>
    </w:p>
    <w:p>
      <w:pPr>
        <w:pStyle w:val="ListNumber"/>
      </w:pPr>
      <w:r>
        <w:rPr>
          <w:b/>
          <w:color w:val="000000"/>
        </w:rPr>
        <w:t>Compare</w:t>
      </w:r>
      <w:r>
        <w:rPr>
          <w:color w:val="000000"/>
        </w:rPr>
        <w:t xml:space="preserve"> — rank all models on validation, and report the best in each family.</w:t>
      </w:r>
    </w:p>
    <w:p>
      <w:pPr>
        <w:pStyle w:val="ListNumber"/>
      </w:pPr>
      <w:r>
        <w:rPr>
          <w:b/>
          <w:color w:val="000000"/>
        </w:rPr>
        <w:t>Register</w:t>
      </w:r>
      <w:r>
        <w:rPr>
          <w:color w:val="000000"/>
        </w:rPr>
        <w:t xml:space="preserve"> — promote the validation champion for serving, and separately register all six models</w:t>
      </w:r>
    </w:p>
    <w:p>
      <w:r>
        <w:rPr>
          <w:color w:val="000000"/>
        </w:rPr>
        <w:t>with their metrics for audit.</w:t>
      </w:r>
    </w:p>
    <w:p>
      <w:pPr>
        <w:pStyle w:val="ListNumber"/>
      </w:pPr>
      <w:r>
        <w:rPr>
          <w:b/>
          <w:color w:val="000000"/>
        </w:rPr>
        <w:t>Forecast</w:t>
      </w:r>
      <w:r>
        <w:rPr>
          <w:color w:val="000000"/>
        </w:rPr>
        <w:t xml:space="preserve"> — generate the next 14 days for every active store-SKU pair.</w:t>
      </w:r>
    </w:p>
    <w:p>
      <w:pPr>
        <w:pStyle w:val="ListNumber"/>
      </w:pPr>
      <w:r>
        <w:rPr>
          <w:b/>
          <w:color w:val="000000"/>
        </w:rPr>
        <w:t>Serve</w:t>
      </w:r>
      <w:r>
        <w:rPr>
          <w:color w:val="000000"/>
        </w:rPr>
        <w:t xml:space="preserve"> — the API loads whichever model the registry names.</w:t>
      </w:r>
    </w:p>
    <w:p>
      <w:r>
        <w:rPr>
          <w:color w:val="000000"/>
        </w:rPr>
        <w:t>A single orchestration script runs the whole chain, recording pass/fail per stage and skipping work that already exists so an interrupted run resumes.</w:t>
      </w:r>
    </w:p>
    <w:p>
      <w:pPr>
        <w:jc w:val="center"/>
      </w:pPr>
      <w:r>
        <w:rPr>
          <w:color w:val="000000"/>
        </w:rPr>
        <w:t>────────────────────────────────────────</w:t>
      </w:r>
    </w:p>
    <w:p>
      <w:pPr>
        <w:pStyle w:val="Heading2"/>
        <w:spacing w:before="320" w:after="120"/>
      </w:pPr>
      <w:r>
        <w:rPr>
          <w:rFonts w:ascii="Calibri" w:hAnsi="Calibri"/>
          <w:b/>
          <w:color w:val="000000"/>
          <w:sz w:val="27"/>
          <w:u w:val="single"/>
        </w:rPr>
        <w:t>7. Results</w:t>
      </w:r>
    </w:p>
    <w:p>
      <w:pPr>
        <w:pStyle w:val="Heading3"/>
        <w:spacing w:before="240" w:after="120"/>
      </w:pPr>
      <w:r>
        <w:rPr>
          <w:rFonts w:ascii="Calibri" w:hAnsi="Calibri"/>
          <w:b/>
          <w:color w:val="000000"/>
          <w:sz w:val="23"/>
          <w:u w:val="single"/>
        </w:rPr>
        <w:t>Model comparison</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fill="F2F2F2"/>
          </w:tcPr>
          <w:p>
            <w:r>
              <w:rPr>
                <w:b/>
                <w:color w:val="000000"/>
                <w:sz w:val="18"/>
              </w:rPr>
            </w:r>
            <w:r>
              <w:rPr>
                <w:b/>
                <w:color w:val="000000"/>
                <w:sz w:val="18"/>
              </w:rPr>
              <w:t>Rank</w:t>
            </w:r>
          </w:p>
        </w:tc>
        <w:tc>
          <w:tcPr>
            <w:tcW w:type="dxa" w:w="960"/>
            <w:shd w:val="clear" w:fill="F2F2F2"/>
          </w:tcPr>
          <w:p>
            <w:r>
              <w:rPr>
                <w:b/>
                <w:color w:val="000000"/>
                <w:sz w:val="18"/>
              </w:rPr>
            </w:r>
            <w:r>
              <w:rPr>
                <w:b/>
                <w:color w:val="000000"/>
                <w:sz w:val="18"/>
              </w:rPr>
              <w:t>Model</w:t>
            </w:r>
          </w:p>
        </w:tc>
        <w:tc>
          <w:tcPr>
            <w:tcW w:type="dxa" w:w="960"/>
            <w:shd w:val="clear" w:fill="F2F2F2"/>
          </w:tcPr>
          <w:p>
            <w:r>
              <w:rPr>
                <w:b/>
                <w:color w:val="000000"/>
                <w:sz w:val="18"/>
              </w:rPr>
            </w:r>
            <w:r>
              <w:rPr>
                <w:b/>
                <w:color w:val="000000"/>
                <w:sz w:val="18"/>
              </w:rPr>
              <w:t>Family</w:t>
            </w:r>
          </w:p>
        </w:tc>
        <w:tc>
          <w:tcPr>
            <w:tcW w:type="dxa" w:w="960"/>
            <w:shd w:val="clear" w:fill="F2F2F2"/>
          </w:tcPr>
          <w:p>
            <w:r>
              <w:rPr>
                <w:b/>
                <w:color w:val="000000"/>
                <w:sz w:val="18"/>
              </w:rPr>
            </w:r>
            <w:r>
              <w:rPr>
                <w:b/>
                <w:color w:val="000000"/>
                <w:sz w:val="18"/>
              </w:rPr>
              <w:t>Train WAPE</w:t>
            </w:r>
          </w:p>
        </w:tc>
        <w:tc>
          <w:tcPr>
            <w:tcW w:type="dxa" w:w="960"/>
            <w:shd w:val="clear" w:fill="F2F2F2"/>
          </w:tcPr>
          <w:p>
            <w:r>
              <w:rPr>
                <w:b/>
                <w:color w:val="000000"/>
                <w:sz w:val="18"/>
              </w:rPr>
            </w:r>
            <w:r>
              <w:rPr>
                <w:b/>
                <w:color w:val="000000"/>
                <w:sz w:val="18"/>
              </w:rPr>
              <w:t>Validation WAPE</w:t>
            </w:r>
          </w:p>
        </w:tc>
        <w:tc>
          <w:tcPr>
            <w:tcW w:type="dxa" w:w="960"/>
            <w:shd w:val="clear" w:fill="F2F2F2"/>
          </w:tcPr>
          <w:p>
            <w:r>
              <w:rPr>
                <w:b/>
                <w:color w:val="000000"/>
                <w:sz w:val="18"/>
              </w:rPr>
            </w:r>
            <w:r>
              <w:rPr>
                <w:b/>
                <w:color w:val="000000"/>
                <w:sz w:val="18"/>
              </w:rPr>
              <w:t>Test WAPE</w:t>
            </w:r>
          </w:p>
        </w:tc>
        <w:tc>
          <w:tcPr>
            <w:tcW w:type="dxa" w:w="960"/>
            <w:shd w:val="clear" w:fill="F2F2F2"/>
          </w:tcPr>
          <w:p>
            <w:r>
              <w:rPr>
                <w:b/>
                <w:color w:val="000000"/>
                <w:sz w:val="18"/>
              </w:rPr>
            </w:r>
            <w:r>
              <w:rPr>
                <w:b/>
                <w:color w:val="000000"/>
                <w:sz w:val="18"/>
              </w:rPr>
              <w:t>Test MAPE</w:t>
            </w:r>
          </w:p>
        </w:tc>
        <w:tc>
          <w:tcPr>
            <w:tcW w:type="dxa" w:w="960"/>
            <w:shd w:val="clear" w:fill="F2F2F2"/>
          </w:tcPr>
          <w:p>
            <w:r>
              <w:rPr>
                <w:b/>
                <w:color w:val="000000"/>
                <w:sz w:val="18"/>
              </w:rPr>
            </w:r>
            <w:r>
              <w:rPr>
                <w:b/>
                <w:color w:val="000000"/>
                <w:sz w:val="18"/>
              </w:rPr>
              <w:t>Test MAE</w:t>
            </w:r>
          </w:p>
        </w:tc>
        <w:tc>
          <w:tcPr>
            <w:tcW w:type="dxa" w:w="960"/>
            <w:shd w:val="clear" w:fill="F2F2F2"/>
          </w:tcPr>
          <w:p>
            <w:r>
              <w:rPr>
                <w:b/>
                <w:color w:val="000000"/>
                <w:sz w:val="18"/>
              </w:rPr>
            </w:r>
            <w:r>
              <w:rPr>
                <w:b/>
                <w:color w:val="000000"/>
                <w:sz w:val="18"/>
              </w:rPr>
              <w:t>MLflow run</w:t>
            </w:r>
          </w:p>
        </w:tc>
      </w:tr>
      <w:tr>
        <w:tc>
          <w:tcPr>
            <w:tcW w:type="dxa" w:w="960"/>
          </w:tcPr>
          <w:p>
            <w:r>
              <w:rPr>
                <w:color w:val="000000"/>
                <w:sz w:val="18"/>
              </w:rPr>
            </w:r>
            <w:r>
              <w:rPr>
                <w:color w:val="000000"/>
                <w:sz w:val="18"/>
              </w:rPr>
              <w:t>1</w:t>
            </w:r>
          </w:p>
        </w:tc>
        <w:tc>
          <w:tcPr>
            <w:tcW w:type="dxa" w:w="960"/>
          </w:tcPr>
          <w:p>
            <w:r>
              <w:rPr>
                <w:color w:val="000000"/>
                <w:sz w:val="18"/>
              </w:rPr>
            </w:r>
            <w:r>
              <w:rPr>
                <w:color w:val="000000"/>
                <w:sz w:val="18"/>
              </w:rPr>
              <w:t>Transformer</w:t>
            </w:r>
          </w:p>
        </w:tc>
        <w:tc>
          <w:tcPr>
            <w:tcW w:type="dxa" w:w="960"/>
          </w:tcPr>
          <w:p>
            <w:r>
              <w:rPr>
                <w:color w:val="000000"/>
                <w:sz w:val="18"/>
              </w:rPr>
            </w:r>
            <w:r>
              <w:rPr>
                <w:color w:val="000000"/>
                <w:sz w:val="18"/>
              </w:rPr>
              <w:t>Deep learning</w:t>
            </w:r>
          </w:p>
        </w:tc>
        <w:tc>
          <w:tcPr>
            <w:tcW w:type="dxa" w:w="960"/>
          </w:tcPr>
          <w:p>
            <w:r>
              <w:rPr>
                <w:color w:val="000000"/>
                <w:sz w:val="18"/>
              </w:rPr>
            </w:r>
            <w:r>
              <w:rPr>
                <w:color w:val="000000"/>
                <w:sz w:val="18"/>
              </w:rPr>
              <w:t>—</w:t>
            </w:r>
          </w:p>
        </w:tc>
        <w:tc>
          <w:tcPr>
            <w:tcW w:type="dxa" w:w="960"/>
          </w:tcPr>
          <w:p>
            <w:r>
              <w:rPr>
                <w:color w:val="000000"/>
                <w:sz w:val="18"/>
              </w:rPr>
            </w:r>
            <w:r>
              <w:rPr>
                <w:b/>
                <w:color w:val="000000"/>
                <w:sz w:val="18"/>
              </w:rPr>
              <w:t>0.2654</w:t>
            </w:r>
          </w:p>
        </w:tc>
        <w:tc>
          <w:tcPr>
            <w:tcW w:type="dxa" w:w="960"/>
          </w:tcPr>
          <w:p>
            <w:r>
              <w:rPr>
                <w:color w:val="000000"/>
                <w:sz w:val="18"/>
              </w:rPr>
            </w:r>
            <w:r>
              <w:rPr>
                <w:color w:val="000000"/>
                <w:sz w:val="18"/>
              </w:rPr>
              <w:t>0.2747</w:t>
            </w:r>
          </w:p>
        </w:tc>
        <w:tc>
          <w:tcPr>
            <w:tcW w:type="dxa" w:w="960"/>
          </w:tcPr>
          <w:p>
            <w:r>
              <w:rPr>
                <w:color w:val="000000"/>
                <w:sz w:val="18"/>
              </w:rPr>
            </w:r>
            <w:r>
              <w:rPr>
                <w:color w:val="000000"/>
                <w:sz w:val="18"/>
              </w:rPr>
              <w:t>0.5728</w:t>
            </w:r>
          </w:p>
        </w:tc>
        <w:tc>
          <w:tcPr>
            <w:tcW w:type="dxa" w:w="960"/>
          </w:tcPr>
          <w:p>
            <w:r>
              <w:rPr>
                <w:color w:val="000000"/>
                <w:sz w:val="18"/>
              </w:rPr>
            </w:r>
            <w:r>
              <w:rPr>
                <w:color w:val="000000"/>
                <w:sz w:val="18"/>
              </w:rPr>
              <w:t>17.14</w:t>
            </w:r>
          </w:p>
        </w:tc>
        <w:tc>
          <w:tcPr>
            <w:tcW w:type="dxa" w:w="960"/>
          </w:tcPr>
          <w:p>
            <w:r>
              <w:rPr>
                <w:color w:val="000000"/>
                <w:sz w:val="18"/>
              </w:rPr>
            </w:r>
            <w:hyperlink r:id="rId13">
              <w:r>
                <w:rPr>
                  <w:color w:val="000000"/>
                  <w:u w:val="single"/>
                </w:rPr>
                <w:t>run</w:t>
              </w:r>
            </w:hyperlink>
          </w:p>
        </w:tc>
      </w:tr>
      <w:tr>
        <w:tc>
          <w:tcPr>
            <w:tcW w:type="dxa" w:w="960"/>
          </w:tcPr>
          <w:p>
            <w:r>
              <w:rPr>
                <w:color w:val="000000"/>
                <w:sz w:val="18"/>
              </w:rPr>
            </w:r>
            <w:r>
              <w:rPr>
                <w:color w:val="000000"/>
                <w:sz w:val="18"/>
              </w:rPr>
              <w:t>2</w:t>
            </w:r>
          </w:p>
        </w:tc>
        <w:tc>
          <w:tcPr>
            <w:tcW w:type="dxa" w:w="960"/>
          </w:tcPr>
          <w:p>
            <w:r>
              <w:rPr>
                <w:color w:val="000000"/>
                <w:sz w:val="18"/>
              </w:rPr>
            </w:r>
            <w:r>
              <w:rPr>
                <w:color w:val="000000"/>
                <w:sz w:val="18"/>
              </w:rPr>
              <w:t>LSTM</w:t>
            </w:r>
          </w:p>
        </w:tc>
        <w:tc>
          <w:tcPr>
            <w:tcW w:type="dxa" w:w="960"/>
          </w:tcPr>
          <w:p>
            <w:r>
              <w:rPr>
                <w:color w:val="000000"/>
                <w:sz w:val="18"/>
              </w:rPr>
            </w:r>
            <w:r>
              <w:rPr>
                <w:color w:val="000000"/>
                <w:sz w:val="18"/>
              </w:rPr>
              <w:t>Deep learning</w:t>
            </w:r>
          </w:p>
        </w:tc>
        <w:tc>
          <w:tcPr>
            <w:tcW w:type="dxa" w:w="960"/>
          </w:tcPr>
          <w:p>
            <w:r>
              <w:rPr>
                <w:color w:val="000000"/>
                <w:sz w:val="18"/>
              </w:rPr>
            </w:r>
            <w:r>
              <w:rPr>
                <w:color w:val="000000"/>
                <w:sz w:val="18"/>
              </w:rPr>
              <w:t>—</w:t>
            </w:r>
          </w:p>
        </w:tc>
        <w:tc>
          <w:tcPr>
            <w:tcW w:type="dxa" w:w="960"/>
          </w:tcPr>
          <w:p>
            <w:r>
              <w:rPr>
                <w:color w:val="000000"/>
                <w:sz w:val="18"/>
              </w:rPr>
            </w:r>
            <w:r>
              <w:rPr>
                <w:color w:val="000000"/>
                <w:sz w:val="18"/>
              </w:rPr>
              <w:t>0.2662</w:t>
            </w:r>
          </w:p>
        </w:tc>
        <w:tc>
          <w:tcPr>
            <w:tcW w:type="dxa" w:w="960"/>
          </w:tcPr>
          <w:p>
            <w:r>
              <w:rPr>
                <w:color w:val="000000"/>
                <w:sz w:val="18"/>
              </w:rPr>
            </w:r>
            <w:r>
              <w:rPr>
                <w:b/>
                <w:color w:val="000000"/>
                <w:sz w:val="18"/>
              </w:rPr>
              <w:t>0.2673</w:t>
            </w:r>
          </w:p>
        </w:tc>
        <w:tc>
          <w:tcPr>
            <w:tcW w:type="dxa" w:w="960"/>
          </w:tcPr>
          <w:p>
            <w:r>
              <w:rPr>
                <w:color w:val="000000"/>
                <w:sz w:val="18"/>
              </w:rPr>
            </w:r>
            <w:r>
              <w:rPr>
                <w:b/>
                <w:color w:val="000000"/>
                <w:sz w:val="18"/>
              </w:rPr>
              <w:t>0.5134</w:t>
            </w:r>
          </w:p>
        </w:tc>
        <w:tc>
          <w:tcPr>
            <w:tcW w:type="dxa" w:w="960"/>
          </w:tcPr>
          <w:p>
            <w:r>
              <w:rPr>
                <w:color w:val="000000"/>
                <w:sz w:val="18"/>
              </w:rPr>
            </w:r>
            <w:r>
              <w:rPr>
                <w:b/>
                <w:color w:val="000000"/>
                <w:sz w:val="18"/>
              </w:rPr>
              <w:t>16.68</w:t>
            </w:r>
          </w:p>
        </w:tc>
        <w:tc>
          <w:tcPr>
            <w:tcW w:type="dxa" w:w="960"/>
          </w:tcPr>
          <w:p>
            <w:r>
              <w:rPr>
                <w:color w:val="000000"/>
                <w:sz w:val="18"/>
              </w:rPr>
            </w:r>
            <w:hyperlink r:id="rId14">
              <w:r>
                <w:rPr>
                  <w:color w:val="000000"/>
                  <w:u w:val="single"/>
                </w:rPr>
                <w:t>run</w:t>
              </w:r>
            </w:hyperlink>
          </w:p>
        </w:tc>
      </w:tr>
      <w:tr>
        <w:tc>
          <w:tcPr>
            <w:tcW w:type="dxa" w:w="960"/>
          </w:tcPr>
          <w:p>
            <w:r>
              <w:rPr>
                <w:color w:val="000000"/>
                <w:sz w:val="18"/>
              </w:rPr>
            </w:r>
            <w:r>
              <w:rPr>
                <w:color w:val="000000"/>
                <w:sz w:val="18"/>
              </w:rPr>
              <w:t>3</w:t>
            </w:r>
          </w:p>
        </w:tc>
        <w:tc>
          <w:tcPr>
            <w:tcW w:type="dxa" w:w="960"/>
          </w:tcPr>
          <w:p>
            <w:r>
              <w:rPr>
                <w:color w:val="000000"/>
                <w:sz w:val="18"/>
              </w:rPr>
            </w:r>
            <w:r>
              <w:rPr>
                <w:color w:val="000000"/>
                <w:sz w:val="18"/>
              </w:rPr>
              <w:t>CatBoost</w:t>
            </w:r>
          </w:p>
        </w:tc>
        <w:tc>
          <w:tcPr>
            <w:tcW w:type="dxa" w:w="960"/>
          </w:tcPr>
          <w:p>
            <w:r>
              <w:rPr>
                <w:color w:val="000000"/>
                <w:sz w:val="18"/>
              </w:rPr>
            </w:r>
            <w:r>
              <w:rPr>
                <w:color w:val="000000"/>
                <w:sz w:val="18"/>
              </w:rPr>
              <w:t>Tree</w:t>
            </w:r>
          </w:p>
        </w:tc>
        <w:tc>
          <w:tcPr>
            <w:tcW w:type="dxa" w:w="960"/>
          </w:tcPr>
          <w:p>
            <w:r>
              <w:rPr>
                <w:color w:val="000000"/>
                <w:sz w:val="18"/>
              </w:rPr>
            </w:r>
            <w:r>
              <w:rPr>
                <w:color w:val="000000"/>
                <w:sz w:val="18"/>
              </w:rPr>
              <w:t>0.2664</w:t>
            </w:r>
          </w:p>
        </w:tc>
        <w:tc>
          <w:tcPr>
            <w:tcW w:type="dxa" w:w="960"/>
          </w:tcPr>
          <w:p>
            <w:r>
              <w:rPr>
                <w:color w:val="000000"/>
                <w:sz w:val="18"/>
              </w:rPr>
            </w:r>
            <w:r>
              <w:rPr>
                <w:color w:val="000000"/>
                <w:sz w:val="18"/>
              </w:rPr>
              <w:t>0.2719</w:t>
            </w:r>
          </w:p>
        </w:tc>
        <w:tc>
          <w:tcPr>
            <w:tcW w:type="dxa" w:w="960"/>
          </w:tcPr>
          <w:p>
            <w:r>
              <w:rPr>
                <w:color w:val="000000"/>
                <w:sz w:val="18"/>
              </w:rPr>
            </w:r>
            <w:r>
              <w:rPr>
                <w:color w:val="000000"/>
                <w:sz w:val="18"/>
              </w:rPr>
              <w:t>0.2683</w:t>
            </w:r>
          </w:p>
        </w:tc>
        <w:tc>
          <w:tcPr>
            <w:tcW w:type="dxa" w:w="960"/>
          </w:tcPr>
          <w:p>
            <w:r>
              <w:rPr>
                <w:color w:val="000000"/>
                <w:sz w:val="18"/>
              </w:rPr>
            </w:r>
            <w:r>
              <w:rPr>
                <w:color w:val="000000"/>
                <w:sz w:val="18"/>
              </w:rPr>
              <w:t>0.5283</w:t>
            </w:r>
          </w:p>
        </w:tc>
        <w:tc>
          <w:tcPr>
            <w:tcW w:type="dxa" w:w="960"/>
          </w:tcPr>
          <w:p>
            <w:r>
              <w:rPr>
                <w:color w:val="000000"/>
                <w:sz w:val="18"/>
              </w:rPr>
            </w:r>
            <w:r>
              <w:rPr>
                <w:color w:val="000000"/>
                <w:sz w:val="18"/>
              </w:rPr>
              <w:t>16.75</w:t>
            </w:r>
          </w:p>
        </w:tc>
        <w:tc>
          <w:tcPr>
            <w:tcW w:type="dxa" w:w="960"/>
          </w:tcPr>
          <w:p>
            <w:r>
              <w:rPr>
                <w:color w:val="000000"/>
                <w:sz w:val="18"/>
              </w:rPr>
            </w:r>
            <w:hyperlink r:id="rId15">
              <w:r>
                <w:rPr>
                  <w:color w:val="000000"/>
                  <w:u w:val="single"/>
                </w:rPr>
                <w:t>run</w:t>
              </w:r>
            </w:hyperlink>
          </w:p>
        </w:tc>
      </w:tr>
      <w:tr>
        <w:tc>
          <w:tcPr>
            <w:tcW w:type="dxa" w:w="960"/>
          </w:tcPr>
          <w:p>
            <w:r>
              <w:rPr>
                <w:color w:val="000000"/>
                <w:sz w:val="18"/>
              </w:rPr>
            </w:r>
            <w:r>
              <w:rPr>
                <w:color w:val="000000"/>
                <w:sz w:val="18"/>
              </w:rPr>
              <w:t>4</w:t>
            </w:r>
          </w:p>
        </w:tc>
        <w:tc>
          <w:tcPr>
            <w:tcW w:type="dxa" w:w="960"/>
          </w:tcPr>
          <w:p>
            <w:r>
              <w:rPr>
                <w:color w:val="000000"/>
                <w:sz w:val="18"/>
              </w:rPr>
            </w:r>
            <w:r>
              <w:rPr>
                <w:color w:val="000000"/>
                <w:sz w:val="18"/>
              </w:rPr>
              <w:t>XGBoost</w:t>
            </w:r>
          </w:p>
        </w:tc>
        <w:tc>
          <w:tcPr>
            <w:tcW w:type="dxa" w:w="960"/>
          </w:tcPr>
          <w:p>
            <w:r>
              <w:rPr>
                <w:color w:val="000000"/>
                <w:sz w:val="18"/>
              </w:rPr>
            </w:r>
            <w:r>
              <w:rPr>
                <w:color w:val="000000"/>
                <w:sz w:val="18"/>
              </w:rPr>
              <w:t>Tree</w:t>
            </w:r>
          </w:p>
        </w:tc>
        <w:tc>
          <w:tcPr>
            <w:tcW w:type="dxa" w:w="960"/>
          </w:tcPr>
          <w:p>
            <w:r>
              <w:rPr>
                <w:color w:val="000000"/>
                <w:sz w:val="18"/>
              </w:rPr>
            </w:r>
            <w:r>
              <w:rPr>
                <w:color w:val="000000"/>
                <w:sz w:val="18"/>
              </w:rPr>
              <w:t>0.2584</w:t>
            </w:r>
          </w:p>
        </w:tc>
        <w:tc>
          <w:tcPr>
            <w:tcW w:type="dxa" w:w="960"/>
          </w:tcPr>
          <w:p>
            <w:r>
              <w:rPr>
                <w:color w:val="000000"/>
                <w:sz w:val="18"/>
              </w:rPr>
            </w:r>
            <w:r>
              <w:rPr>
                <w:color w:val="000000"/>
                <w:sz w:val="18"/>
              </w:rPr>
              <w:t>0.2721</w:t>
            </w:r>
          </w:p>
        </w:tc>
        <w:tc>
          <w:tcPr>
            <w:tcW w:type="dxa" w:w="960"/>
          </w:tcPr>
          <w:p>
            <w:r>
              <w:rPr>
                <w:color w:val="000000"/>
                <w:sz w:val="18"/>
              </w:rPr>
            </w:r>
            <w:r>
              <w:rPr>
                <w:color w:val="000000"/>
                <w:sz w:val="18"/>
              </w:rPr>
              <w:t>0.2714</w:t>
            </w:r>
          </w:p>
        </w:tc>
        <w:tc>
          <w:tcPr>
            <w:tcW w:type="dxa" w:w="960"/>
          </w:tcPr>
          <w:p>
            <w:r>
              <w:rPr>
                <w:color w:val="000000"/>
                <w:sz w:val="18"/>
              </w:rPr>
            </w:r>
            <w:r>
              <w:rPr>
                <w:color w:val="000000"/>
                <w:sz w:val="18"/>
              </w:rPr>
              <w:t>0.5199</w:t>
            </w:r>
          </w:p>
        </w:tc>
        <w:tc>
          <w:tcPr>
            <w:tcW w:type="dxa" w:w="960"/>
          </w:tcPr>
          <w:p>
            <w:r>
              <w:rPr>
                <w:color w:val="000000"/>
                <w:sz w:val="18"/>
              </w:rPr>
            </w:r>
            <w:r>
              <w:rPr>
                <w:color w:val="000000"/>
                <w:sz w:val="18"/>
              </w:rPr>
              <w:t>16.94</w:t>
            </w:r>
          </w:p>
        </w:tc>
        <w:tc>
          <w:tcPr>
            <w:tcW w:type="dxa" w:w="960"/>
          </w:tcPr>
          <w:p>
            <w:r>
              <w:rPr>
                <w:color w:val="000000"/>
                <w:sz w:val="18"/>
              </w:rPr>
            </w:r>
            <w:hyperlink r:id="rId16">
              <w:r>
                <w:rPr>
                  <w:color w:val="000000"/>
                  <w:u w:val="single"/>
                </w:rPr>
                <w:t>run</w:t>
              </w:r>
            </w:hyperlink>
          </w:p>
        </w:tc>
      </w:tr>
      <w:tr>
        <w:tc>
          <w:tcPr>
            <w:tcW w:type="dxa" w:w="960"/>
          </w:tcPr>
          <w:p>
            <w:r>
              <w:rPr>
                <w:color w:val="000000"/>
                <w:sz w:val="18"/>
              </w:rPr>
            </w:r>
            <w:r>
              <w:rPr>
                <w:color w:val="000000"/>
                <w:sz w:val="18"/>
              </w:rPr>
              <w:t>5</w:t>
            </w:r>
          </w:p>
        </w:tc>
        <w:tc>
          <w:tcPr>
            <w:tcW w:type="dxa" w:w="960"/>
          </w:tcPr>
          <w:p>
            <w:r>
              <w:rPr>
                <w:color w:val="000000"/>
                <w:sz w:val="18"/>
              </w:rPr>
            </w:r>
            <w:r>
              <w:rPr>
                <w:color w:val="000000"/>
                <w:sz w:val="18"/>
              </w:rPr>
              <w:t>LightGBM</w:t>
            </w:r>
          </w:p>
        </w:tc>
        <w:tc>
          <w:tcPr>
            <w:tcW w:type="dxa" w:w="960"/>
          </w:tcPr>
          <w:p>
            <w:r>
              <w:rPr>
                <w:color w:val="000000"/>
                <w:sz w:val="18"/>
              </w:rPr>
            </w:r>
            <w:r>
              <w:rPr>
                <w:color w:val="000000"/>
                <w:sz w:val="18"/>
              </w:rPr>
              <w:t>Tree</w:t>
            </w:r>
          </w:p>
        </w:tc>
        <w:tc>
          <w:tcPr>
            <w:tcW w:type="dxa" w:w="960"/>
          </w:tcPr>
          <w:p>
            <w:r>
              <w:rPr>
                <w:color w:val="000000"/>
                <w:sz w:val="18"/>
              </w:rPr>
            </w:r>
            <w:r>
              <w:rPr>
                <w:color w:val="000000"/>
                <w:sz w:val="18"/>
              </w:rPr>
              <w:t>0.2637</w:t>
            </w:r>
          </w:p>
        </w:tc>
        <w:tc>
          <w:tcPr>
            <w:tcW w:type="dxa" w:w="960"/>
          </w:tcPr>
          <w:p>
            <w:r>
              <w:rPr>
                <w:color w:val="000000"/>
                <w:sz w:val="18"/>
              </w:rPr>
            </w:r>
            <w:r>
              <w:rPr>
                <w:color w:val="000000"/>
                <w:sz w:val="18"/>
              </w:rPr>
              <w:t>0.2722</w:t>
            </w:r>
          </w:p>
        </w:tc>
        <w:tc>
          <w:tcPr>
            <w:tcW w:type="dxa" w:w="960"/>
          </w:tcPr>
          <w:p>
            <w:r>
              <w:rPr>
                <w:color w:val="000000"/>
                <w:sz w:val="18"/>
              </w:rPr>
            </w:r>
            <w:r>
              <w:rPr>
                <w:color w:val="000000"/>
                <w:sz w:val="18"/>
              </w:rPr>
              <w:t>0.2704</w:t>
            </w:r>
          </w:p>
        </w:tc>
        <w:tc>
          <w:tcPr>
            <w:tcW w:type="dxa" w:w="960"/>
          </w:tcPr>
          <w:p>
            <w:r>
              <w:rPr>
                <w:color w:val="000000"/>
                <w:sz w:val="18"/>
              </w:rPr>
            </w:r>
            <w:r>
              <w:rPr>
                <w:color w:val="000000"/>
                <w:sz w:val="18"/>
              </w:rPr>
              <w:t>0.5304</w:t>
            </w:r>
          </w:p>
        </w:tc>
        <w:tc>
          <w:tcPr>
            <w:tcW w:type="dxa" w:w="960"/>
          </w:tcPr>
          <w:p>
            <w:r>
              <w:rPr>
                <w:color w:val="000000"/>
                <w:sz w:val="18"/>
              </w:rPr>
            </w:r>
            <w:r>
              <w:rPr>
                <w:color w:val="000000"/>
                <w:sz w:val="18"/>
              </w:rPr>
              <w:t>16.88</w:t>
            </w:r>
          </w:p>
        </w:tc>
        <w:tc>
          <w:tcPr>
            <w:tcW w:type="dxa" w:w="960"/>
          </w:tcPr>
          <w:p>
            <w:r>
              <w:rPr>
                <w:color w:val="000000"/>
                <w:sz w:val="18"/>
              </w:rPr>
            </w:r>
            <w:hyperlink r:id="rId17">
              <w:r>
                <w:rPr>
                  <w:color w:val="000000"/>
                  <w:u w:val="single"/>
                </w:rPr>
                <w:t>run</w:t>
              </w:r>
            </w:hyperlink>
          </w:p>
        </w:tc>
      </w:tr>
      <w:tr>
        <w:tc>
          <w:tcPr>
            <w:tcW w:type="dxa" w:w="960"/>
          </w:tcPr>
          <w:p>
            <w:r>
              <w:rPr>
                <w:color w:val="000000"/>
                <w:sz w:val="18"/>
              </w:rPr>
            </w:r>
            <w:r>
              <w:rPr>
                <w:color w:val="000000"/>
                <w:sz w:val="18"/>
              </w:rPr>
              <w:t>6</w:t>
            </w:r>
          </w:p>
        </w:tc>
        <w:tc>
          <w:tcPr>
            <w:tcW w:type="dxa" w:w="960"/>
          </w:tcPr>
          <w:p>
            <w:r>
              <w:rPr>
                <w:color w:val="000000"/>
                <w:sz w:val="18"/>
              </w:rPr>
            </w:r>
            <w:r>
              <w:rPr>
                <w:color w:val="000000"/>
                <w:sz w:val="18"/>
              </w:rPr>
              <w:t>TiDE</w:t>
            </w:r>
          </w:p>
        </w:tc>
        <w:tc>
          <w:tcPr>
            <w:tcW w:type="dxa" w:w="960"/>
          </w:tcPr>
          <w:p>
            <w:r>
              <w:rPr>
                <w:color w:val="000000"/>
                <w:sz w:val="18"/>
              </w:rPr>
            </w:r>
            <w:r>
              <w:rPr>
                <w:color w:val="000000"/>
                <w:sz w:val="18"/>
              </w:rPr>
              <w:t>Darts</w:t>
            </w:r>
          </w:p>
        </w:tc>
        <w:tc>
          <w:tcPr>
            <w:tcW w:type="dxa" w:w="960"/>
          </w:tcPr>
          <w:p>
            <w:r>
              <w:rPr>
                <w:color w:val="000000"/>
                <w:sz w:val="18"/>
              </w:rPr>
            </w:r>
            <w:r>
              <w:rPr>
                <w:color w:val="000000"/>
                <w:sz w:val="18"/>
              </w:rPr>
              <w:t>—</w:t>
            </w:r>
          </w:p>
        </w:tc>
        <w:tc>
          <w:tcPr>
            <w:tcW w:type="dxa" w:w="960"/>
          </w:tcPr>
          <w:p>
            <w:r>
              <w:rPr>
                <w:color w:val="000000"/>
                <w:sz w:val="18"/>
              </w:rPr>
            </w:r>
            <w:r>
              <w:rPr>
                <w:color w:val="000000"/>
                <w:sz w:val="18"/>
              </w:rPr>
              <w:t>0.2762</w:t>
            </w:r>
          </w:p>
        </w:tc>
        <w:tc>
          <w:tcPr>
            <w:tcW w:type="dxa" w:w="960"/>
          </w:tcPr>
          <w:p>
            <w:r>
              <w:rPr>
                <w:color w:val="000000"/>
                <w:sz w:val="18"/>
              </w:rPr>
            </w:r>
            <w:r>
              <w:rPr>
                <w:color w:val="000000"/>
                <w:sz w:val="18"/>
              </w:rPr>
              <w:t>0.2694</w:t>
            </w:r>
          </w:p>
        </w:tc>
        <w:tc>
          <w:tcPr>
            <w:tcW w:type="dxa" w:w="960"/>
          </w:tcPr>
          <w:p>
            <w:r>
              <w:rPr>
                <w:color w:val="000000"/>
                <w:sz w:val="18"/>
              </w:rPr>
            </w:r>
            <w:r>
              <w:rPr>
                <w:color w:val="000000"/>
                <w:sz w:val="18"/>
              </w:rPr>
              <w:t>0.5263</w:t>
            </w:r>
          </w:p>
        </w:tc>
        <w:tc>
          <w:tcPr>
            <w:tcW w:type="dxa" w:w="960"/>
          </w:tcPr>
          <w:p>
            <w:r>
              <w:rPr>
                <w:color w:val="000000"/>
                <w:sz w:val="18"/>
              </w:rPr>
            </w:r>
            <w:r>
              <w:rPr>
                <w:color w:val="000000"/>
                <w:sz w:val="18"/>
              </w:rPr>
              <w:t>16.81</w:t>
            </w:r>
          </w:p>
        </w:tc>
        <w:tc>
          <w:tcPr>
            <w:tcW w:type="dxa" w:w="960"/>
          </w:tcPr>
          <w:p>
            <w:r>
              <w:rPr>
                <w:color w:val="000000"/>
                <w:sz w:val="18"/>
              </w:rPr>
            </w:r>
            <w:hyperlink r:id="rId18">
              <w:r>
                <w:rPr>
                  <w:color w:val="000000"/>
                  <w:u w:val="single"/>
                </w:rPr>
                <w:t>run</w:t>
              </w:r>
            </w:hyperlink>
          </w:p>
        </w:tc>
      </w:tr>
    </w:tbl>
    <w:p/>
    <w:p>
      <w:r>
        <w:rPr>
          <w:color w:val="000000"/>
        </w:rPr>
        <w:t>Train WAPE is blank for the sequence models because they early-stop on validation and never score the training set.</w:t>
      </w:r>
    </w:p>
    <w:p>
      <w:pPr>
        <w:pStyle w:val="Heading3"/>
        <w:spacing w:before="240" w:after="120"/>
      </w:pPr>
      <w:r>
        <w:rPr>
          <w:rFonts w:ascii="Calibri" w:hAnsi="Calibri"/>
          <w:b/>
          <w:color w:val="000000"/>
          <w:sz w:val="23"/>
          <w:u w:val="single"/>
        </w:rPr>
        <w:t>Forecast bias against actual units</w:t>
      </w:r>
    </w:p>
    <w:p>
      <w:r>
        <w:rPr>
          <w:color w:val="000000"/>
        </w:rPr>
        <w:t>WAPE says all six models are equivalent. Bias does not, and this is the table I would put in front of a planning team.</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F2F2F2"/>
          </w:tcPr>
          <w:p>
            <w:r>
              <w:rPr>
                <w:b/>
                <w:color w:val="000000"/>
                <w:sz w:val="18"/>
              </w:rPr>
            </w:r>
            <w:r>
              <w:rPr>
                <w:b/>
                <w:color w:val="000000"/>
                <w:sz w:val="18"/>
              </w:rPr>
              <w:t>Model</w:t>
            </w:r>
          </w:p>
        </w:tc>
        <w:tc>
          <w:tcPr>
            <w:tcW w:type="dxa" w:w="1728"/>
            <w:shd w:val="clear" w:fill="F2F2F2"/>
          </w:tcPr>
          <w:p>
            <w:r>
              <w:rPr>
                <w:b/>
                <w:color w:val="000000"/>
                <w:sz w:val="18"/>
              </w:rPr>
            </w:r>
            <w:r>
              <w:rPr>
                <w:b/>
                <w:color w:val="000000"/>
                <w:sz w:val="18"/>
              </w:rPr>
              <w:t>Validation bias</w:t>
            </w:r>
          </w:p>
        </w:tc>
        <w:tc>
          <w:tcPr>
            <w:tcW w:type="dxa" w:w="1728"/>
            <w:shd w:val="clear" w:fill="F2F2F2"/>
          </w:tcPr>
          <w:p>
            <w:r>
              <w:rPr>
                <w:b/>
                <w:color w:val="000000"/>
                <w:sz w:val="18"/>
              </w:rPr>
            </w:r>
            <w:r>
              <w:rPr>
                <w:b/>
                <w:color w:val="000000"/>
                <w:sz w:val="18"/>
              </w:rPr>
              <w:t>Test bias</w:t>
            </w:r>
          </w:p>
        </w:tc>
        <w:tc>
          <w:tcPr>
            <w:tcW w:type="dxa" w:w="1728"/>
            <w:shd w:val="clear" w:fill="F2F2F2"/>
          </w:tcPr>
          <w:p>
            <w:r>
              <w:rPr>
                <w:b/>
                <w:color w:val="000000"/>
                <w:sz w:val="18"/>
              </w:rPr>
            </w:r>
            <w:r>
              <w:rPr>
                <w:b/>
                <w:color w:val="000000"/>
                <w:sz w:val="18"/>
              </w:rPr>
              <w:t>Test actual units</w:t>
            </w:r>
          </w:p>
        </w:tc>
        <w:tc>
          <w:tcPr>
            <w:tcW w:type="dxa" w:w="1728"/>
            <w:shd w:val="clear" w:fill="F2F2F2"/>
          </w:tcPr>
          <w:p>
            <w:r>
              <w:rPr>
                <w:b/>
                <w:color w:val="000000"/>
                <w:sz w:val="18"/>
              </w:rPr>
            </w:r>
            <w:r>
              <w:rPr>
                <w:b/>
                <w:color w:val="000000"/>
                <w:sz w:val="18"/>
              </w:rPr>
              <w:t>Test predicted units</w:t>
            </w:r>
          </w:p>
        </w:tc>
      </w:tr>
      <w:tr>
        <w:tc>
          <w:tcPr>
            <w:tcW w:type="dxa" w:w="1728"/>
          </w:tcPr>
          <w:p>
            <w:r>
              <w:rPr>
                <w:color w:val="000000"/>
                <w:sz w:val="18"/>
              </w:rPr>
            </w:r>
            <w:r>
              <w:rPr>
                <w:color w:val="000000"/>
                <w:sz w:val="18"/>
              </w:rPr>
              <w:t>LightGBM</w:t>
            </w:r>
          </w:p>
        </w:tc>
        <w:tc>
          <w:tcPr>
            <w:tcW w:type="dxa" w:w="1728"/>
          </w:tcPr>
          <w:p>
            <w:r>
              <w:rPr>
                <w:color w:val="000000"/>
                <w:sz w:val="18"/>
              </w:rPr>
            </w:r>
            <w:r>
              <w:rPr>
                <w:b/>
                <w:color w:val="000000"/>
                <w:sz w:val="18"/>
              </w:rPr>
              <w:t>+0.06%</w:t>
            </w:r>
          </w:p>
        </w:tc>
        <w:tc>
          <w:tcPr>
            <w:tcW w:type="dxa" w:w="1728"/>
          </w:tcPr>
          <w:p>
            <w:r>
              <w:rPr>
                <w:color w:val="000000"/>
                <w:sz w:val="18"/>
              </w:rPr>
            </w:r>
            <w:r>
              <w:rPr>
                <w:color w:val="000000"/>
                <w:sz w:val="18"/>
              </w:rPr>
              <w:t>+0.86%</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884,801</w:t>
            </w:r>
          </w:p>
        </w:tc>
      </w:tr>
      <w:tr>
        <w:tc>
          <w:tcPr>
            <w:tcW w:type="dxa" w:w="1728"/>
          </w:tcPr>
          <w:p>
            <w:r>
              <w:rPr>
                <w:color w:val="000000"/>
                <w:sz w:val="18"/>
              </w:rPr>
            </w:r>
            <w:r>
              <w:rPr>
                <w:color w:val="000000"/>
                <w:sz w:val="18"/>
              </w:rPr>
              <w:t>CatBoost</w:t>
            </w:r>
          </w:p>
        </w:tc>
        <w:tc>
          <w:tcPr>
            <w:tcW w:type="dxa" w:w="1728"/>
          </w:tcPr>
          <w:p>
            <w:r>
              <w:rPr>
                <w:color w:val="000000"/>
                <w:sz w:val="18"/>
              </w:rPr>
            </w:r>
            <w:r>
              <w:rPr>
                <w:color w:val="000000"/>
                <w:sz w:val="18"/>
              </w:rPr>
              <w:t>+0.14%</w:t>
            </w:r>
          </w:p>
        </w:tc>
        <w:tc>
          <w:tcPr>
            <w:tcW w:type="dxa" w:w="1728"/>
          </w:tcPr>
          <w:p>
            <w:r>
              <w:rPr>
                <w:color w:val="000000"/>
                <w:sz w:val="18"/>
              </w:rPr>
            </w:r>
            <w:r>
              <w:rPr>
                <w:color w:val="000000"/>
                <w:sz w:val="18"/>
              </w:rPr>
              <w:t>+0.99%</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885,955</w:t>
            </w:r>
          </w:p>
        </w:tc>
      </w:tr>
      <w:tr>
        <w:tc>
          <w:tcPr>
            <w:tcW w:type="dxa" w:w="1728"/>
          </w:tcPr>
          <w:p>
            <w:r>
              <w:rPr>
                <w:color w:val="000000"/>
                <w:sz w:val="18"/>
              </w:rPr>
            </w:r>
            <w:r>
              <w:rPr>
                <w:color w:val="000000"/>
                <w:sz w:val="18"/>
              </w:rPr>
              <w:t>LSTM</w:t>
            </w:r>
          </w:p>
        </w:tc>
        <w:tc>
          <w:tcPr>
            <w:tcW w:type="dxa" w:w="1728"/>
          </w:tcPr>
          <w:p>
            <w:r>
              <w:rPr>
                <w:color w:val="000000"/>
                <w:sz w:val="18"/>
              </w:rPr>
            </w:r>
            <w:r>
              <w:rPr>
                <w:color w:val="000000"/>
                <w:sz w:val="18"/>
              </w:rPr>
              <w:t>+0.43%</w:t>
            </w:r>
          </w:p>
        </w:tc>
        <w:tc>
          <w:tcPr>
            <w:tcW w:type="dxa" w:w="1728"/>
          </w:tcPr>
          <w:p>
            <w:r>
              <w:rPr>
                <w:color w:val="000000"/>
                <w:sz w:val="18"/>
              </w:rPr>
            </w:r>
            <w:r>
              <w:rPr>
                <w:color w:val="000000"/>
                <w:sz w:val="18"/>
              </w:rPr>
              <w:t>−1.10%</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867,556</w:t>
            </w:r>
          </w:p>
        </w:tc>
      </w:tr>
      <w:tr>
        <w:tc>
          <w:tcPr>
            <w:tcW w:type="dxa" w:w="1728"/>
          </w:tcPr>
          <w:p>
            <w:r>
              <w:rPr>
                <w:color w:val="000000"/>
                <w:sz w:val="18"/>
              </w:rPr>
            </w:r>
            <w:r>
              <w:rPr>
                <w:color w:val="000000"/>
                <w:sz w:val="18"/>
              </w:rPr>
              <w:t>Transformer</w:t>
            </w:r>
          </w:p>
        </w:tc>
        <w:tc>
          <w:tcPr>
            <w:tcW w:type="dxa" w:w="1728"/>
          </w:tcPr>
          <w:p>
            <w:r>
              <w:rPr>
                <w:color w:val="000000"/>
                <w:sz w:val="18"/>
              </w:rPr>
            </w:r>
            <w:r>
              <w:rPr>
                <w:color w:val="000000"/>
                <w:sz w:val="18"/>
              </w:rPr>
              <w:t>+0.93%</w:t>
            </w:r>
          </w:p>
        </w:tc>
        <w:tc>
          <w:tcPr>
            <w:tcW w:type="dxa" w:w="1728"/>
          </w:tcPr>
          <w:p>
            <w:r>
              <w:rPr>
                <w:color w:val="000000"/>
                <w:sz w:val="18"/>
              </w:rPr>
            </w:r>
            <w:r>
              <w:rPr>
                <w:b/>
                <w:color w:val="000000"/>
                <w:sz w:val="18"/>
              </w:rPr>
              <w:t>+7.32%</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941,432</w:t>
            </w:r>
          </w:p>
        </w:tc>
      </w:tr>
      <w:tr>
        <w:tc>
          <w:tcPr>
            <w:tcW w:type="dxa" w:w="1728"/>
          </w:tcPr>
          <w:p>
            <w:r>
              <w:rPr>
                <w:color w:val="000000"/>
                <w:sz w:val="18"/>
              </w:rPr>
            </w:r>
            <w:r>
              <w:rPr>
                <w:color w:val="000000"/>
                <w:sz w:val="18"/>
              </w:rPr>
              <w:t>XGBoost</w:t>
            </w:r>
          </w:p>
        </w:tc>
        <w:tc>
          <w:tcPr>
            <w:tcW w:type="dxa" w:w="1728"/>
          </w:tcPr>
          <w:p>
            <w:r>
              <w:rPr>
                <w:color w:val="000000"/>
                <w:sz w:val="18"/>
              </w:rPr>
            </w:r>
            <w:r>
              <w:rPr>
                <w:color w:val="000000"/>
                <w:sz w:val="18"/>
              </w:rPr>
              <w:t>−1.45%</w:t>
            </w:r>
          </w:p>
        </w:tc>
        <w:tc>
          <w:tcPr>
            <w:tcW w:type="dxa" w:w="1728"/>
          </w:tcPr>
          <w:p>
            <w:r>
              <w:rPr>
                <w:color w:val="000000"/>
                <w:sz w:val="18"/>
              </w:rPr>
            </w:r>
            <w:r>
              <w:rPr>
                <w:color w:val="000000"/>
                <w:sz w:val="18"/>
              </w:rPr>
              <w:t>−1.27%</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866,078</w:t>
            </w:r>
          </w:p>
        </w:tc>
      </w:tr>
      <w:tr>
        <w:tc>
          <w:tcPr>
            <w:tcW w:type="dxa" w:w="1728"/>
          </w:tcPr>
          <w:p>
            <w:r>
              <w:rPr>
                <w:color w:val="000000"/>
                <w:sz w:val="18"/>
              </w:rPr>
            </w:r>
            <w:r>
              <w:rPr>
                <w:color w:val="000000"/>
                <w:sz w:val="18"/>
              </w:rPr>
              <w:t>TiDE</w:t>
            </w:r>
          </w:p>
        </w:tc>
        <w:tc>
          <w:tcPr>
            <w:tcW w:type="dxa" w:w="1728"/>
          </w:tcPr>
          <w:p>
            <w:r>
              <w:rPr>
                <w:color w:val="000000"/>
                <w:sz w:val="18"/>
              </w:rPr>
            </w:r>
            <w:r>
              <w:rPr>
                <w:color w:val="000000"/>
                <w:sz w:val="18"/>
              </w:rPr>
              <w:t>+3.29%</w:t>
            </w:r>
          </w:p>
        </w:tc>
        <w:tc>
          <w:tcPr>
            <w:tcW w:type="dxa" w:w="1728"/>
          </w:tcPr>
          <w:p>
            <w:r>
              <w:rPr>
                <w:color w:val="000000"/>
                <w:sz w:val="18"/>
              </w:rPr>
            </w:r>
            <w:r>
              <w:rPr>
                <w:color w:val="000000"/>
                <w:sz w:val="18"/>
              </w:rPr>
              <w:t>−0.00%</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877,224</w:t>
            </w:r>
          </w:p>
        </w:tc>
      </w:tr>
    </w:tbl>
    <w:p/>
    <w:p>
      <w:pPr>
        <w:pStyle w:val="Heading3"/>
        <w:spacing w:before="240" w:after="120"/>
      </w:pPr>
      <w:r>
        <w:rPr>
          <w:rFonts w:ascii="Calibri" w:hAnsi="Calibri"/>
          <w:b/>
          <w:color w:val="000000"/>
          <w:sz w:val="23"/>
          <w:u w:val="single"/>
        </w:rPr>
        <w:t>Out-of-sample forecast, 2024-01-01 to 2024-01-14</w:t>
      </w:r>
    </w:p>
    <w:p>
      <w:r>
        <w:rPr>
          <w:color w:val="000000"/>
        </w:rPr>
        <w:t>The 14 days after all available data, for all 1,004 active series.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Model</w:t>
            </w:r>
          </w:p>
        </w:tc>
        <w:tc>
          <w:tcPr>
            <w:tcW w:type="dxa" w:w="2880"/>
            <w:shd w:val="clear" w:fill="F2F2F2"/>
          </w:tcPr>
          <w:p>
            <w:r>
              <w:rPr>
                <w:b/>
                <w:color w:val="000000"/>
                <w:sz w:val="18"/>
              </w:rPr>
            </w:r>
            <w:r>
              <w:rPr>
                <w:b/>
                <w:color w:val="000000"/>
                <w:sz w:val="18"/>
              </w:rPr>
              <w:t>Total units forecast</w:t>
            </w:r>
          </w:p>
        </w:tc>
        <w:tc>
          <w:tcPr>
            <w:tcW w:type="dxa" w:w="2880"/>
            <w:shd w:val="clear" w:fill="F2F2F2"/>
          </w:tcPr>
          <w:p>
            <w:r>
              <w:rPr>
                <w:b/>
                <w:color w:val="000000"/>
                <w:sz w:val="18"/>
              </w:rPr>
            </w:r>
            <w:r>
              <w:rPr>
                <w:b/>
                <w:color w:val="000000"/>
                <w:sz w:val="18"/>
              </w:rPr>
              <w:t>Mean units per series per day</w:t>
            </w:r>
          </w:p>
        </w:tc>
      </w:tr>
      <w:tr>
        <w:tc>
          <w:tcPr>
            <w:tcW w:type="dxa" w:w="2880"/>
          </w:tcPr>
          <w:p>
            <w:r>
              <w:rPr>
                <w:color w:val="000000"/>
                <w:sz w:val="18"/>
              </w:rPr>
            </w:r>
            <w:r>
              <w:rPr>
                <w:color w:val="000000"/>
                <w:sz w:val="18"/>
              </w:rPr>
              <w:t>Transformer</w:t>
            </w:r>
          </w:p>
        </w:tc>
        <w:tc>
          <w:tcPr>
            <w:tcW w:type="dxa" w:w="2880"/>
          </w:tcPr>
          <w:p>
            <w:r>
              <w:rPr>
                <w:color w:val="000000"/>
                <w:sz w:val="18"/>
              </w:rPr>
            </w:r>
            <w:r>
              <w:rPr>
                <w:color w:val="000000"/>
                <w:sz w:val="18"/>
              </w:rPr>
              <w:t>808,023</w:t>
            </w:r>
          </w:p>
        </w:tc>
        <w:tc>
          <w:tcPr>
            <w:tcW w:type="dxa" w:w="2880"/>
          </w:tcPr>
          <w:p>
            <w:r>
              <w:rPr>
                <w:color w:val="000000"/>
                <w:sz w:val="18"/>
              </w:rPr>
            </w:r>
            <w:r>
              <w:rPr>
                <w:color w:val="000000"/>
                <w:sz w:val="18"/>
              </w:rPr>
              <w:t>57.49</w:t>
            </w:r>
          </w:p>
        </w:tc>
      </w:tr>
      <w:tr>
        <w:tc>
          <w:tcPr>
            <w:tcW w:type="dxa" w:w="2880"/>
          </w:tcPr>
          <w:p>
            <w:r>
              <w:rPr>
                <w:color w:val="000000"/>
                <w:sz w:val="18"/>
              </w:rPr>
            </w:r>
            <w:r>
              <w:rPr>
                <w:color w:val="000000"/>
                <w:sz w:val="18"/>
              </w:rPr>
              <w:t>CatBoost</w:t>
            </w:r>
          </w:p>
        </w:tc>
        <w:tc>
          <w:tcPr>
            <w:tcW w:type="dxa" w:w="2880"/>
          </w:tcPr>
          <w:p>
            <w:r>
              <w:rPr>
                <w:color w:val="000000"/>
                <w:sz w:val="18"/>
              </w:rPr>
            </w:r>
            <w:r>
              <w:rPr>
                <w:color w:val="000000"/>
                <w:sz w:val="18"/>
              </w:rPr>
              <w:t>804,418</w:t>
            </w:r>
          </w:p>
        </w:tc>
        <w:tc>
          <w:tcPr>
            <w:tcW w:type="dxa" w:w="2880"/>
          </w:tcPr>
          <w:p>
            <w:r>
              <w:rPr>
                <w:color w:val="000000"/>
                <w:sz w:val="18"/>
              </w:rPr>
            </w:r>
            <w:r>
              <w:rPr>
                <w:color w:val="000000"/>
                <w:sz w:val="18"/>
              </w:rPr>
              <w:t>57.23</w:t>
            </w:r>
          </w:p>
        </w:tc>
      </w:tr>
      <w:tr>
        <w:tc>
          <w:tcPr>
            <w:tcW w:type="dxa" w:w="2880"/>
          </w:tcPr>
          <w:p>
            <w:r>
              <w:rPr>
                <w:color w:val="000000"/>
                <w:sz w:val="18"/>
              </w:rPr>
            </w:r>
            <w:r>
              <w:rPr>
                <w:color w:val="000000"/>
                <w:sz w:val="18"/>
              </w:rPr>
              <w:t>LightGBM</w:t>
            </w:r>
          </w:p>
        </w:tc>
        <w:tc>
          <w:tcPr>
            <w:tcW w:type="dxa" w:w="2880"/>
          </w:tcPr>
          <w:p>
            <w:r>
              <w:rPr>
                <w:color w:val="000000"/>
                <w:sz w:val="18"/>
              </w:rPr>
            </w:r>
            <w:r>
              <w:rPr>
                <w:color w:val="000000"/>
                <w:sz w:val="18"/>
              </w:rPr>
              <w:t>790,566</w:t>
            </w:r>
          </w:p>
        </w:tc>
        <w:tc>
          <w:tcPr>
            <w:tcW w:type="dxa" w:w="2880"/>
          </w:tcPr>
          <w:p>
            <w:r>
              <w:rPr>
                <w:color w:val="000000"/>
                <w:sz w:val="18"/>
              </w:rPr>
            </w:r>
            <w:r>
              <w:rPr>
                <w:color w:val="000000"/>
                <w:sz w:val="18"/>
              </w:rPr>
              <w:t>56.24</w:t>
            </w:r>
          </w:p>
        </w:tc>
      </w:tr>
      <w:tr>
        <w:tc>
          <w:tcPr>
            <w:tcW w:type="dxa" w:w="2880"/>
          </w:tcPr>
          <w:p>
            <w:r>
              <w:rPr>
                <w:color w:val="000000"/>
                <w:sz w:val="18"/>
              </w:rPr>
            </w:r>
            <w:r>
              <w:rPr>
                <w:color w:val="000000"/>
                <w:sz w:val="18"/>
              </w:rPr>
              <w:t>XGBoost</w:t>
            </w:r>
          </w:p>
        </w:tc>
        <w:tc>
          <w:tcPr>
            <w:tcW w:type="dxa" w:w="2880"/>
          </w:tcPr>
          <w:p>
            <w:r>
              <w:rPr>
                <w:color w:val="000000"/>
                <w:sz w:val="18"/>
              </w:rPr>
            </w:r>
            <w:r>
              <w:rPr>
                <w:color w:val="000000"/>
                <w:sz w:val="18"/>
              </w:rPr>
              <w:t>779,889</w:t>
            </w:r>
          </w:p>
        </w:tc>
        <w:tc>
          <w:tcPr>
            <w:tcW w:type="dxa" w:w="2880"/>
          </w:tcPr>
          <w:p>
            <w:r>
              <w:rPr>
                <w:color w:val="000000"/>
                <w:sz w:val="18"/>
              </w:rPr>
            </w:r>
            <w:r>
              <w:rPr>
                <w:color w:val="000000"/>
                <w:sz w:val="18"/>
              </w:rPr>
              <w:t>55.48</w:t>
            </w:r>
          </w:p>
        </w:tc>
      </w:tr>
      <w:tr>
        <w:tc>
          <w:tcPr>
            <w:tcW w:type="dxa" w:w="2880"/>
          </w:tcPr>
          <w:p>
            <w:r>
              <w:rPr>
                <w:color w:val="000000"/>
                <w:sz w:val="18"/>
              </w:rPr>
            </w:r>
            <w:r>
              <w:rPr>
                <w:color w:val="000000"/>
                <w:sz w:val="18"/>
              </w:rPr>
              <w:t>TiDE</w:t>
            </w:r>
          </w:p>
        </w:tc>
        <w:tc>
          <w:tcPr>
            <w:tcW w:type="dxa" w:w="2880"/>
          </w:tcPr>
          <w:p>
            <w:r>
              <w:rPr>
                <w:color w:val="000000"/>
                <w:sz w:val="18"/>
              </w:rPr>
            </w:r>
            <w:r>
              <w:rPr>
                <w:color w:val="000000"/>
                <w:sz w:val="18"/>
              </w:rPr>
              <w:t>762,232</w:t>
            </w:r>
          </w:p>
        </w:tc>
        <w:tc>
          <w:tcPr>
            <w:tcW w:type="dxa" w:w="2880"/>
          </w:tcPr>
          <w:p>
            <w:r>
              <w:rPr>
                <w:color w:val="000000"/>
                <w:sz w:val="18"/>
              </w:rPr>
            </w:r>
            <w:r>
              <w:rPr>
                <w:color w:val="000000"/>
                <w:sz w:val="18"/>
              </w:rPr>
              <w:t>54.23</w:t>
            </w:r>
          </w:p>
        </w:tc>
      </w:tr>
      <w:tr>
        <w:tc>
          <w:tcPr>
            <w:tcW w:type="dxa" w:w="2880"/>
          </w:tcPr>
          <w:p>
            <w:r>
              <w:rPr>
                <w:color w:val="000000"/>
                <w:sz w:val="18"/>
              </w:rPr>
            </w:r>
            <w:r>
              <w:rPr>
                <w:color w:val="000000"/>
                <w:sz w:val="18"/>
              </w:rPr>
              <w:t>LSTM</w:t>
            </w:r>
          </w:p>
        </w:tc>
        <w:tc>
          <w:tcPr>
            <w:tcW w:type="dxa" w:w="2880"/>
          </w:tcPr>
          <w:p>
            <w:r>
              <w:rPr>
                <w:color w:val="000000"/>
                <w:sz w:val="18"/>
              </w:rPr>
            </w:r>
            <w:r>
              <w:rPr>
                <w:color w:val="000000"/>
                <w:sz w:val="18"/>
              </w:rPr>
              <w:t>761,973</w:t>
            </w:r>
          </w:p>
        </w:tc>
        <w:tc>
          <w:tcPr>
            <w:tcW w:type="dxa" w:w="2880"/>
          </w:tcPr>
          <w:p>
            <w:r>
              <w:rPr>
                <w:color w:val="000000"/>
                <w:sz w:val="18"/>
              </w:rPr>
            </w:r>
            <w:r>
              <w:rPr>
                <w:color w:val="000000"/>
                <w:sz w:val="18"/>
              </w:rPr>
              <w:t>54.21</w:t>
            </w:r>
          </w:p>
        </w:tc>
      </w:tr>
    </w:tbl>
    <w:p/>
    <w:p>
      <w:r>
        <w:rPr>
          <w:color w:val="000000"/>
        </w:rPr>
        <w:t>All six forecast below the 877,244 units sold in the final fortnight of 2023, which matches the seasonal profile: October to December is a peak, early January is not. The 6% spread between the highest and lowest forecast, from models whose WAPEs differ by about one percent, is a real uncertainty signal and argues for reporting a range to planners rather than a point estimate.</w:t>
      </w:r>
    </w:p>
    <w:p>
      <w:pPr>
        <w:pStyle w:val="Heading3"/>
        <w:spacing w:before="240" w:after="120"/>
      </w:pPr>
      <w:r>
        <w:rPr>
          <w:rFonts w:ascii="Calibri" w:hAnsi="Calibri"/>
          <w:b/>
          <w:color w:val="000000"/>
          <w:sz w:val="23"/>
          <w:u w:val="single"/>
        </w:rPr>
        <w:t>Metric definitions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Metric</w:t>
            </w:r>
          </w:p>
        </w:tc>
        <w:tc>
          <w:tcPr>
            <w:tcW w:type="dxa" w:w="2880"/>
            <w:shd w:val="clear" w:fill="F2F2F2"/>
          </w:tcPr>
          <w:p>
            <w:r>
              <w:rPr>
                <w:b/>
                <w:color w:val="000000"/>
                <w:sz w:val="18"/>
              </w:rPr>
            </w:r>
            <w:r>
              <w:rPr>
                <w:b/>
                <w:color w:val="000000"/>
                <w:sz w:val="18"/>
              </w:rPr>
              <w:t>What it is</w:t>
            </w:r>
          </w:p>
        </w:tc>
        <w:tc>
          <w:tcPr>
            <w:tcW w:type="dxa" w:w="2880"/>
            <w:shd w:val="clear" w:fill="F2F2F2"/>
          </w:tcPr>
          <w:p>
            <w:r>
              <w:rPr>
                <w:b/>
                <w:color w:val="000000"/>
                <w:sz w:val="18"/>
              </w:rPr>
            </w:r>
            <w:r>
              <w:rPr>
                <w:b/>
                <w:color w:val="000000"/>
                <w:sz w:val="18"/>
              </w:rPr>
              <w:t>What it means commercially</w:t>
            </w:r>
          </w:p>
        </w:tc>
      </w:tr>
      <w:tr>
        <w:tc>
          <w:tcPr>
            <w:tcW w:type="dxa" w:w="2880"/>
          </w:tcPr>
          <w:p>
            <w:r>
              <w:rPr>
                <w:color w:val="000000"/>
                <w:sz w:val="18"/>
              </w:rPr>
            </w:r>
            <w:r>
              <w:rPr>
                <w:color w:val="000000"/>
                <w:sz w:val="18"/>
              </w:rPr>
              <w:t>WAPE</w:t>
            </w:r>
          </w:p>
        </w:tc>
        <w:tc>
          <w:tcPr>
            <w:tcW w:type="dxa" w:w="2880"/>
          </w:tcPr>
          <w:p>
            <w:r>
              <w:rPr>
                <w:color w:val="000000"/>
                <w:sz w:val="18"/>
              </w:rPr>
            </w:r>
            <w:r>
              <w:rPr>
                <w:color w:val="000000"/>
                <w:sz w:val="18"/>
              </w:rPr>
              <w:t>Total absolute error divided by total actual units</w:t>
            </w:r>
          </w:p>
        </w:tc>
        <w:tc>
          <w:tcPr>
            <w:tcW w:type="dxa" w:w="2880"/>
          </w:tcPr>
          <w:p>
            <w:r>
              <w:rPr>
                <w:color w:val="000000"/>
                <w:sz w:val="18"/>
              </w:rPr>
            </w:r>
            <w:r>
              <w:rPr>
                <w:color w:val="000000"/>
                <w:sz w:val="18"/>
              </w:rPr>
              <w:t>Reads as "off by 27% of the units actually sold". Volume-weighted, always defined. My decision metric</w:t>
            </w:r>
          </w:p>
        </w:tc>
      </w:tr>
      <w:tr>
        <w:tc>
          <w:tcPr>
            <w:tcW w:type="dxa" w:w="2880"/>
          </w:tcPr>
          <w:p>
            <w:r>
              <w:rPr>
                <w:color w:val="000000"/>
                <w:sz w:val="18"/>
              </w:rPr>
            </w:r>
            <w:r>
              <w:rPr>
                <w:color w:val="000000"/>
                <w:sz w:val="18"/>
              </w:rPr>
              <w:t>MAPE</w:t>
            </w:r>
          </w:p>
        </w:tc>
        <w:tc>
          <w:tcPr>
            <w:tcW w:type="dxa" w:w="2880"/>
          </w:tcPr>
          <w:p>
            <w:r>
              <w:rPr>
                <w:color w:val="000000"/>
                <w:sz w:val="18"/>
              </w:rPr>
            </w:r>
            <w:r>
              <w:rPr>
                <w:color w:val="000000"/>
                <w:sz w:val="18"/>
              </w:rPr>
              <w:t>Average of per-row percentage errors</w:t>
            </w:r>
          </w:p>
        </w:tc>
        <w:tc>
          <w:tcPr>
            <w:tcW w:type="dxa" w:w="2880"/>
          </w:tcPr>
          <w:p>
            <w:r>
              <w:rPr>
                <w:color w:val="000000"/>
                <w:sz w:val="18"/>
              </w:rPr>
            </w:r>
            <w:r>
              <w:rPr>
                <w:color w:val="000000"/>
                <w:sz w:val="18"/>
              </w:rPr>
              <w:t>Familiar, but unstable here: 0.28% of rows are zero and 1.5% are under five units, where a two-unit miss reads as a 200% error. Reported, never used to select</w:t>
            </w:r>
          </w:p>
        </w:tc>
      </w:tr>
      <w:tr>
        <w:tc>
          <w:tcPr>
            <w:tcW w:type="dxa" w:w="2880"/>
          </w:tcPr>
          <w:p>
            <w:r>
              <w:rPr>
                <w:color w:val="000000"/>
                <w:sz w:val="18"/>
              </w:rPr>
            </w:r>
            <w:r>
              <w:rPr>
                <w:color w:val="000000"/>
                <w:sz w:val="18"/>
              </w:rPr>
              <w:t>MAE</w:t>
            </w:r>
          </w:p>
        </w:tc>
        <w:tc>
          <w:tcPr>
            <w:tcW w:type="dxa" w:w="2880"/>
          </w:tcPr>
          <w:p>
            <w:r>
              <w:rPr>
                <w:color w:val="000000"/>
                <w:sz w:val="18"/>
              </w:rPr>
            </w:r>
            <w:r>
              <w:rPr>
                <w:color w:val="000000"/>
                <w:sz w:val="18"/>
              </w:rPr>
              <w:t>Average absolute error in units</w:t>
            </w:r>
          </w:p>
        </w:tc>
        <w:tc>
          <w:tcPr>
            <w:tcW w:type="dxa" w:w="2880"/>
          </w:tcPr>
          <w:p>
            <w:r>
              <w:rPr>
                <w:color w:val="000000"/>
                <w:sz w:val="18"/>
              </w:rPr>
            </w:r>
            <w:r>
              <w:rPr>
                <w:color w:val="000000"/>
                <w:sz w:val="18"/>
              </w:rPr>
              <w:t>A miss of roughly 17 units per store-SKU-day. Translates directly into cases</w:t>
            </w:r>
          </w:p>
        </w:tc>
      </w:tr>
      <w:tr>
        <w:tc>
          <w:tcPr>
            <w:tcW w:type="dxa" w:w="2880"/>
          </w:tcPr>
          <w:p>
            <w:r>
              <w:rPr>
                <w:color w:val="000000"/>
                <w:sz w:val="18"/>
              </w:rPr>
            </w:r>
            <w:r>
              <w:rPr>
                <w:color w:val="000000"/>
                <w:sz w:val="18"/>
              </w:rPr>
              <w:t>RMSE</w:t>
            </w:r>
          </w:p>
        </w:tc>
        <w:tc>
          <w:tcPr>
            <w:tcW w:type="dxa" w:w="2880"/>
          </w:tcPr>
          <w:p>
            <w:r>
              <w:rPr>
                <w:color w:val="000000"/>
                <w:sz w:val="18"/>
              </w:rPr>
            </w:r>
            <w:r>
              <w:rPr>
                <w:color w:val="000000"/>
                <w:sz w:val="18"/>
              </w:rPr>
              <w:t>Root mean squared error</w:t>
            </w:r>
          </w:p>
        </w:tc>
        <w:tc>
          <w:tcPr>
            <w:tcW w:type="dxa" w:w="2880"/>
          </w:tcPr>
          <w:p>
            <w:r>
              <w:rPr>
                <w:color w:val="000000"/>
                <w:sz w:val="18"/>
              </w:rPr>
            </w:r>
            <w:r>
              <w:rPr>
                <w:color w:val="000000"/>
                <w:sz w:val="18"/>
              </w:rPr>
              <w:t>Penalises large misses; the promo-spike detector</w:t>
            </w:r>
          </w:p>
        </w:tc>
      </w:tr>
      <w:tr>
        <w:tc>
          <w:tcPr>
            <w:tcW w:type="dxa" w:w="2880"/>
          </w:tcPr>
          <w:p>
            <w:r>
              <w:rPr>
                <w:color w:val="000000"/>
                <w:sz w:val="18"/>
              </w:rPr>
            </w:r>
            <w:r>
              <w:rPr>
                <w:color w:val="000000"/>
                <w:sz w:val="18"/>
              </w:rPr>
              <w:t>Bias</w:t>
            </w:r>
          </w:p>
        </w:tc>
        <w:tc>
          <w:tcPr>
            <w:tcW w:type="dxa" w:w="2880"/>
          </w:tcPr>
          <w:p>
            <w:r>
              <w:rPr>
                <w:color w:val="000000"/>
                <w:sz w:val="18"/>
              </w:rPr>
            </w:r>
            <w:r>
              <w:rPr>
                <w:color w:val="000000"/>
                <w:sz w:val="18"/>
              </w:rPr>
              <w:t>Signed total error over total actuals</w:t>
            </w:r>
          </w:p>
        </w:tc>
        <w:tc>
          <w:tcPr>
            <w:tcW w:type="dxa" w:w="2880"/>
          </w:tcPr>
          <w:p>
            <w:r>
              <w:rPr>
                <w:color w:val="000000"/>
                <w:sz w:val="18"/>
              </w:rPr>
            </w:r>
            <w:r>
              <w:rPr>
                <w:color w:val="000000"/>
                <w:sz w:val="18"/>
              </w:rPr>
              <w:t>Positive means systematic over-forecasting, so overstock and markdown. The inventory-critical metric</w:t>
            </w:r>
          </w:p>
        </w:tc>
      </w:tr>
    </w:tbl>
    <w:p/>
    <w:p>
      <w:pPr>
        <w:pStyle w:val="Heading3"/>
        <w:spacing w:before="240" w:after="120"/>
      </w:pPr>
      <w:r>
        <w:rPr>
          <w:rFonts w:ascii="Calibri" w:hAnsi="Calibri"/>
          <w:b/>
          <w:color w:val="000000"/>
          <w:sz w:val="23"/>
          <w:u w:val="single"/>
        </w:rPr>
        <w:t>What the pooled number hides</w:t>
      </w:r>
    </w:p>
    <w:p>
      <w:r>
        <w:rPr>
          <w:color w:val="000000"/>
        </w:rPr>
        <w:t>Per-series WAPE ranges from 0.11 to 0.69 — some store-SKU pairs are forecast six times worse than others. Pooled and per-series-averaged figures are close, so high-volume series are not propping up the headline, but that spread is where the next real accuracy gain is. Error is flat across the horizon, ranging 0.25 to 0.29 from day one to day fourteen with no trend, so the 14-day horizon is not the limiting factor.</w:t>
      </w:r>
    </w:p>
    <w:p>
      <w:pPr>
        <w:jc w:val="center"/>
      </w:pPr>
      <w:r>
        <w:rPr>
          <w:color w:val="000000"/>
        </w:rPr>
        <w:t>────────────────────────────────────────</w:t>
      </w:r>
    </w:p>
    <w:p>
      <w:pPr>
        <w:pStyle w:val="Heading2"/>
        <w:spacing w:before="320" w:after="120"/>
      </w:pPr>
      <w:r>
        <w:rPr>
          <w:rFonts w:ascii="Calibri" w:hAnsi="Calibri"/>
          <w:b/>
          <w:color w:val="000000"/>
          <w:sz w:val="27"/>
          <w:u w:val="single"/>
        </w:rPr>
        <w:t>8. Which model I would put in production, and why</w:t>
      </w:r>
    </w:p>
    <w:p>
      <w:r>
        <w:t xml:space="preserve">The promoted champion is the Transformer, because it won on validation. </w:t>
      </w:r>
      <w:r>
        <w:rPr>
          <w:b/>
          <w:color w:val="000000"/>
        </w:rPr>
        <w:t>The model I would actually deploy is CatBoost.</w:t>
      </w:r>
    </w:p>
    <w:p>
      <w:r>
        <w:rPr>
          <w:color w:val="000000"/>
        </w:rPr>
        <w:t>Four reasons:</w:t>
      </w:r>
    </w:p>
    <w:p>
      <w:pPr>
        <w:pStyle w:val="ListNumber"/>
      </w:pPr>
      <w:r>
        <w:rPr>
          <w:b/>
          <w:color w:val="000000"/>
        </w:rPr>
        <w:t>The accuracy difference is inside the noise.</w:t>
      </w:r>
      <w:r>
        <w:rPr>
          <w:color w:val="000000"/>
        </w:rPr>
        <w:t xml:space="preserve"> All six models span 0.2654 to 0.2762 on</w:t>
      </w:r>
    </w:p>
    <w:p>
      <w:r>
        <w:rPr>
          <w:color w:val="000000"/>
        </w:rPr>
        <w:t>validation, about four percent relative. The gap between the Transformer and CatBoost is 0.0065.</w:t>
      </w:r>
    </w:p>
    <w:p>
      <w:pPr>
        <w:pStyle w:val="ListNumber"/>
      </w:pPr>
      <w:r>
        <w:rPr>
          <w:b/>
          <w:color w:val="000000"/>
        </w:rPr>
        <w:t>The validation ranking has failed to predict the test ranking three times.</w:t>
      </w:r>
      <w:r>
        <w:rPr>
          <w:color w:val="000000"/>
        </w:rPr>
        <w:t xml:space="preserve"> In run 1 the</w:t>
      </w:r>
    </w:p>
    <w:p>
      <w:r>
        <w:rPr>
          <w:color w:val="000000"/>
        </w:rPr>
        <w:t>Transformer won validation and CatBoost was best on test. In run 2 the Transformer won validation and the LSTM was best on test, with the Transformer finishing worst of the five non-Darts models. One 14-day December origin cannot resolve differences of half a percentage point.</w:t>
      </w:r>
    </w:p>
    <w:p>
      <w:pPr>
        <w:pStyle w:val="ListNumber"/>
      </w:pPr>
      <w:r>
        <w:rPr>
          <w:b/>
          <w:color w:val="000000"/>
        </w:rPr>
        <w:t>The bias result decides it.</w:t>
      </w:r>
      <w:r>
        <w:rPr>
          <w:color w:val="000000"/>
        </w:rPr>
        <w:t xml:space="preserve"> The Transformer over-forecasts test by 7.3%, roughly 64,000 units</w:t>
      </w:r>
    </w:p>
    <w:p>
      <w:r>
        <w:rPr>
          <w:color w:val="000000"/>
        </w:rPr>
        <w:t>of demand that did not exist. CatBoost is at 1.0% and LightGBM at 0.86%. For an inventory decision that dominates a 0.006 WAPE edge entirely.</w:t>
      </w:r>
    </w:p>
    <w:p>
      <w:pPr>
        <w:pStyle w:val="ListNumber"/>
      </w:pPr>
      <w:r>
        <w:rPr>
          <w:b/>
          <w:color w:val="000000"/>
        </w:rPr>
        <w:t>Operationally it is far cheaper.</w:t>
      </w:r>
      <w:r>
        <w:rPr>
          <w:color w:val="000000"/>
        </w:rPr>
        <w:t xml:space="preserve"> CatBoost trains in about 25 seconds against 10 to 30 minutes,</w:t>
      </w:r>
    </w:p>
    <w:p>
      <w:r>
        <w:rPr>
          <w:color w:val="000000"/>
        </w:rPr>
        <w:t>tunes at 40 seconds per trial against 7 to 30 minutes, runs inference on CPU across all 1,004 series in about 22 seconds, and supports SHAP explanations without extra work.</w:t>
      </w:r>
    </w:p>
    <w:p>
      <w:r>
        <w:rPr>
          <w:color w:val="000000"/>
        </w:rPr>
        <w:t>CatBoost is also the only model that is top-three on both validation and test and byte-identical between the two runs. LightGBM is the natural runner-up: last of six on validation WAPE, third on test, and the least biased model in the study.</w:t>
      </w:r>
    </w:p>
    <w:p>
      <w:r>
        <w:rPr>
          <w:b/>
          <w:color w:val="000000"/>
        </w:rPr>
        <w:t>The most useful finding is that the model barely matters.</w:t>
      </w:r>
      <w:r>
        <w:rPr>
          <w:color w:val="000000"/>
        </w:rPr>
        <w:t xml:space="preserve"> Six architectures with very different inductive biases land within four percent of each other; train and validation error are nearly identical, so nothing is overfitting; and doubling the search budget while tripling the epoch ceiling changed nothing. TiDE, which never received a tuned search, still lands within 0.4% of the tuned Transformer on test. The ceiling is the information in the features, not the model on top of them.</w:t>
      </w:r>
    </w:p>
    <w:p>
      <w:pPr>
        <w:jc w:val="center"/>
      </w:pPr>
      <w:r>
        <w:rPr>
          <w:color w:val="000000"/>
        </w:rPr>
        <w:t>────────────────────────────────────────</w:t>
      </w:r>
    </w:p>
    <w:p>
      <w:pPr>
        <w:pStyle w:val="Heading2"/>
        <w:spacing w:before="320" w:after="120"/>
      </w:pPr>
      <w:r>
        <w:rPr>
          <w:rFonts w:ascii="Calibri" w:hAnsi="Calibri"/>
          <w:b/>
          <w:color w:val="000000"/>
          <w:sz w:val="27"/>
          <w:u w:val="single"/>
        </w:rPr>
        <w:t>9. Cold start and stockouts</w:t>
      </w:r>
    </w:p>
    <w:p>
      <w:r>
        <w:rPr>
          <w:b/>
          <w:color w:val="000000"/>
        </w:rPr>
        <w:t>Stockouts (3% of rows).</w:t>
      </w:r>
      <w:r>
        <w:t xml:space="preserve"> On a stockout day the recorded units sold is what was </w:t>
      </w:r>
      <w:r>
        <w:rPr>
          <w:i/>
          <w:color w:val="000000"/>
        </w:rPr>
        <w:t>available to sell</w:t>
      </w:r>
      <w:r>
        <w:rPr>
          <w:color w:val="000000"/>
        </w:rPr>
        <w:t>, not what customers wanted. Training on it directly teaches the model that demand was low precisely when it may have been high. I built three strategies: leave the target alone, replace it with the higher of observed sales and a trailing non-stockout rolling median, or apply a fixed percentage uplift — with imputed rows down-weighted so the model trusts them less. Every strategy emits the same columns, so nothing downstream changes when the strategy does.</w:t>
      </w:r>
    </w:p>
    <w:p>
      <w:r>
        <w:rPr>
          <w:color w:val="000000"/>
        </w:rPr>
        <w:t>Both production runs used the uncorrected target. Correcting censored demand is a modelling assumption, and the honest first version ships the baseline and treats the correction as an experiment to be measured. I did not get to that measurement, and it is the cheapest open item I have.</w:t>
      </w:r>
    </w:p>
    <w:p>
      <w:r>
        <w:rPr>
          <w:b/>
          <w:color w:val="000000"/>
        </w:rPr>
        <w:t>Cold start.</w:t>
      </w:r>
      <w:r>
        <w:rPr>
          <w:color w:val="000000"/>
        </w:rPr>
        <w:t xml:space="preserve"> This dataset has almost none — 1,004 of 1,005 series have three full years — but the design still has to handle it. The global model is the main defence: a new SKU inherits everything the model has learned about its category, subcategory, brand and channel, which a per-series model could not do at all. Unseen categorical values map to a reserved "unknown" index rather than raising, and unseen sequence-model identifiers fall back to a learned unknown embedding. Where history is shorter than the longest lag, the hierarchy features and calendar still carry signal. For genuine launches, a subcategory-level forecast allocated down by recent share is the intended fallback.</w:t>
      </w:r>
    </w:p>
    <w:p>
      <w:pPr>
        <w:jc w:val="center"/>
      </w:pPr>
      <w:r>
        <w:rPr>
          <w:color w:val="000000"/>
        </w:rPr>
        <w:t>────────────────────────────────────────</w:t>
      </w:r>
    </w:p>
    <w:p>
      <w:pPr>
        <w:pStyle w:val="Heading2"/>
        <w:spacing w:before="320" w:after="120"/>
      </w:pPr>
      <w:r>
        <w:rPr>
          <w:rFonts w:ascii="Calibri" w:hAnsi="Calibri"/>
          <w:b/>
          <w:color w:val="000000"/>
          <w:sz w:val="27"/>
          <w:u w:val="single"/>
        </w:rPr>
        <w:t>10. Future improvements</w:t>
      </w:r>
    </w:p>
    <w:p>
      <w:r>
        <w:rPr>
          <w:b/>
          <w:color w:val="000000"/>
        </w:rPr>
        <w:t>Rolling-origin validation, first and by some distance.</w:t>
      </w:r>
      <w:r>
        <w:rPr>
          <w:color w:val="000000"/>
        </w:rPr>
        <w:t xml:space="preserve"> Everything here rests on one December fortnight, and the validation ranking has already contradicted the test ranking three times. Six to twelve origins spread across seasons, selecting on mean WAPE with the spread reported, would turn "the Transformer wins by 0.0008" into a defensible statement.</w:t>
      </w:r>
    </w:p>
    <w:p>
      <w:r>
        <w:rPr>
          <w:b/>
          <w:color w:val="000000"/>
        </w:rPr>
        <w:t>Remove recursion from the tree path.</w:t>
      </w:r>
      <w:r>
        <w:rPr>
          <w:color w:val="000000"/>
        </w:rPr>
        <w:t xml:space="preserve"> The tree models forecast recursively, so errors can compound along the horizon. Training a separate head per horizon day, each predicting from origin-time features only, removes the feedback loop entirely. The sequence models already work this way. Worth measuring rather than assuming, since the per-horizon error curve is currently flat.</w:t>
      </w:r>
    </w:p>
    <w:p>
      <w:r>
        <w:rPr>
          <w:b/>
          <w:color w:val="000000"/>
        </w:rPr>
        <w:t>Attack the per-series spread rather than the average.</w:t>
      </w:r>
      <w:r>
        <w:rPr>
          <w:color w:val="000000"/>
        </w:rPr>
        <w:t xml:space="preserve"> Per-series WAPE runs from 0.11 to 0.69. One detail points the way: the same SKU appears among both the best and worst series in different stores, so the difficulty is a store-by-SKU property, which argues for store-level segmentation over SKU-level.</w:t>
      </w:r>
    </w:p>
    <w:p>
      <w:r>
        <w:rPr>
          <w:b/>
          <w:color w:val="000000"/>
        </w:rPr>
        <w:t>More signal, not more capacity.</w:t>
      </w:r>
      <w:r>
        <w:rPr>
          <w:color w:val="000000"/>
        </w:rPr>
        <w:t xml:space="preserve"> Nothing overfits, so returns are in features: promotional depth and lead/lag effects around campaigns (promotions currently enter as a single binary flag despite carrying double the error), price relative to competing SKUs in the same subcategory, and a richer calendar covering paydays and holiday proximity rather than a same-day flag.</w:t>
      </w:r>
    </w:p>
    <w:p>
      <w:r>
        <w:rPr>
          <w:b/>
          <w:color w:val="000000"/>
        </w:rPr>
        <w:t>Test the stockout correction.</w:t>
      </w:r>
      <w:r>
        <w:rPr>
          <w:color w:val="000000"/>
        </w:rPr>
        <w:t xml:space="preserve"> Three percent of rows still train on censored sales as though they were demand. Both correction strategies are built and leakage-tested but were never compared.</w:t>
      </w:r>
    </w:p>
    <w:p>
      <w:r>
        <w:rPr>
          <w:b/>
          <w:color w:val="000000"/>
        </w:rPr>
        <w:t>Move to quantile forecasts.</w:t>
      </w:r>
      <w:r>
        <w:rPr>
          <w:color w:val="000000"/>
        </w:rPr>
        <w:t xml:space="preserve"> Inventory needs a service level, not a mean. Forecasting the median and 90th percentile would make the output directly usable for safety-stock sizing and turn the asymmetric cost proxy from descriptive into actionable.</w:t>
      </w:r>
    </w:p>
    <w:p>
      <w:r>
        <w:rPr>
          <w:b/>
          <w:color w:val="000000"/>
        </w:rPr>
        <w:t>Establish a seasonal-naive baseline.</w:t>
      </w:r>
      <w:r>
        <w:rPr>
          <w:color w:val="000000"/>
        </w:rPr>
        <w:t xml:space="preserve"> I never did, which means I cannot currently state how much these models beat "the same weekday last week" — the first question any reviewer will ask.</w:t>
      </w:r>
    </w:p>
    <w:p>
      <w:r>
        <w:rPr>
          <w:b/>
          <w:color w:val="000000"/>
        </w:rPr>
        <w:t>Other architectures worth a fair test.</w:t>
      </w:r>
      <w:r>
        <w:rPr>
          <w:color w:val="000000"/>
        </w:rPr>
        <w:t xml:space="preserve"> N-BEATS and N-HiTS for pure seasonality, the Temporal Fusion Transformer for native known-future handling and interpretable attention, and DeepAR for probabilistic output.</w:t>
      </w:r>
    </w:p>
    <w:p>
      <w:r>
        <w:rPr>
          <w:b/>
          <w:color w:val="000000"/>
        </w:rPr>
        <w:t>What is not worth doing:</w:t>
      </w:r>
      <w:r>
        <w:rPr>
          <w:color w:val="000000"/>
        </w:rPr>
        <w:t xml:space="preserve"> a larger Transformer, or a wider hyperparameter sweep. The second run already showed neither moves the number.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imanshu-Verma-ds/demand-forecasting" TargetMode="External"/><Relationship Id="rId10" Type="http://schemas.openxmlformats.org/officeDocument/2006/relationships/hyperlink" Target="https://dagshub.com/Himanshu-Verma-ds/demand-forecasting-assignment" TargetMode="External"/><Relationship Id="rId11" Type="http://schemas.openxmlformats.org/officeDocument/2006/relationships/hyperlink" Target="https://dagshub.com/Himanshu-Verma-ds/demand-forecasting-assignment.mlflow/#/experiments/2" TargetMode="External"/><Relationship Id="rId12" Type="http://schemas.openxmlformats.org/officeDocument/2006/relationships/hyperlink" Target="https://dagshub.com/Himanshu-Verma-ds/demand-forecasting-assignment.mlflow/#/experiments/3" TargetMode="External"/><Relationship Id="rId13" Type="http://schemas.openxmlformats.org/officeDocument/2006/relationships/hyperlink" Target="https://dagshub.com/Himanshu-Verma-ds/demand-forecasting-assignment.mlflow/#/experiments/3/runs/81f426ed1bd947788c3ef0d41299fd40" TargetMode="External"/><Relationship Id="rId14" Type="http://schemas.openxmlformats.org/officeDocument/2006/relationships/hyperlink" Target="https://dagshub.com/Himanshu-Verma-ds/demand-forecasting-assignment.mlflow/#/experiments/3/runs/12c116700648433abd34144ee74b4e6f" TargetMode="External"/><Relationship Id="rId15" Type="http://schemas.openxmlformats.org/officeDocument/2006/relationships/hyperlink" Target="https://dagshub.com/Himanshu-Verma-ds/demand-forecasting-assignment.mlflow/#/experiments/3/runs/ecf488259fdb4bb8a534b1c591d9e1a7" TargetMode="External"/><Relationship Id="rId16" Type="http://schemas.openxmlformats.org/officeDocument/2006/relationships/hyperlink" Target="https://dagshub.com/Himanshu-Verma-ds/demand-forecasting-assignment.mlflow/#/experiments/3/runs/8efb226821904b339aefec9160ee057d" TargetMode="External"/><Relationship Id="rId17" Type="http://schemas.openxmlformats.org/officeDocument/2006/relationships/hyperlink" Target="https://dagshub.com/Himanshu-Verma-ds/demand-forecasting-assignment.mlflow/#/experiments/3/runs/e37112b147c54425812c2722f2cda594" TargetMode="External"/><Relationship Id="rId18" Type="http://schemas.openxmlformats.org/officeDocument/2006/relationships/hyperlink" Target="https://dagshub.com/Himanshu-Verma-ds/demand-forecasting-assignment.mlflow/#/experiments/3/runs/cc14be10653d45fa98f0f6ec11a904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