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u w:val="single"/>
        </w:rPr>
      </w:pPr>
      <w:r w:rsidDel="00000000" w:rsidR="00000000" w:rsidRPr="00000000">
        <w:rPr>
          <w:sz w:val="32"/>
          <w:szCs w:val="32"/>
          <w:u w:val="single"/>
          <w:rtl w:val="0"/>
        </w:rPr>
        <w:t xml:space="preserve">Task 2: Data Visualization and Storytelling</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both"/>
        <w:rPr>
          <w:b w:val="1"/>
          <w:sz w:val="28"/>
          <w:szCs w:val="28"/>
        </w:rPr>
      </w:pPr>
      <w:bookmarkStart w:colFirst="0" w:colLast="0" w:name="_wk8o0lzi3oqt" w:id="0"/>
      <w:bookmarkEnd w:id="0"/>
      <w:r w:rsidDel="00000000" w:rsidR="00000000" w:rsidRPr="00000000">
        <w:rPr>
          <w:b w:val="1"/>
          <w:sz w:val="28"/>
          <w:szCs w:val="28"/>
          <w:rtl w:val="0"/>
        </w:rPr>
        <w:t xml:space="preserve">📋 Executive Summary</w:t>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SuperStore Sales Dashboard – Data Visualization Overview</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This executive summary presents a comprehensive analysis of SuperStore’s sales performance based on key visual insights generated through Power BI. The dashboard captures sales, profit, customer segments, shipping methods, and geographical trends for the years 2019 and 2020. The insights derived can be used to inform strategic decisions in marketing, operations, and customer targeting.</w:t>
      </w:r>
    </w:p>
    <w:p w:rsidR="00000000" w:rsidDel="00000000" w:rsidP="00000000" w:rsidRDefault="00000000" w:rsidRPr="00000000" w14:paraId="0000000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both"/>
        <w:rPr>
          <w:b w:val="1"/>
          <w:color w:val="000000"/>
          <w:sz w:val="20"/>
          <w:szCs w:val="20"/>
        </w:rPr>
      </w:pPr>
      <w:bookmarkStart w:colFirst="0" w:colLast="0" w:name="_9ezroqawvu79" w:id="1"/>
      <w:bookmarkEnd w:id="1"/>
      <w:r w:rsidDel="00000000" w:rsidR="00000000" w:rsidRPr="00000000">
        <w:rPr>
          <w:b w:val="1"/>
          <w:color w:val="000000"/>
          <w:sz w:val="20"/>
          <w:szCs w:val="20"/>
          <w:rtl w:val="0"/>
        </w:rPr>
        <w:t xml:space="preserve">💰 Overall Business Performance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The store achieved:</w:t>
      </w:r>
    </w:p>
    <w:p w:rsidR="00000000" w:rsidDel="00000000" w:rsidP="00000000" w:rsidRDefault="00000000" w:rsidRPr="00000000" w14:paraId="00000008">
      <w:pPr>
        <w:numPr>
          <w:ilvl w:val="0"/>
          <w:numId w:val="6"/>
        </w:numPr>
        <w:spacing w:after="0" w:afterAutospacing="0" w:before="240" w:lineRule="auto"/>
        <w:ind w:left="720" w:hanging="360"/>
        <w:jc w:val="both"/>
        <w:rPr/>
      </w:pPr>
      <w:r w:rsidDel="00000000" w:rsidR="00000000" w:rsidRPr="00000000">
        <w:rPr>
          <w:b w:val="1"/>
          <w:rtl w:val="0"/>
        </w:rPr>
        <w:t xml:space="preserve">Total Sales</w:t>
      </w:r>
      <w:r w:rsidDel="00000000" w:rsidR="00000000" w:rsidRPr="00000000">
        <w:rPr>
          <w:rtl w:val="0"/>
        </w:rPr>
        <w:t xml:space="preserve">: $1.6 million</w:t>
      </w:r>
    </w:p>
    <w:p w:rsidR="00000000" w:rsidDel="00000000" w:rsidP="00000000" w:rsidRDefault="00000000" w:rsidRPr="00000000" w14:paraId="00000009">
      <w:pPr>
        <w:numPr>
          <w:ilvl w:val="0"/>
          <w:numId w:val="6"/>
        </w:numPr>
        <w:spacing w:after="0" w:afterAutospacing="0" w:before="0" w:beforeAutospacing="0" w:lineRule="auto"/>
        <w:ind w:left="720" w:hanging="360"/>
        <w:jc w:val="both"/>
        <w:rPr/>
      </w:pPr>
      <w:r w:rsidDel="00000000" w:rsidR="00000000" w:rsidRPr="00000000">
        <w:rPr>
          <w:b w:val="1"/>
          <w:rtl w:val="0"/>
        </w:rPr>
        <w:t xml:space="preserve">Total Profit</w:t>
      </w:r>
      <w:r w:rsidDel="00000000" w:rsidR="00000000" w:rsidRPr="00000000">
        <w:rPr>
          <w:rtl w:val="0"/>
        </w:rPr>
        <w:t xml:space="preserve">: $175,000</w:t>
      </w:r>
    </w:p>
    <w:p w:rsidR="00000000" w:rsidDel="00000000" w:rsidP="00000000" w:rsidRDefault="00000000" w:rsidRPr="00000000" w14:paraId="0000000A">
      <w:pPr>
        <w:numPr>
          <w:ilvl w:val="0"/>
          <w:numId w:val="6"/>
        </w:numPr>
        <w:spacing w:after="0" w:afterAutospacing="0" w:before="0" w:beforeAutospacing="0" w:lineRule="auto"/>
        <w:ind w:left="720" w:hanging="360"/>
        <w:jc w:val="both"/>
        <w:rPr/>
      </w:pPr>
      <w:r w:rsidDel="00000000" w:rsidR="00000000" w:rsidRPr="00000000">
        <w:rPr>
          <w:b w:val="1"/>
          <w:rtl w:val="0"/>
        </w:rPr>
        <w:t xml:space="preserve">Total Orders</w:t>
      </w:r>
      <w:r w:rsidDel="00000000" w:rsidR="00000000" w:rsidRPr="00000000">
        <w:rPr>
          <w:rtl w:val="0"/>
        </w:rPr>
        <w:t xml:space="preserve">: 22,000</w:t>
      </w:r>
    </w:p>
    <w:p w:rsidR="00000000" w:rsidDel="00000000" w:rsidP="00000000" w:rsidRDefault="00000000" w:rsidRPr="00000000" w14:paraId="0000000B">
      <w:pPr>
        <w:numPr>
          <w:ilvl w:val="0"/>
          <w:numId w:val="6"/>
        </w:numPr>
        <w:spacing w:after="240" w:before="0" w:beforeAutospacing="0" w:lineRule="auto"/>
        <w:ind w:left="720" w:hanging="360"/>
        <w:jc w:val="both"/>
        <w:rPr/>
      </w:pPr>
      <w:r w:rsidDel="00000000" w:rsidR="00000000" w:rsidRPr="00000000">
        <w:rPr>
          <w:b w:val="1"/>
          <w:rtl w:val="0"/>
        </w:rPr>
        <w:t xml:space="preserve">Total Returns</w:t>
      </w:r>
      <w:r w:rsidDel="00000000" w:rsidR="00000000" w:rsidRPr="00000000">
        <w:rPr>
          <w:rtl w:val="0"/>
        </w:rPr>
        <w:t xml:space="preserve">: Only 4 reported returns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This indicates a strong conversion and customer satisfaction rate, with minimal product returns relative to the volume of orders.</w:t>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both"/>
        <w:rPr>
          <w:b w:val="1"/>
          <w:color w:val="000000"/>
          <w:sz w:val="20"/>
          <w:szCs w:val="20"/>
        </w:rPr>
      </w:pPr>
      <w:bookmarkStart w:colFirst="0" w:colLast="0" w:name="_4kj9a7fwkr8r" w:id="2"/>
      <w:bookmarkEnd w:id="2"/>
      <w:r w:rsidDel="00000000" w:rsidR="00000000" w:rsidRPr="00000000">
        <w:rPr>
          <w:b w:val="1"/>
          <w:color w:val="000000"/>
          <w:sz w:val="20"/>
          <w:szCs w:val="20"/>
          <w:rtl w:val="0"/>
        </w:rPr>
        <w:t xml:space="preserve">🗃️ Sales Breakdown by Category and Sub-Category</w:t>
      </w:r>
    </w:p>
    <w:p w:rsidR="00000000" w:rsidDel="00000000" w:rsidP="00000000" w:rsidRDefault="00000000" w:rsidRPr="00000000" w14:paraId="0000000F">
      <w:pPr>
        <w:numPr>
          <w:ilvl w:val="0"/>
          <w:numId w:val="9"/>
        </w:numPr>
        <w:spacing w:after="0" w:afterAutospacing="0" w:before="240" w:lineRule="auto"/>
        <w:ind w:left="720" w:hanging="360"/>
        <w:jc w:val="both"/>
        <w:rPr/>
      </w:pPr>
      <w:r w:rsidDel="00000000" w:rsidR="00000000" w:rsidRPr="00000000">
        <w:rPr>
          <w:b w:val="1"/>
          <w:rtl w:val="0"/>
        </w:rPr>
        <w:t xml:space="preserve">Office Supplies</w:t>
      </w:r>
      <w:r w:rsidDel="00000000" w:rsidR="00000000" w:rsidRPr="00000000">
        <w:rPr>
          <w:rtl w:val="0"/>
        </w:rPr>
        <w:t xml:space="preserve"> was the </w:t>
      </w:r>
      <w:r w:rsidDel="00000000" w:rsidR="00000000" w:rsidRPr="00000000">
        <w:rPr>
          <w:b w:val="1"/>
          <w:rtl w:val="0"/>
        </w:rPr>
        <w:t xml:space="preserve">leading category</w:t>
      </w:r>
      <w:r w:rsidDel="00000000" w:rsidR="00000000" w:rsidRPr="00000000">
        <w:rPr>
          <w:rtl w:val="0"/>
        </w:rPr>
        <w:t xml:space="preserve">, generating approximately </w:t>
      </w:r>
      <w:r w:rsidDel="00000000" w:rsidR="00000000" w:rsidRPr="00000000">
        <w:rPr>
          <w:b w:val="1"/>
          <w:rtl w:val="0"/>
        </w:rPr>
        <w:t xml:space="preserve">$640K</w:t>
      </w:r>
      <w:r w:rsidDel="00000000" w:rsidR="00000000" w:rsidRPr="00000000">
        <w:rPr>
          <w:rtl w:val="0"/>
        </w:rPr>
        <w:t xml:space="preserve">, followed by:</w:t>
        <w:br w:type="textWrapping"/>
      </w:r>
    </w:p>
    <w:p w:rsidR="00000000" w:rsidDel="00000000" w:rsidP="00000000" w:rsidRDefault="00000000" w:rsidRPr="00000000" w14:paraId="00000010">
      <w:pPr>
        <w:numPr>
          <w:ilvl w:val="1"/>
          <w:numId w:val="9"/>
        </w:numPr>
        <w:spacing w:after="0" w:afterAutospacing="0" w:before="0" w:beforeAutospacing="0" w:lineRule="auto"/>
        <w:ind w:left="1440" w:hanging="360"/>
        <w:jc w:val="both"/>
        <w:rPr/>
      </w:pPr>
      <w:r w:rsidDel="00000000" w:rsidR="00000000" w:rsidRPr="00000000">
        <w:rPr>
          <w:b w:val="1"/>
          <w:rtl w:val="0"/>
        </w:rPr>
        <w:t xml:space="preserve">Technology</w:t>
      </w:r>
      <w:r w:rsidDel="00000000" w:rsidR="00000000" w:rsidRPr="00000000">
        <w:rPr>
          <w:rtl w:val="0"/>
        </w:rPr>
        <w:t xml:space="preserve">: $470K</w:t>
        <w:br w:type="textWrapping"/>
      </w:r>
    </w:p>
    <w:p w:rsidR="00000000" w:rsidDel="00000000" w:rsidP="00000000" w:rsidRDefault="00000000" w:rsidRPr="00000000" w14:paraId="00000011">
      <w:pPr>
        <w:numPr>
          <w:ilvl w:val="1"/>
          <w:numId w:val="9"/>
        </w:numPr>
        <w:spacing w:after="240" w:before="0" w:beforeAutospacing="0" w:lineRule="auto"/>
        <w:ind w:left="1440" w:hanging="360"/>
        <w:jc w:val="both"/>
        <w:rPr/>
      </w:pPr>
      <w:r w:rsidDel="00000000" w:rsidR="00000000" w:rsidRPr="00000000">
        <w:rPr>
          <w:b w:val="1"/>
          <w:rtl w:val="0"/>
        </w:rPr>
        <w:t xml:space="preserve">Furniture</w:t>
      </w:r>
      <w:r w:rsidDel="00000000" w:rsidR="00000000" w:rsidRPr="00000000">
        <w:rPr>
          <w:rtl w:val="0"/>
        </w:rPr>
        <w:t xml:space="preserve">: $450K</w:t>
        <w:br w:type="textWrapping"/>
      </w:r>
    </w:p>
    <w:p w:rsidR="00000000" w:rsidDel="00000000" w:rsidP="00000000" w:rsidRDefault="00000000" w:rsidRPr="00000000" w14:paraId="00000012">
      <w:pPr>
        <w:spacing w:after="240" w:before="240" w:lineRule="auto"/>
        <w:jc w:val="both"/>
        <w:rPr/>
      </w:pPr>
      <w:r w:rsidDel="00000000" w:rsidR="00000000" w:rsidRPr="00000000">
        <w:rPr>
          <w:rtl w:val="0"/>
        </w:rPr>
        <w:t xml:space="preserve">At a more granular level, the </w:t>
      </w:r>
      <w:r w:rsidDel="00000000" w:rsidR="00000000" w:rsidRPr="00000000">
        <w:rPr>
          <w:b w:val="1"/>
          <w:rtl w:val="0"/>
        </w:rPr>
        <w:t xml:space="preserve">top-performing sub-categories</w:t>
      </w:r>
      <w:r w:rsidDel="00000000" w:rsidR="00000000" w:rsidRPr="00000000">
        <w:rPr>
          <w:rtl w:val="0"/>
        </w:rPr>
        <w:t xml:space="preserve"> included:</w:t>
      </w:r>
    </w:p>
    <w:p w:rsidR="00000000" w:rsidDel="00000000" w:rsidP="00000000" w:rsidRDefault="00000000" w:rsidRPr="00000000" w14:paraId="00000013">
      <w:pPr>
        <w:numPr>
          <w:ilvl w:val="0"/>
          <w:numId w:val="3"/>
        </w:numPr>
        <w:spacing w:after="0" w:afterAutospacing="0" w:before="240" w:lineRule="auto"/>
        <w:ind w:left="720" w:hanging="360"/>
        <w:jc w:val="both"/>
        <w:rPr/>
      </w:pPr>
      <w:r w:rsidDel="00000000" w:rsidR="00000000" w:rsidRPr="00000000">
        <w:rPr>
          <w:b w:val="1"/>
          <w:rtl w:val="0"/>
        </w:rPr>
        <w:t xml:space="preserve">Phones</w:t>
      </w:r>
      <w:r w:rsidDel="00000000" w:rsidR="00000000" w:rsidRPr="00000000">
        <w:rPr>
          <w:rtl w:val="0"/>
        </w:rPr>
        <w:t xml:space="preserve">: $200K</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pPr>
      <w:r w:rsidDel="00000000" w:rsidR="00000000" w:rsidRPr="00000000">
        <w:rPr>
          <w:b w:val="1"/>
          <w:rtl w:val="0"/>
        </w:rPr>
        <w:t xml:space="preserve">Chairs</w:t>
      </w:r>
      <w:r w:rsidDel="00000000" w:rsidR="00000000" w:rsidRPr="00000000">
        <w:rPr>
          <w:rtl w:val="0"/>
        </w:rPr>
        <w:t xml:space="preserve">: $180K</w:t>
      </w:r>
    </w:p>
    <w:p w:rsidR="00000000" w:rsidDel="00000000" w:rsidP="00000000" w:rsidRDefault="00000000" w:rsidRPr="00000000" w14:paraId="00000015">
      <w:pPr>
        <w:numPr>
          <w:ilvl w:val="0"/>
          <w:numId w:val="3"/>
        </w:numPr>
        <w:spacing w:after="240" w:before="0" w:beforeAutospacing="0" w:lineRule="auto"/>
        <w:ind w:left="720" w:hanging="360"/>
        <w:jc w:val="both"/>
        <w:rPr/>
      </w:pPr>
      <w:r w:rsidDel="00000000" w:rsidR="00000000" w:rsidRPr="00000000">
        <w:rPr>
          <w:b w:val="1"/>
          <w:rtl w:val="0"/>
        </w:rPr>
        <w:t xml:space="preserve">Binders</w:t>
      </w:r>
      <w:r w:rsidDel="00000000" w:rsidR="00000000" w:rsidRPr="00000000">
        <w:rPr>
          <w:rtl w:val="0"/>
        </w:rPr>
        <w:t xml:space="preserve">: $170K</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This breakdown shows that both utility and tech products are in high demand, signaling dual priority on basic office needs and digital transformation.</w:t>
      </w:r>
    </w:p>
    <w:p w:rsidR="00000000" w:rsidDel="00000000" w:rsidP="00000000" w:rsidRDefault="00000000" w:rsidRPr="00000000" w14:paraId="0000001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b w:val="1"/>
          <w:color w:val="000000"/>
          <w:sz w:val="20"/>
          <w:szCs w:val="20"/>
        </w:rPr>
      </w:pPr>
      <w:bookmarkStart w:colFirst="0" w:colLast="0" w:name="_otc5adyhcbbo" w:id="3"/>
      <w:bookmarkEnd w:id="3"/>
      <w:r w:rsidDel="00000000" w:rsidR="00000000" w:rsidRPr="00000000">
        <w:rPr>
          <w:b w:val="1"/>
          <w:color w:val="000000"/>
          <w:sz w:val="20"/>
          <w:szCs w:val="20"/>
          <w:rtl w:val="0"/>
        </w:rPr>
        <w:t xml:space="preserve">🚚 Shipping Modes &amp; Performance</w:t>
      </w:r>
    </w:p>
    <w:p w:rsidR="00000000" w:rsidDel="00000000" w:rsidP="00000000" w:rsidRDefault="00000000" w:rsidRPr="00000000" w14:paraId="00000019">
      <w:pPr>
        <w:numPr>
          <w:ilvl w:val="0"/>
          <w:numId w:val="2"/>
        </w:numPr>
        <w:spacing w:after="0" w:afterAutospacing="0" w:before="240" w:lineRule="auto"/>
        <w:ind w:left="720" w:hanging="360"/>
        <w:jc w:val="both"/>
        <w:rPr/>
      </w:pPr>
      <w:r w:rsidDel="00000000" w:rsidR="00000000" w:rsidRPr="00000000">
        <w:rPr>
          <w:b w:val="1"/>
          <w:rtl w:val="0"/>
        </w:rPr>
        <w:t xml:space="preserve">Standard Class shipping</w:t>
      </w:r>
      <w:r w:rsidDel="00000000" w:rsidR="00000000" w:rsidRPr="00000000">
        <w:rPr>
          <w:rtl w:val="0"/>
        </w:rPr>
        <w:t xml:space="preserve"> dominates sales fulfillment with </w:t>
      </w:r>
      <w:r w:rsidDel="00000000" w:rsidR="00000000" w:rsidRPr="00000000">
        <w:rPr>
          <w:b w:val="1"/>
          <w:rtl w:val="0"/>
        </w:rPr>
        <w:t xml:space="preserve">$910K</w:t>
      </w:r>
      <w:r w:rsidDel="00000000" w:rsidR="00000000" w:rsidRPr="00000000">
        <w:rPr>
          <w:rtl w:val="0"/>
        </w:rPr>
        <w:t xml:space="preserve">, highlighting it as the most preferred and perhaps cost-effective logistics option.</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pPr>
      <w:r w:rsidDel="00000000" w:rsidR="00000000" w:rsidRPr="00000000">
        <w:rPr>
          <w:b w:val="1"/>
          <w:rtl w:val="0"/>
        </w:rPr>
        <w:t xml:space="preserve">Second Class</w:t>
      </w:r>
      <w:r w:rsidDel="00000000" w:rsidR="00000000" w:rsidRPr="00000000">
        <w:rPr>
          <w:rtl w:val="0"/>
        </w:rPr>
        <w:t xml:space="preserve"> and </w:t>
      </w:r>
      <w:r w:rsidDel="00000000" w:rsidR="00000000" w:rsidRPr="00000000">
        <w:rPr>
          <w:b w:val="1"/>
          <w:rtl w:val="0"/>
        </w:rPr>
        <w:t xml:space="preserve">First Class</w:t>
      </w:r>
      <w:r w:rsidDel="00000000" w:rsidR="00000000" w:rsidRPr="00000000">
        <w:rPr>
          <w:rtl w:val="0"/>
        </w:rPr>
        <w:t xml:space="preserve"> followed with $310K and $240K, respectively.</w:t>
        <w:br w:type="textWrapping"/>
      </w:r>
    </w:p>
    <w:p w:rsidR="00000000" w:rsidDel="00000000" w:rsidP="00000000" w:rsidRDefault="00000000" w:rsidRPr="00000000" w14:paraId="0000001B">
      <w:pPr>
        <w:numPr>
          <w:ilvl w:val="0"/>
          <w:numId w:val="2"/>
        </w:numPr>
        <w:spacing w:after="240" w:before="0" w:beforeAutospacing="0" w:lineRule="auto"/>
        <w:ind w:left="720" w:hanging="360"/>
        <w:jc w:val="both"/>
        <w:rPr/>
      </w:pPr>
      <w:r w:rsidDel="00000000" w:rsidR="00000000" w:rsidRPr="00000000">
        <w:rPr>
          <w:b w:val="1"/>
          <w:rtl w:val="0"/>
        </w:rPr>
        <w:t xml:space="preserve">Same Day shipping</w:t>
      </w:r>
      <w:r w:rsidDel="00000000" w:rsidR="00000000" w:rsidRPr="00000000">
        <w:rPr>
          <w:rtl w:val="0"/>
        </w:rPr>
        <w:t xml:space="preserve"> remained the least used at $100K, suggesting either limited availability or low customer preference for premium-speed deliveries.</w:t>
        <w:br w:type="textWrapping"/>
      </w:r>
    </w:p>
    <w:p w:rsidR="00000000" w:rsidDel="00000000" w:rsidP="00000000" w:rsidRDefault="00000000" w:rsidRPr="00000000" w14:paraId="0000001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both"/>
        <w:rPr>
          <w:b w:val="1"/>
          <w:color w:val="000000"/>
          <w:sz w:val="20"/>
          <w:szCs w:val="20"/>
        </w:rPr>
      </w:pPr>
      <w:bookmarkStart w:colFirst="0" w:colLast="0" w:name="_xa8smqlb6yjg" w:id="4"/>
      <w:bookmarkEnd w:id="4"/>
      <w:r w:rsidDel="00000000" w:rsidR="00000000" w:rsidRPr="00000000">
        <w:rPr>
          <w:b w:val="1"/>
          <w:color w:val="000000"/>
          <w:sz w:val="20"/>
          <w:szCs w:val="20"/>
          <w:rtl w:val="0"/>
        </w:rPr>
        <w:t xml:space="preserve">📅 Monthly Sales and Profit Trends (YoY Analysis: 2019 vs 2020)</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 side-by-side comparison of monthly data across 2019 and 2020 reveals:</w:t>
      </w:r>
    </w:p>
    <w:p w:rsidR="00000000" w:rsidDel="00000000" w:rsidP="00000000" w:rsidRDefault="00000000" w:rsidRPr="00000000" w14:paraId="0000001F">
      <w:pPr>
        <w:numPr>
          <w:ilvl w:val="0"/>
          <w:numId w:val="7"/>
        </w:numPr>
        <w:spacing w:after="0" w:afterAutospacing="0" w:before="240" w:lineRule="auto"/>
        <w:ind w:left="720" w:hanging="360"/>
        <w:jc w:val="both"/>
        <w:rPr/>
      </w:pPr>
      <w:r w:rsidDel="00000000" w:rsidR="00000000" w:rsidRPr="00000000">
        <w:rPr>
          <w:rtl w:val="0"/>
        </w:rPr>
        <w:t xml:space="preserve">Noticeable </w:t>
      </w:r>
      <w:r w:rsidDel="00000000" w:rsidR="00000000" w:rsidRPr="00000000">
        <w:rPr>
          <w:b w:val="1"/>
          <w:rtl w:val="0"/>
        </w:rPr>
        <w:t xml:space="preserve">seasonality</w:t>
      </w:r>
      <w:r w:rsidDel="00000000" w:rsidR="00000000" w:rsidRPr="00000000">
        <w:rPr>
          <w:rtl w:val="0"/>
        </w:rPr>
        <w:t xml:space="preserve"> in sales, with certain months outperforming others.</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jc w:val="both"/>
        <w:rPr/>
      </w:pPr>
      <w:r w:rsidDel="00000000" w:rsidR="00000000" w:rsidRPr="00000000">
        <w:rPr>
          <w:rtl w:val="0"/>
        </w:rPr>
        <w:t xml:space="preserve">Steady or increasing </w:t>
      </w:r>
      <w:r w:rsidDel="00000000" w:rsidR="00000000" w:rsidRPr="00000000">
        <w:rPr>
          <w:b w:val="1"/>
          <w:rtl w:val="0"/>
        </w:rPr>
        <w:t xml:space="preserve">year-over-year profit</w:t>
      </w:r>
      <w:r w:rsidDel="00000000" w:rsidR="00000000" w:rsidRPr="00000000">
        <w:rPr>
          <w:rtl w:val="0"/>
        </w:rPr>
        <w:t xml:space="preserve">, indicating effective cost management or margin improvement.</w:t>
        <w:br w:type="textWrapping"/>
      </w:r>
    </w:p>
    <w:p w:rsidR="00000000" w:rsidDel="00000000" w:rsidP="00000000" w:rsidRDefault="00000000" w:rsidRPr="00000000" w14:paraId="00000021">
      <w:pPr>
        <w:numPr>
          <w:ilvl w:val="0"/>
          <w:numId w:val="7"/>
        </w:numPr>
        <w:spacing w:after="240" w:before="0" w:beforeAutospacing="0" w:lineRule="auto"/>
        <w:ind w:left="720" w:hanging="360"/>
        <w:jc w:val="both"/>
        <w:rPr/>
      </w:pPr>
      <w:r w:rsidDel="00000000" w:rsidR="00000000" w:rsidRPr="00000000">
        <w:rPr>
          <w:rtl w:val="0"/>
        </w:rPr>
        <w:t xml:space="preserve">Insights from this data can help optimize inventory, staffing, and promotional campaigns aligned with peak demand months.</w:t>
        <w:br w:type="textWrapping"/>
      </w:r>
    </w:p>
    <w:p w:rsidR="00000000" w:rsidDel="00000000" w:rsidP="00000000" w:rsidRDefault="00000000" w:rsidRPr="00000000" w14:paraId="0000002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both"/>
        <w:rPr>
          <w:b w:val="1"/>
          <w:color w:val="000000"/>
          <w:sz w:val="20"/>
          <w:szCs w:val="20"/>
        </w:rPr>
      </w:pPr>
      <w:bookmarkStart w:colFirst="0" w:colLast="0" w:name="_yxhr05ra6dn2" w:id="5"/>
      <w:bookmarkEnd w:id="5"/>
      <w:r w:rsidDel="00000000" w:rsidR="00000000" w:rsidRPr="00000000">
        <w:rPr>
          <w:b w:val="1"/>
          <w:color w:val="000000"/>
          <w:sz w:val="20"/>
          <w:szCs w:val="20"/>
          <w:rtl w:val="0"/>
        </w:rPr>
        <w:t xml:space="preserve">📍 Geographical Performance</w:t>
      </w:r>
    </w:p>
    <w:p w:rsidR="00000000" w:rsidDel="00000000" w:rsidP="00000000" w:rsidRDefault="00000000" w:rsidRPr="00000000" w14:paraId="00000024">
      <w:pPr>
        <w:numPr>
          <w:ilvl w:val="0"/>
          <w:numId w:val="4"/>
        </w:numPr>
        <w:spacing w:after="0" w:afterAutospacing="0" w:before="240" w:lineRule="auto"/>
        <w:ind w:left="720" w:hanging="360"/>
        <w:jc w:val="both"/>
        <w:rPr/>
      </w:pPr>
      <w:r w:rsidDel="00000000" w:rsidR="00000000" w:rsidRPr="00000000">
        <w:rPr>
          <w:rtl w:val="0"/>
        </w:rPr>
        <w:t xml:space="preserve">The dashboard includes a </w:t>
      </w:r>
      <w:r w:rsidDel="00000000" w:rsidR="00000000" w:rsidRPr="00000000">
        <w:rPr>
          <w:b w:val="1"/>
          <w:rtl w:val="0"/>
        </w:rPr>
        <w:t xml:space="preserve">map-based visual</w:t>
      </w:r>
      <w:r w:rsidDel="00000000" w:rsidR="00000000" w:rsidRPr="00000000">
        <w:rPr>
          <w:rtl w:val="0"/>
        </w:rPr>
        <w:t xml:space="preserve"> showing </w:t>
      </w:r>
      <w:r w:rsidDel="00000000" w:rsidR="00000000" w:rsidRPr="00000000">
        <w:rPr>
          <w:b w:val="1"/>
          <w:rtl w:val="0"/>
        </w:rPr>
        <w:t xml:space="preserve">sales and profit distribution by state</w:t>
      </w:r>
      <w:r w:rsidDel="00000000" w:rsidR="00000000" w:rsidRPr="00000000">
        <w:rPr>
          <w:rtl w:val="0"/>
        </w:rPr>
        <w:t xml:space="preserve">, emphasizing key geographic markets.</w:t>
        <w:br w:type="textWrapping"/>
      </w:r>
    </w:p>
    <w:p w:rsidR="00000000" w:rsidDel="00000000" w:rsidP="00000000" w:rsidRDefault="00000000" w:rsidRPr="00000000" w14:paraId="00000025">
      <w:pPr>
        <w:numPr>
          <w:ilvl w:val="0"/>
          <w:numId w:val="4"/>
        </w:numPr>
        <w:spacing w:after="240" w:before="0" w:beforeAutospacing="0" w:lineRule="auto"/>
        <w:ind w:left="720" w:hanging="360"/>
        <w:jc w:val="both"/>
        <w:rPr/>
      </w:pPr>
      <w:r w:rsidDel="00000000" w:rsidR="00000000" w:rsidRPr="00000000">
        <w:rPr>
          <w:rtl w:val="0"/>
        </w:rPr>
        <w:t xml:space="preserve">Although state names are not labeled in the visual, this segment highlights regional performance, aiding in territory planning and localized marketing.</w:t>
        <w:br w:type="textWrapping"/>
      </w:r>
    </w:p>
    <w:p w:rsidR="00000000" w:rsidDel="00000000" w:rsidP="00000000" w:rsidRDefault="00000000" w:rsidRPr="00000000" w14:paraId="0000002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both"/>
        <w:rPr>
          <w:b w:val="1"/>
          <w:color w:val="000000"/>
          <w:sz w:val="20"/>
          <w:szCs w:val="20"/>
        </w:rPr>
      </w:pPr>
      <w:bookmarkStart w:colFirst="0" w:colLast="0" w:name="_g6d93wbzw2wk" w:id="6"/>
      <w:bookmarkEnd w:id="6"/>
      <w:r w:rsidDel="00000000" w:rsidR="00000000" w:rsidRPr="00000000">
        <w:rPr>
          <w:b w:val="1"/>
          <w:color w:val="000000"/>
          <w:sz w:val="20"/>
          <w:szCs w:val="20"/>
          <w:rtl w:val="0"/>
        </w:rPr>
        <w:t xml:space="preserve">💳 Payment Mode Preferences</w:t>
      </w:r>
    </w:p>
    <w:p w:rsidR="00000000" w:rsidDel="00000000" w:rsidP="00000000" w:rsidRDefault="00000000" w:rsidRPr="00000000" w14:paraId="00000028">
      <w:pPr>
        <w:numPr>
          <w:ilvl w:val="0"/>
          <w:numId w:val="5"/>
        </w:numPr>
        <w:spacing w:after="0" w:afterAutospacing="0" w:before="240" w:lineRule="auto"/>
        <w:ind w:left="720" w:hanging="360"/>
        <w:jc w:val="both"/>
        <w:rPr/>
      </w:pPr>
      <w:r w:rsidDel="00000000" w:rsidR="00000000" w:rsidRPr="00000000">
        <w:rPr>
          <w:b w:val="1"/>
          <w:rtl w:val="0"/>
        </w:rPr>
        <w:t xml:space="preserve">Cash on Delivery (COD)</w:t>
      </w:r>
      <w:r w:rsidDel="00000000" w:rsidR="00000000" w:rsidRPr="00000000">
        <w:rPr>
          <w:rtl w:val="0"/>
        </w:rPr>
        <w:t xml:space="preserve"> is the most common payment method at </w:t>
      </w:r>
      <w:r w:rsidDel="00000000" w:rsidR="00000000" w:rsidRPr="00000000">
        <w:rPr>
          <w:b w:val="1"/>
          <w:rtl w:val="0"/>
        </w:rPr>
        <w:t xml:space="preserve">43%</w:t>
      </w:r>
      <w:r w:rsidDel="00000000" w:rsidR="00000000" w:rsidRPr="00000000">
        <w:rPr>
          <w:rtl w:val="0"/>
        </w:rPr>
        <w:t xml:space="preserve">, reflecting customer trust in post-payment delivery.</w:t>
      </w:r>
    </w:p>
    <w:p w:rsidR="00000000" w:rsidDel="00000000" w:rsidP="00000000" w:rsidRDefault="00000000" w:rsidRPr="00000000" w14:paraId="00000029">
      <w:pPr>
        <w:numPr>
          <w:ilvl w:val="0"/>
          <w:numId w:val="5"/>
        </w:numPr>
        <w:spacing w:after="240" w:before="0" w:beforeAutospacing="0" w:lineRule="auto"/>
        <w:ind w:left="720" w:hanging="360"/>
        <w:jc w:val="both"/>
        <w:rPr/>
      </w:pPr>
      <w:r w:rsidDel="00000000" w:rsidR="00000000" w:rsidRPr="00000000">
        <w:rPr>
          <w:b w:val="1"/>
          <w:rtl w:val="0"/>
        </w:rPr>
        <w:t xml:space="preserve">Online Payments</w:t>
      </w:r>
      <w:r w:rsidDel="00000000" w:rsidR="00000000" w:rsidRPr="00000000">
        <w:rPr>
          <w:rtl w:val="0"/>
        </w:rPr>
        <w:t xml:space="preserve"> (35%) and </w:t>
      </w:r>
      <w:r w:rsidDel="00000000" w:rsidR="00000000" w:rsidRPr="00000000">
        <w:rPr>
          <w:b w:val="1"/>
          <w:rtl w:val="0"/>
        </w:rPr>
        <w:t xml:space="preserve">Card Payments</w:t>
      </w:r>
      <w:r w:rsidDel="00000000" w:rsidR="00000000" w:rsidRPr="00000000">
        <w:rPr>
          <w:rtl w:val="0"/>
        </w:rPr>
        <w:t xml:space="preserve"> (22%) also contribute significantly, showing increasing adoption of digital transactions.</w:t>
        <w:br w:type="textWrapping"/>
      </w:r>
    </w:p>
    <w:p w:rsidR="00000000" w:rsidDel="00000000" w:rsidP="00000000" w:rsidRDefault="00000000" w:rsidRPr="00000000" w14:paraId="0000002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both"/>
        <w:rPr>
          <w:b w:val="1"/>
          <w:color w:val="000000"/>
          <w:sz w:val="20"/>
          <w:szCs w:val="20"/>
        </w:rPr>
      </w:pPr>
      <w:bookmarkStart w:colFirst="0" w:colLast="0" w:name="_45iu5t9bvacz" w:id="7"/>
      <w:bookmarkEnd w:id="7"/>
      <w:r w:rsidDel="00000000" w:rsidR="00000000" w:rsidRPr="00000000">
        <w:rPr>
          <w:b w:val="1"/>
          <w:color w:val="000000"/>
          <w:sz w:val="20"/>
          <w:szCs w:val="20"/>
          <w:rtl w:val="0"/>
        </w:rPr>
        <w:t xml:space="preserve">👤 Customer Segmentation Insights</w:t>
      </w:r>
    </w:p>
    <w:p w:rsidR="00000000" w:rsidDel="00000000" w:rsidP="00000000" w:rsidRDefault="00000000" w:rsidRPr="00000000" w14:paraId="0000002C">
      <w:pPr>
        <w:numPr>
          <w:ilvl w:val="0"/>
          <w:numId w:val="8"/>
        </w:numPr>
        <w:spacing w:after="0" w:afterAutospacing="0" w:before="240" w:lineRule="auto"/>
        <w:ind w:left="720" w:hanging="360"/>
        <w:jc w:val="both"/>
        <w:rPr/>
      </w:pPr>
      <w:r w:rsidDel="00000000" w:rsidR="00000000" w:rsidRPr="00000000">
        <w:rPr>
          <w:b w:val="1"/>
          <w:rtl w:val="0"/>
        </w:rPr>
        <w:t xml:space="preserve">Consumers</w:t>
      </w:r>
      <w:r w:rsidDel="00000000" w:rsidR="00000000" w:rsidRPr="00000000">
        <w:rPr>
          <w:rtl w:val="0"/>
        </w:rPr>
        <w:t xml:space="preserve"> form the </w:t>
      </w:r>
      <w:r w:rsidDel="00000000" w:rsidR="00000000" w:rsidRPr="00000000">
        <w:rPr>
          <w:b w:val="1"/>
          <w:rtl w:val="0"/>
        </w:rPr>
        <w:t xml:space="preserve">largest customer segment</w:t>
      </w:r>
      <w:r w:rsidDel="00000000" w:rsidR="00000000" w:rsidRPr="00000000">
        <w:rPr>
          <w:rtl w:val="0"/>
        </w:rPr>
        <w:t xml:space="preserve"> with </w:t>
      </w:r>
      <w:r w:rsidDel="00000000" w:rsidR="00000000" w:rsidRPr="00000000">
        <w:rPr>
          <w:b w:val="1"/>
          <w:rtl w:val="0"/>
        </w:rPr>
        <w:t xml:space="preserve">48% of total sales</w:t>
      </w:r>
      <w:r w:rsidDel="00000000" w:rsidR="00000000" w:rsidRPr="00000000">
        <w:rPr>
          <w:rtl w:val="0"/>
        </w:rPr>
        <w:t xml:space="preserve">, followed by:</w:t>
      </w:r>
    </w:p>
    <w:p w:rsidR="00000000" w:rsidDel="00000000" w:rsidP="00000000" w:rsidRDefault="00000000" w:rsidRPr="00000000" w14:paraId="0000002D">
      <w:pPr>
        <w:numPr>
          <w:ilvl w:val="1"/>
          <w:numId w:val="8"/>
        </w:numPr>
        <w:spacing w:after="0" w:afterAutospacing="0" w:before="0" w:beforeAutospacing="0" w:lineRule="auto"/>
        <w:ind w:left="1440" w:hanging="360"/>
        <w:jc w:val="both"/>
        <w:rPr/>
      </w:pPr>
      <w:r w:rsidDel="00000000" w:rsidR="00000000" w:rsidRPr="00000000">
        <w:rPr>
          <w:b w:val="1"/>
          <w:rtl w:val="0"/>
        </w:rPr>
        <w:t xml:space="preserve">Corporate clients</w:t>
      </w:r>
      <w:r w:rsidDel="00000000" w:rsidR="00000000" w:rsidRPr="00000000">
        <w:rPr>
          <w:rtl w:val="0"/>
        </w:rPr>
        <w:t xml:space="preserve">: 33%</w:t>
      </w:r>
    </w:p>
    <w:p w:rsidR="00000000" w:rsidDel="00000000" w:rsidP="00000000" w:rsidRDefault="00000000" w:rsidRPr="00000000" w14:paraId="0000002E">
      <w:pPr>
        <w:numPr>
          <w:ilvl w:val="1"/>
          <w:numId w:val="8"/>
        </w:numPr>
        <w:spacing w:after="240" w:before="0" w:beforeAutospacing="0" w:lineRule="auto"/>
        <w:ind w:left="1440" w:hanging="360"/>
        <w:jc w:val="both"/>
        <w:rPr/>
      </w:pPr>
      <w:r w:rsidDel="00000000" w:rsidR="00000000" w:rsidRPr="00000000">
        <w:rPr>
          <w:b w:val="1"/>
          <w:rtl w:val="0"/>
        </w:rPr>
        <w:t xml:space="preserve">Home Offices</w:t>
      </w:r>
      <w:r w:rsidDel="00000000" w:rsidR="00000000" w:rsidRPr="00000000">
        <w:rPr>
          <w:rtl w:val="0"/>
        </w:rPr>
        <w:t xml:space="preserve">: 19%</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This indicates a healthy mix of B2C and B2B customers, with a stronger tilt toward individual consumers. Marketing strategies can be further segmented based on this demographic breakdown.</w:t>
      </w:r>
    </w:p>
    <w:p w:rsidR="00000000" w:rsidDel="00000000" w:rsidP="00000000" w:rsidRDefault="00000000" w:rsidRPr="00000000" w14:paraId="0000003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both"/>
        <w:rPr>
          <w:b w:val="1"/>
          <w:color w:val="000000"/>
          <w:sz w:val="20"/>
          <w:szCs w:val="20"/>
        </w:rPr>
      </w:pPr>
      <w:bookmarkStart w:colFirst="0" w:colLast="0" w:name="_gyj8038hyrau" w:id="8"/>
      <w:bookmarkEnd w:id="8"/>
      <w:r w:rsidDel="00000000" w:rsidR="00000000" w:rsidRPr="00000000">
        <w:rPr>
          <w:b w:val="1"/>
          <w:color w:val="000000"/>
          <w:sz w:val="20"/>
          <w:szCs w:val="20"/>
          <w:rtl w:val="0"/>
        </w:rPr>
        <w:t xml:space="preserve">📌 Conclusion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SuperStore Sales Dashboard offers clear insights into product performance, customer behavior, logistical efficiency, and payment trends. The strong sales and low return rates suggest an effective operational model. However, there is potential to:</w:t>
      </w:r>
    </w:p>
    <w:p w:rsidR="00000000" w:rsidDel="00000000" w:rsidP="00000000" w:rsidRDefault="00000000" w:rsidRPr="00000000" w14:paraId="00000033">
      <w:pPr>
        <w:numPr>
          <w:ilvl w:val="0"/>
          <w:numId w:val="1"/>
        </w:numPr>
        <w:spacing w:after="0" w:afterAutospacing="0" w:before="240" w:lineRule="auto"/>
        <w:ind w:left="720" w:hanging="360"/>
        <w:jc w:val="both"/>
        <w:rPr/>
      </w:pPr>
      <w:r w:rsidDel="00000000" w:rsidR="00000000" w:rsidRPr="00000000">
        <w:rPr>
          <w:rtl w:val="0"/>
        </w:rPr>
        <w:t xml:space="preserve">Improve utilization of fast shipping methods (Same Day)</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pPr>
      <w:r w:rsidDel="00000000" w:rsidR="00000000" w:rsidRPr="00000000">
        <w:rPr>
          <w:rtl w:val="0"/>
        </w:rPr>
        <w:t xml:space="preserve">Increase card/online payment penetration</w:t>
      </w:r>
    </w:p>
    <w:p w:rsidR="00000000" w:rsidDel="00000000" w:rsidP="00000000" w:rsidRDefault="00000000" w:rsidRPr="00000000" w14:paraId="00000035">
      <w:pPr>
        <w:numPr>
          <w:ilvl w:val="0"/>
          <w:numId w:val="1"/>
        </w:numPr>
        <w:spacing w:after="240" w:before="0" w:beforeAutospacing="0" w:lineRule="auto"/>
        <w:ind w:left="720" w:hanging="360"/>
        <w:jc w:val="both"/>
        <w:rPr/>
      </w:pPr>
      <w:r w:rsidDel="00000000" w:rsidR="00000000" w:rsidRPr="00000000">
        <w:rPr>
          <w:rtl w:val="0"/>
        </w:rPr>
        <w:t xml:space="preserve">Target underperforming regions or segments for growth</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These insights can directly guide decision-making across sales strategy, supply chain optimization, and marketing efforts for continued growth and customer satisfaction.</w:t>
      </w:r>
    </w:p>
    <w:p w:rsidR="00000000" w:rsidDel="00000000" w:rsidP="00000000" w:rsidRDefault="00000000" w:rsidRPr="00000000" w14:paraId="00000037">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