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58" w:lineRule="exact" w:before="1264" w:after="0"/>
        <w:ind w:left="5328" w:right="38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Seminar Report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800" cy="94869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86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84" w:lineRule="exact" w:before="230" w:after="0"/>
        <w:ind w:left="1584" w:right="1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NOVE</w:t>
      </w:r>
      <w:r>
        <w:rPr>
          <w:rFonts w:ascii="TimesNewRomanPS" w:hAnsi="TimesNewRomanPS" w:eastAsia="TimesNewRomanPS"/>
          <w:b/>
          <w:i w:val="0"/>
          <w:color w:val="000000"/>
          <w:sz w:val="36"/>
        </w:rPr>
        <w:t xml:space="preserve">L AND SECURE BLOCKCHAIN FRAMEWORK </w:t>
      </w:r>
      <w:r>
        <w:rPr>
          <w:rFonts w:ascii="TimesNewRomanPS" w:hAnsi="TimesNewRomanPS" w:eastAsia="TimesNewRomanPS"/>
          <w:b/>
          <w:i w:val="0"/>
          <w:color w:val="000000"/>
          <w:sz w:val="36"/>
        </w:rPr>
        <w:t xml:space="preserve">FOR HEALTH APPLICATIONS IN IOT </w:t>
      </w:r>
      <w:r>
        <w:br/>
      </w:r>
      <w:r>
        <w:rPr>
          <w:w w:val="98.80714416503906"/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Submitted in partial fulfillment for award of the degree of </w:t>
      </w:r>
      <w:r>
        <w:br/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Bachelor of Technology </w:t>
      </w:r>
      <w:r>
        <w:br/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In </w:t>
      </w:r>
      <w:r>
        <w:br/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Computer Science and Engineering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</w:t>
      </w:r>
    </w:p>
    <w:p>
      <w:pPr>
        <w:autoSpaceDN w:val="0"/>
        <w:autoSpaceDE w:val="0"/>
        <w:widowControl/>
        <w:spacing w:line="334" w:lineRule="exact" w:before="156" w:after="0"/>
        <w:ind w:left="0" w:right="305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Mukund Maheshwari (2060005)</w:t>
      </w:r>
    </w:p>
    <w:p>
      <w:pPr>
        <w:autoSpaceDN w:val="0"/>
        <w:autoSpaceDE w:val="0"/>
        <w:widowControl/>
        <w:spacing w:line="454" w:lineRule="exact" w:before="86" w:after="0"/>
        <w:ind w:left="2448" w:right="100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Under the Guidance of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Mr. Aviral Awasthi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ASSISTANT PROFESSOR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EPARTMENT OF COMPUTER SCIENCE AND ENGINEERING </w:t>
      </w:r>
    </w:p>
    <w:p>
      <w:pPr>
        <w:autoSpaceDN w:val="0"/>
        <w:autoSpaceDE w:val="0"/>
        <w:widowControl/>
        <w:spacing w:line="506" w:lineRule="exact" w:before="2324" w:after="0"/>
        <w:ind w:left="2160" w:right="72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DEPARTMENT OF COMPUTER SCIENCE &amp;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32"/>
        </w:rPr>
        <w:t>EN</w:t>
      </w: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GINEERING GRAPHIC ERA HILL UNIVERSITY, </w:t>
      </w: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BHIMTAL CAMPUS </w:t>
      </w:r>
      <w:r>
        <w:br/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SATTAL ROAD, P.O. BHOWALI, </w:t>
      </w:r>
      <w:r>
        <w:br/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DISTRICT- NAINITAL-263132 </w:t>
      </w:r>
    </w:p>
    <w:p>
      <w:pPr>
        <w:autoSpaceDN w:val="0"/>
        <w:autoSpaceDE w:val="0"/>
        <w:widowControl/>
        <w:spacing w:line="382" w:lineRule="exact" w:before="306" w:after="0"/>
        <w:ind w:left="0" w:right="4034" w:firstLine="0"/>
        <w:jc w:val="righ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2023-2024 </w:t>
      </w:r>
    </w:p>
    <w:p>
      <w:pPr>
        <w:autoSpaceDN w:val="0"/>
        <w:autoSpaceDE w:val="0"/>
        <w:widowControl/>
        <w:spacing w:line="197" w:lineRule="auto" w:before="1212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1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420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2" w:lineRule="exact" w:before="1540" w:after="0"/>
        <w:ind w:left="0" w:right="249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STUDENT’S DECLARATION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800" cy="94869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86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78" w:lineRule="exact" w:before="176" w:after="0"/>
        <w:ind w:left="1582" w:right="1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Mukund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Maheshwari,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hereby declare the work, which is being presented in the report,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entitled “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ovel and Secure blockchain framework for health applications In IOT”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partial fulfil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lment of the requirement for the award of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degree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Bachelor of Technology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(B.Tech.)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 the session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2023-2024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is an authentic record of my work carried out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supervision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Mr. Aviral Awasthi.</w:t>
      </w:r>
    </w:p>
    <w:p>
      <w:pPr>
        <w:autoSpaceDN w:val="0"/>
        <w:autoSpaceDE w:val="0"/>
        <w:widowControl/>
        <w:spacing w:line="554" w:lineRule="exact" w:before="6" w:after="0"/>
        <w:ind w:left="161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matter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embodied in this report has not been submitted by me for the award of any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degree. </w:t>
      </w:r>
    </w:p>
    <w:p>
      <w:pPr>
        <w:autoSpaceDN w:val="0"/>
        <w:tabs>
          <w:tab w:pos="9366" w:val="left"/>
        </w:tabs>
        <w:autoSpaceDE w:val="0"/>
        <w:widowControl/>
        <w:spacing w:line="554" w:lineRule="exact" w:before="546" w:after="0"/>
        <w:ind w:left="14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Date:10 June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2024                                                                                        Mukund Maheshwari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(2060005) </w:t>
      </w:r>
    </w:p>
    <w:p>
      <w:pPr>
        <w:autoSpaceDN w:val="0"/>
        <w:autoSpaceDE w:val="0"/>
        <w:widowControl/>
        <w:spacing w:line="197" w:lineRule="auto" w:before="7582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2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420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2" w:lineRule="exact" w:before="1540" w:after="0"/>
        <w:ind w:left="0" w:right="351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CERTIFICATE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75500" cy="950372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95037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72" w:lineRule="exact" w:before="416" w:after="3622"/>
        <w:ind w:left="1618" w:right="164" w:firstLine="0"/>
        <w:jc w:val="both"/>
      </w:pPr>
      <w:r>
        <w:rPr>
          <w:w w:val="98.6956554910411"/>
          <w:rFonts w:ascii="TimesNewRomanPSMT" w:hAnsi="TimesNewRomanPSMT" w:eastAsia="TimesNewRomanPSMT"/>
          <w:b w:val="0"/>
          <w:i w:val="0"/>
          <w:color w:val="000000"/>
          <w:sz w:val="23"/>
        </w:rPr>
        <w:t>The semin</w:t>
      </w:r>
      <w:r>
        <w:rPr>
          <w:w w:val="98.695655491041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ar report entitled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Novel and Secure blockchain framework for health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application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 in IOT</w:t>
      </w:r>
      <w:r>
        <w:rPr>
          <w:w w:val="98.695655491041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being submitted by </w:t>
      </w:r>
      <w:r>
        <w:rPr>
          <w:w w:val="98.6956554910411"/>
          <w:rFonts w:ascii="TimesNewRomanPS" w:hAnsi="TimesNewRomanPS" w:eastAsia="TimesNewRomanPS"/>
          <w:b/>
          <w:i w:val="0"/>
          <w:color w:val="000000"/>
          <w:sz w:val="23"/>
        </w:rPr>
        <w:t>Mukund Maheshwari</w:t>
      </w:r>
      <w:r>
        <w:rPr>
          <w:w w:val="98.695655491041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of B.Tech.(CSE) to Graphic </w:t>
      </w:r>
      <w:r>
        <w:rPr>
          <w:w w:val="98.6956554910411"/>
          <w:rFonts w:ascii="TimesNewRomanPSMT" w:hAnsi="TimesNewRomanPSMT" w:eastAsia="TimesNewRomanPSMT"/>
          <w:b w:val="0"/>
          <w:i w:val="0"/>
          <w:color w:val="000000"/>
          <w:sz w:val="23"/>
        </w:rPr>
        <w:t>Era Hill Uni</w:t>
      </w:r>
      <w:r>
        <w:rPr>
          <w:w w:val="98.695655491041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versity Bhimtal Campus for the award of bonafide work carried out by him. She has </w:t>
      </w:r>
      <w:r>
        <w:rPr>
          <w:w w:val="98.6956554910411"/>
          <w:rFonts w:ascii="TimesNewRomanPSMT" w:hAnsi="TimesNewRomanPSMT" w:eastAsia="TimesNewRomanPSMT"/>
          <w:b w:val="0"/>
          <w:i w:val="0"/>
          <w:color w:val="000000"/>
          <w:sz w:val="23"/>
        </w:rPr>
        <w:t>worked und</w:t>
      </w:r>
      <w:r>
        <w:rPr>
          <w:w w:val="98.695655491041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er my guidance and supervision and fulfilled the requirement for the submission of a </w:t>
      </w:r>
      <w:r>
        <w:rPr>
          <w:w w:val="98.695655491041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report.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5412"/>
        <w:gridCol w:w="5412"/>
      </w:tblGrid>
      <w:tr>
        <w:trPr>
          <w:trHeight w:hRule="exact" w:val="424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77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Mr. Aviral Awasthi 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8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Dr. Ankur Bist </w:t>
            </w:r>
          </w:p>
        </w:tc>
      </w:tr>
    </w:tbl>
    <w:p>
      <w:pPr>
        <w:autoSpaceDN w:val="0"/>
        <w:autoSpaceDE w:val="0"/>
        <w:widowControl/>
        <w:spacing w:line="1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5412"/>
        <w:gridCol w:w="5412"/>
      </w:tblGrid>
      <w:tr>
        <w:trPr>
          <w:trHeight w:hRule="exact" w:val="436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77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(Seminar Coordinator) 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0" w:after="0"/>
              <w:ind w:left="0" w:right="316" w:firstLine="0"/>
              <w:jc w:val="right"/>
            </w:pPr>
            <w:r>
              <w:rPr>
                <w:w w:val="98.695655491041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(HOD, CSE) </w:t>
            </w:r>
          </w:p>
        </w:tc>
      </w:tr>
    </w:tbl>
    <w:p>
      <w:pPr>
        <w:autoSpaceDN w:val="0"/>
        <w:autoSpaceDE w:val="0"/>
        <w:widowControl/>
        <w:spacing w:line="197" w:lineRule="auto" w:before="5532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3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420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2" w:lineRule="exact" w:before="1378" w:after="0"/>
        <w:ind w:left="0" w:right="283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ACKNOWLEDGEMENT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800" cy="94488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4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560" w:lineRule="exact" w:before="300" w:after="0"/>
        <w:ind w:left="1420" w:right="0" w:firstLine="72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take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immense pleasure in thanking the Honorable Director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‘Prof. (Col.) Anil Nair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(Retd.)’,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HU Bhimtal Campus to permit me and carry out this report work with his excellent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optimistic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supervision. This has all been possible due to his novel inspiration, able guidance,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useful su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ggestions that helped me to develop as a creative researcher and complete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research work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in time. </w:t>
      </w:r>
    </w:p>
    <w:p>
      <w:pPr>
        <w:autoSpaceDN w:val="0"/>
        <w:autoSpaceDE w:val="0"/>
        <w:widowControl/>
        <w:spacing w:line="552" w:lineRule="exact" w:before="108" w:after="0"/>
        <w:ind w:left="1420" w:right="0" w:firstLine="72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are inadequate in offering my thanks to GOD for providing me with everything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I need. 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again want to extend thanks to our president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‘Prof. (Dr.) Kamal Ghanshala’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providing me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with all infrastructure and facilities to work in need without which this work could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not be possibl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</w:t>
      </w:r>
    </w:p>
    <w:p>
      <w:pPr>
        <w:autoSpaceDN w:val="0"/>
        <w:autoSpaceDE w:val="0"/>
        <w:widowControl/>
        <w:spacing w:line="554" w:lineRule="exact" w:before="0" w:after="0"/>
        <w:ind w:left="1420" w:right="0" w:firstLine="72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thanks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‘Dr. Ankur Singh Bisht’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(Head, Department of Computer Science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Engineering,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GEHU Bhimtal Campus), &amp;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‘Mr. Aviral Awasthi’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(Assistant Professor,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Department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 Computer Science and Engineering, GEHU Bhimtal Campus), our seminar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coordinator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nd other faculties for their insightful comments, constructive suggestions, valuable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advice, and ti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 in reviewing this thesis. </w:t>
      </w:r>
    </w:p>
    <w:p>
      <w:pPr>
        <w:autoSpaceDN w:val="0"/>
        <w:autoSpaceDE w:val="0"/>
        <w:widowControl/>
        <w:spacing w:line="560" w:lineRule="exact" w:before="0" w:after="0"/>
        <w:ind w:left="1420" w:right="432" w:firstLine="72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Finall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y, yet importantly, I would like to express my heartiest thanks to my beloved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parents,for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eir moral support, affection, and blessings. I would also like to pay my sincere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thanks to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my friends and well-wishers for their help and wishes for the successful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completion of this research. </w:t>
      </w:r>
    </w:p>
    <w:p>
      <w:pPr>
        <w:autoSpaceDN w:val="0"/>
        <w:autoSpaceDE w:val="0"/>
        <w:widowControl/>
        <w:spacing w:line="384" w:lineRule="exact" w:before="956" w:after="0"/>
        <w:ind w:left="0" w:right="12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Mukund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 Maheshwari, 206005 </w:t>
      </w:r>
    </w:p>
    <w:p>
      <w:pPr>
        <w:autoSpaceDN w:val="0"/>
        <w:autoSpaceDE w:val="0"/>
        <w:widowControl/>
        <w:spacing w:line="197" w:lineRule="auto" w:before="1814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4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428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2" w:lineRule="exact" w:before="1384" w:after="0"/>
        <w:ind w:left="0" w:right="378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ABSTRACT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</wp:posOffset>
            </wp:positionH>
            <wp:positionV relativeFrom="page">
              <wp:posOffset>304800</wp:posOffset>
            </wp:positionV>
            <wp:extent cx="7161530" cy="9447125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94471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50" w:lineRule="exact" w:before="546" w:after="0"/>
        <w:ind w:left="14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Internet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 Things (IoT) has experienced significant growth over the past decade,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introducing 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veral challenges for the continuous operation of IoT applications. These challenges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include resou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rce constraints, central server overload, and the risk of unauthorized use of private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data. Concurr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ently, Blockchain technology has gained popularity, particularly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cryptocurrenc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ies, offering critical features such as consensus mechanisms, peer-to-peer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communicatio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ns, trust-building without a third party, and transaction control via smart contracts. </w:t>
      </w:r>
    </w:p>
    <w:p>
      <w:pPr>
        <w:autoSpaceDN w:val="0"/>
        <w:autoSpaceDE w:val="0"/>
        <w:widowControl/>
        <w:spacing w:line="350" w:lineRule="exact" w:before="6" w:after="0"/>
        <w:ind w:left="14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study pr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oposes an innovative IoT-Blockchain integration architecture using Ethereum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Blockchain 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ithin a rich-thin client IoT approach. This architecture addresses IoT resource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limitations by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distributing the load between devices: limited-resource devices act as thin-clients,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while higher-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 devices function as rich-clients. Both types of clients can access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blockchain 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collect data, but only rich-clients perform the mining process. To demonstrate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architecture's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effectiveness, we implement a healthcare system for surgical process management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compare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its performance against other IoT-based blockchain architectures. Our results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indicate that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proposed architecture effectively mitigates the challenges posed by IoT device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limitations, 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aking it suitable for a wide range of IoT applications..</w:t>
      </w:r>
    </w:p>
    <w:p>
      <w:pPr>
        <w:autoSpaceDN w:val="0"/>
        <w:autoSpaceDE w:val="0"/>
        <w:widowControl/>
        <w:spacing w:line="197" w:lineRule="auto" w:before="7768" w:after="0"/>
        <w:ind w:left="0" w:right="5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5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394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2" w:lineRule="exact" w:before="1320" w:after="0"/>
        <w:ind w:left="0" w:right="278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TABLE OF CONTENTS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800" cy="9448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4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0" w:lineRule="exact" w:before="206" w:after="0"/>
        <w:ind w:left="14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Declaration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...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.................................................................................................................................................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 </w:t>
      </w:r>
    </w:p>
    <w:p>
      <w:pPr>
        <w:autoSpaceDN w:val="0"/>
        <w:autoSpaceDE w:val="0"/>
        <w:widowControl/>
        <w:spacing w:line="322" w:lineRule="exact" w:before="240" w:after="0"/>
        <w:ind w:left="14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Certificate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......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.................................................................................................................................................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iii </w:t>
      </w:r>
    </w:p>
    <w:p>
      <w:pPr>
        <w:autoSpaceDN w:val="0"/>
        <w:autoSpaceDE w:val="0"/>
        <w:widowControl/>
        <w:spacing w:line="322" w:lineRule="exact" w:before="238" w:after="0"/>
        <w:ind w:left="14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Acknowledge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.....................................................................................................................................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iv </w:t>
      </w:r>
    </w:p>
    <w:p>
      <w:pPr>
        <w:autoSpaceDN w:val="0"/>
        <w:autoSpaceDE w:val="0"/>
        <w:widowControl/>
        <w:spacing w:line="322" w:lineRule="exact" w:before="232" w:after="0"/>
        <w:ind w:left="14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Abstract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..........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.................................................................................................................................................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 </w:t>
      </w:r>
    </w:p>
    <w:p>
      <w:pPr>
        <w:autoSpaceDN w:val="0"/>
        <w:autoSpaceDE w:val="0"/>
        <w:widowControl/>
        <w:spacing w:line="384" w:lineRule="exact" w:before="480" w:after="0"/>
        <w:ind w:left="142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CHAPTER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 1 INTRODUCTION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...................................................................................... </w:t>
      </w:r>
      <w:r>
        <w:rPr>
          <w:w w:val="101.33333660307385"/>
          <w:rFonts w:ascii="TimesNewRomanPS" w:hAnsi="TimesNewRomanPS" w:eastAsia="TimesNewRomanPS"/>
          <w:b/>
          <w:i w:val="0"/>
          <w:color w:val="000000"/>
          <w:sz w:val="21"/>
        </w:rPr>
        <w:t xml:space="preserve">7 </w:t>
      </w:r>
    </w:p>
    <w:p>
      <w:pPr>
        <w:autoSpaceDN w:val="0"/>
        <w:autoSpaceDE w:val="0"/>
        <w:widowControl/>
        <w:spacing w:line="384" w:lineRule="exact" w:before="184" w:after="0"/>
        <w:ind w:left="142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CHAPTER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 2 BLOCKCHAIN AND IOT INTEGRATION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............................. </w:t>
      </w:r>
      <w:r>
        <w:rPr>
          <w:rFonts w:ascii="TimesNewRomanPS" w:hAnsi="TimesNewRomanPS" w:eastAsia="TimesNewRomanPS"/>
          <w:b/>
          <w:i w:val="0"/>
          <w:color w:val="000000"/>
          <w:sz w:val="25"/>
        </w:rPr>
        <w:t xml:space="preserve">8 </w:t>
      </w:r>
    </w:p>
    <w:p>
      <w:pPr>
        <w:autoSpaceDN w:val="0"/>
        <w:autoSpaceDE w:val="0"/>
        <w:widowControl/>
        <w:spacing w:line="384" w:lineRule="exact" w:before="184" w:after="0"/>
        <w:ind w:left="142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CHAPTER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 3 METHODOLOGIES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................................................................................. </w:t>
      </w:r>
      <w:r>
        <w:rPr>
          <w:w w:val="98.6956554910411"/>
          <w:rFonts w:ascii="TimesNewRomanPS" w:hAnsi="TimesNewRomanPS" w:eastAsia="TimesNewRomanPS"/>
          <w:b/>
          <w:i w:val="0"/>
          <w:color w:val="000000"/>
          <w:sz w:val="23"/>
        </w:rPr>
        <w:t xml:space="preserve">9 </w:t>
      </w:r>
    </w:p>
    <w:p>
      <w:pPr>
        <w:autoSpaceDN w:val="0"/>
        <w:autoSpaceDE w:val="0"/>
        <w:widowControl/>
        <w:spacing w:line="384" w:lineRule="exact" w:before="184" w:after="0"/>
        <w:ind w:left="142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CHAPTER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 4 RESULT AND DISCUSSION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............................................................. </w:t>
      </w:r>
      <w:r>
        <w:rPr>
          <w:rFonts w:ascii="TimesNewRomanPS" w:hAnsi="TimesNewRomanPS" w:eastAsia="TimesNewRomanPS"/>
          <w:b/>
          <w:i w:val="0"/>
          <w:color w:val="000000"/>
          <w:sz w:val="25"/>
        </w:rPr>
        <w:t xml:space="preserve">11 </w:t>
      </w:r>
    </w:p>
    <w:p>
      <w:pPr>
        <w:autoSpaceDN w:val="0"/>
        <w:autoSpaceDE w:val="0"/>
        <w:widowControl/>
        <w:spacing w:line="382" w:lineRule="exact" w:before="184" w:after="0"/>
        <w:ind w:left="142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CHAPTER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 5 CONCLUSION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.............................................................................................. </w:t>
      </w:r>
      <w:r>
        <w:rPr>
          <w:rFonts w:ascii="TimesNewRomanPS" w:hAnsi="TimesNewRomanPS" w:eastAsia="TimesNewRomanPS"/>
          <w:b/>
          <w:i w:val="0"/>
          <w:color w:val="000000"/>
          <w:sz w:val="25"/>
        </w:rPr>
        <w:t xml:space="preserve">12 </w:t>
      </w:r>
    </w:p>
    <w:p>
      <w:pPr>
        <w:autoSpaceDN w:val="0"/>
        <w:autoSpaceDE w:val="0"/>
        <w:widowControl/>
        <w:spacing w:line="384" w:lineRule="exact" w:before="192" w:after="0"/>
        <w:ind w:left="142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REFEREN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CES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....................................................................................................................................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13</w:t>
      </w:r>
    </w:p>
    <w:p>
      <w:pPr>
        <w:autoSpaceDN w:val="0"/>
        <w:autoSpaceDE w:val="0"/>
        <w:widowControl/>
        <w:spacing w:line="197" w:lineRule="auto" w:before="7726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6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428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2" w:lineRule="exact" w:before="1334" w:after="0"/>
        <w:ind w:left="0" w:right="289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CHAPTER 1: INTRODUCTION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</wp:posOffset>
            </wp:positionH>
            <wp:positionV relativeFrom="page">
              <wp:posOffset>337820</wp:posOffset>
            </wp:positionV>
            <wp:extent cx="7162800" cy="94488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4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6" w:lineRule="exact" w:before="606" w:after="0"/>
        <w:ind w:left="1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twenty-firs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 century has witnessed rapid advancements across various technological domains,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profoundly imp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acting nearly every facet of human life. Today, technology plays an integral role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our daily person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 and professional activities, exemplified by the proliferation of smart devices like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phones and tabl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ets, which monitor health metrics such as distance traveled, heart rate, and calorie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expenditure.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convergence of sensors and communication devices has given rise to the concept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the Internet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 Things (IoT), wherein interconnected devices interact, share data, and make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decisions auton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omously. </w:t>
      </w:r>
    </w:p>
    <w:p>
      <w:pPr>
        <w:autoSpaceDN w:val="0"/>
        <w:autoSpaceDE w:val="0"/>
        <w:widowControl/>
        <w:spacing w:line="276" w:lineRule="exact" w:before="286" w:after="0"/>
        <w:ind w:left="1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IoT, first coined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Kevin Ashton in 1999, has emerged as a significant domain within the realm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networking, fac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ilitating a plethora of applications across diverse fields of life. From enabling smart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homes to fosteri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 the development of smart cities, IoT has revolutionized the way we interact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utilize tech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nology. However, this exponential growth in IoT adoption has also brought forth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myriad of chall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enges and issues that necessitate urgent attention and resolution. </w:t>
      </w:r>
    </w:p>
    <w:p>
      <w:pPr>
        <w:autoSpaceDN w:val="0"/>
        <w:autoSpaceDE w:val="0"/>
        <w:widowControl/>
        <w:spacing w:line="274" w:lineRule="exact" w:before="286" w:after="0"/>
        <w:ind w:left="12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One of the prim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ary challenges facing IoT is the inherent limitations of IoT devices, characterized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low computi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 power, limited storage capacity, and constrained network bandwidth.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Additionally,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prevalent use of centralized system architectures in IoT exacerbates challenges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related to cost,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scalability, server failures, and security vulnerabilities. </w:t>
      </w:r>
    </w:p>
    <w:p>
      <w:pPr>
        <w:autoSpaceDN w:val="0"/>
        <w:autoSpaceDE w:val="0"/>
        <w:widowControl/>
        <w:spacing w:line="276" w:lineRule="exact" w:before="284" w:after="0"/>
        <w:ind w:left="1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Despite the rem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arkable advancements facilitated by IoT, concerns persist regarding data privacy,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security, and tru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 within centralized architectures, such as those employed in cloud computing.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lack of tru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 stems from the opaque nature of data handling and utilization, wherein end-users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have limited vis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ibility into the usage and manipulation of their generated data. </w:t>
      </w:r>
    </w:p>
    <w:p>
      <w:pPr>
        <w:autoSpaceDN w:val="0"/>
        <w:autoSpaceDE w:val="0"/>
        <w:widowControl/>
        <w:spacing w:line="276" w:lineRule="exact" w:before="278" w:after="0"/>
        <w:ind w:left="1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response to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hese challenges, researchers have explored integrating Blockchain technology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IoT to address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ssues of privacy, security, and resource constraints. Blockchain, initially introduced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2008 through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invention of Bitcoin by Satoshi Nakamoto, offers a decentralized, immutable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ledger system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ensures data integrity and transparency. The integration of Blockchain with IoT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holds promise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 revolutionizing IoT applications by providing a secure and trustless environment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data exchan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 and management. </w:t>
      </w:r>
    </w:p>
    <w:p>
      <w:pPr>
        <w:autoSpaceDN w:val="0"/>
        <w:autoSpaceDE w:val="0"/>
        <w:widowControl/>
        <w:spacing w:line="276" w:lineRule="exact" w:before="286" w:after="0"/>
        <w:ind w:left="122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However, integ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rating Blockchain with IoT poses several challenges, including computational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limitations of 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 devices, storage constraints, overhead traffic, and scalability issues inherent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Blockchain net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works. Overcoming these challenges requires innovative solutions and robust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integration arch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itectures tailored to the unique requirements of IoT applications. </w:t>
      </w:r>
    </w:p>
    <w:p>
      <w:pPr>
        <w:autoSpaceDN w:val="0"/>
        <w:autoSpaceDE w:val="0"/>
        <w:widowControl/>
        <w:spacing w:line="276" w:lineRule="exact" w:before="278" w:after="0"/>
        <w:ind w:left="1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study endeavors to address the limitations and challenges associated with integrating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Blockchain and IoT, with a particular focus on healthcare applications. Leveraging previous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efforts, we aim to enhance integration architectures to effectively mitigate resource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constraints at the IoT layer and streamline implementation at the Blockchain layer. By testing 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integration framework in the healthcare domain, we seek to demonstrate its efficacy in addressing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security, privacy, and resource limitations, thereby unlocking new possibilities for IoT applications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healthcare management </w:t>
      </w:r>
    </w:p>
    <w:p>
      <w:pPr>
        <w:autoSpaceDN w:val="0"/>
        <w:autoSpaceDE w:val="0"/>
        <w:widowControl/>
        <w:spacing w:line="197" w:lineRule="auto" w:before="1118" w:after="0"/>
        <w:ind w:left="0" w:right="7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7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368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2" w:lineRule="exact" w:before="1334" w:after="0"/>
        <w:ind w:left="198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CHAPTER 2: BLOCKCHAIN AND IOT INTEGRATION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293370</wp:posOffset>
            </wp:positionV>
            <wp:extent cx="7162800" cy="94488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4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6" w:lineRule="exact" w:before="848" w:after="0"/>
        <w:ind w:left="1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integration of Blockchain with IoT, termed as BCoT, addresses the inherent challenges of IoT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systems, including fragmentation, low interoperability, resource limitations, and privacy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vulnerabilities. By leveraging Blockchain technology, BCoT offers enhanced interoperability,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stability, and trustworthiness to IoT systems, thereby unlocking new possibilities for seamless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interaction and data management. </w:t>
      </w:r>
    </w:p>
    <w:p>
      <w:pPr>
        <w:autoSpaceDN w:val="0"/>
        <w:autoSpaceDE w:val="0"/>
        <w:widowControl/>
        <w:spacing w:line="384" w:lineRule="exact" w:before="232" w:after="0"/>
        <w:ind w:left="122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Advantages of Blockchain Integration: </w:t>
      </w:r>
    </w:p>
    <w:p>
      <w:pPr>
        <w:autoSpaceDN w:val="0"/>
        <w:autoSpaceDE w:val="0"/>
        <w:widowControl/>
        <w:spacing w:line="270" w:lineRule="exact" w:before="286" w:after="0"/>
        <w:ind w:left="1944" w:right="144" w:hanging="36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Enhanced Interoperability: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Blockchain integration facilitates the transformation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storage of heterogeneous IoT data, enabling seamless communication across decentralized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networks. </w:t>
      </w:r>
    </w:p>
    <w:p>
      <w:pPr>
        <w:autoSpaceDN w:val="0"/>
        <w:autoSpaceDE w:val="0"/>
        <w:widowControl/>
        <w:spacing w:line="270" w:lineRule="exact" w:before="66" w:after="0"/>
        <w:ind w:left="1944" w:right="288" w:hanging="36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Improved Stability: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Blockchain secures IoT data through cryptographic encryption,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ensuring data integrity and protection against security breaches. Additionally, automatic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device configuration upgrades enhance system security. </w:t>
      </w:r>
    </w:p>
    <w:p>
      <w:pPr>
        <w:autoSpaceDN w:val="0"/>
        <w:autoSpaceDE w:val="0"/>
        <w:widowControl/>
        <w:spacing w:line="268" w:lineRule="exact" w:before="68" w:after="0"/>
        <w:ind w:left="1944" w:right="144" w:hanging="36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Data Traceability and Trustworthiness: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Blockchain ensures the traceability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authenticity of IoT data, allowing for transparent verification of transactions. Blockchain-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based traceability frameworks enhance trust in data integrity. </w:t>
      </w:r>
    </w:p>
    <w:p>
      <w:pPr>
        <w:autoSpaceDN w:val="0"/>
        <w:tabs>
          <w:tab w:pos="1944" w:val="left"/>
        </w:tabs>
        <w:autoSpaceDE w:val="0"/>
        <w:widowControl/>
        <w:spacing w:line="262" w:lineRule="exact" w:before="74" w:after="0"/>
        <w:ind w:left="158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Autonomous Communications: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Blockchain enables automated interactions within IoT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systems, streamlining data exchange and decision-making processes. </w:t>
      </w:r>
    </w:p>
    <w:p>
      <w:pPr>
        <w:autoSpaceDN w:val="0"/>
        <w:autoSpaceDE w:val="0"/>
        <w:widowControl/>
        <w:spacing w:line="382" w:lineRule="exact" w:before="240" w:after="0"/>
        <w:ind w:left="122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Integration Architectures: </w:t>
      </w:r>
    </w:p>
    <w:p>
      <w:pPr>
        <w:autoSpaceDN w:val="0"/>
        <w:autoSpaceDE w:val="0"/>
        <w:widowControl/>
        <w:spacing w:line="278" w:lineRule="exact" w:before="256" w:after="178"/>
        <w:ind w:left="122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BCoT integration architectures vary based on factors such as IoT device interactions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connectivity requirements. Three primary integration approaches include: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5412"/>
        <w:gridCol w:w="5412"/>
      </w:tblGrid>
      <w:tr>
        <w:trPr>
          <w:trHeight w:hRule="exact" w:val="2096"/>
        </w:trPr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9" w:lineRule="auto" w:before="114" w:after="0"/>
              <w:ind w:left="72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38" w:lineRule="auto" w:before="588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40" w:after="0"/>
              <w:ind w:left="14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Blockchain as a Database: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Utilizes Blockchain for storing IoT data selectively, improving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reliability and security, particularly in low-latency IoT interactions. </w:t>
            </w:r>
          </w:p>
          <w:p>
            <w:pPr>
              <w:autoSpaceDN w:val="0"/>
              <w:autoSpaceDE w:val="0"/>
              <w:widowControl/>
              <w:spacing w:line="268" w:lineRule="exact" w:before="68" w:after="0"/>
              <w:ind w:left="14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Blockchain in All Layers: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Directs all interactions through Blockchain, ensuring a tamper-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proof history of transactions and enhancing data traceability and flexibility. However,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approach may incur increased bandwidth and record-keeping overhead. </w:t>
            </w:r>
          </w:p>
          <w:p>
            <w:pPr>
              <w:autoSpaceDN w:val="0"/>
              <w:autoSpaceDE w:val="0"/>
              <w:widowControl/>
              <w:spacing w:line="262" w:lineRule="exact" w:before="74" w:after="0"/>
              <w:ind w:left="14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Hybrid Approach: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Combines Blockchain and IoT interactions selectively, leveraging fog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cloud computing to overcome scalability and resource constraints. </w:t>
            </w:r>
          </w:p>
        </w:tc>
      </w:tr>
    </w:tbl>
    <w:p>
      <w:pPr>
        <w:autoSpaceDN w:val="0"/>
        <w:autoSpaceDE w:val="0"/>
        <w:widowControl/>
        <w:spacing w:line="384" w:lineRule="exact" w:before="172" w:after="0"/>
        <w:ind w:left="122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Blockchain Schemes for IoT: </w:t>
      </w:r>
    </w:p>
    <w:p>
      <w:pPr>
        <w:autoSpaceDN w:val="0"/>
        <w:autoSpaceDE w:val="0"/>
        <w:widowControl/>
        <w:spacing w:line="276" w:lineRule="exact" w:before="264" w:after="0"/>
        <w:ind w:left="12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Several Blockchain frameworks, such as Ethereum, Hyperledger, Multichain, Litecoin, Lisk,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Quorum, offer diverse solutions for integrating Blockchain with IoT. These frameworks provide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varying levels of functionality, consensus mechanisms, and security features, catering to different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IoT application requirements </w:t>
      </w:r>
    </w:p>
    <w:p>
      <w:pPr>
        <w:autoSpaceDN w:val="0"/>
        <w:autoSpaceDE w:val="0"/>
        <w:widowControl/>
        <w:spacing w:line="197" w:lineRule="auto" w:before="1842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8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420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2" w:lineRule="exact" w:before="1406" w:after="0"/>
        <w:ind w:left="0" w:right="253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CHAPTER 3: METHODOLOGIES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</wp:posOffset>
            </wp:positionH>
            <wp:positionV relativeFrom="page">
              <wp:posOffset>240029</wp:posOffset>
            </wp:positionV>
            <wp:extent cx="7161530" cy="9447125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94471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6" w:lineRule="exact" w:before="606" w:after="0"/>
        <w:ind w:left="144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study 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roduces an Enhanced Rich-Thin-Client architecture (ERTCA) to address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limitations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IoT devices. The proposed architecture makes two main contributions: </w:t>
      </w:r>
    </w:p>
    <w:p>
      <w:pPr>
        <w:autoSpaceDN w:val="0"/>
        <w:autoSpaceDE w:val="0"/>
        <w:widowControl/>
        <w:spacing w:line="262" w:lineRule="exact" w:before="30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Resource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Optimization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To prevent the overload and potential crash of IoT nodes, a solution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provided to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llocate tasks efficiently to each node based on its resources. </w:t>
      </w:r>
    </w:p>
    <w:p>
      <w:pPr>
        <w:autoSpaceDN w:val="0"/>
        <w:autoSpaceDE w:val="0"/>
        <w:widowControl/>
        <w:spacing w:line="272" w:lineRule="exact" w:before="29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Improved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Connectivity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To enhance the connection between IoT and Blockchain platforms,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Blockcha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is connected to a major node with high capabilities, allowing other nodes to benefit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from Blockch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ain without being overloaded. Node classification is based on computational power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storage 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apability. </w:t>
      </w:r>
    </w:p>
    <w:p>
      <w:pPr>
        <w:autoSpaceDN w:val="0"/>
        <w:autoSpaceDE w:val="0"/>
        <w:widowControl/>
        <w:spacing w:line="274" w:lineRule="exact" w:before="286" w:after="0"/>
        <w:ind w:left="144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These contrib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utions address some of the issues faced by other integration methods, such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resource limit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ations at the IoT layer and implementation difficulties at the Blockchain layer.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Building upo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 previous work, this study refines the integration architecture to more effectively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address resou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rce limitations. </w:t>
      </w:r>
    </w:p>
    <w:p>
      <w:pPr>
        <w:autoSpaceDN w:val="0"/>
        <w:autoSpaceDE w:val="0"/>
        <w:widowControl/>
        <w:spacing w:line="382" w:lineRule="exact" w:before="24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A. 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ERTCA</w:t>
      </w:r>
    </w:p>
    <w:p>
      <w:pPr>
        <w:autoSpaceDN w:val="0"/>
        <w:autoSpaceDE w:val="0"/>
        <w:widowControl/>
        <w:spacing w:line="276" w:lineRule="exact" w:before="258" w:after="0"/>
        <w:ind w:left="14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ERTCA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integrates Ethereum Blockchain with a rich-thin-client IoT solution. It aims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achieve the 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search goals by addressing the limitations of IoT and the centralized architecture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problem.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architecture includes thin clients responsible for user interface and data collection,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rich clien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ts capable of processing and storing data similar to personal computers.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Ethereum pri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vate Blockchain network is used as the base Blockchain system. Smart contracts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utilized for 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latively complex connections between different IoT devices and users. Unlike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previous wor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k, this study introduces a second-level thin client solely responsible for collecting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data without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nteracting with the system, reducing complexity in each layer of the architecture. </w:t>
      </w:r>
    </w:p>
    <w:p>
      <w:pPr>
        <w:autoSpaceDN w:val="0"/>
        <w:autoSpaceDE w:val="0"/>
        <w:widowControl/>
        <w:spacing w:line="384" w:lineRule="exact" w:before="232" w:after="0"/>
        <w:ind w:left="144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System Ar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chitecture and Topology </w:t>
      </w:r>
    </w:p>
    <w:p>
      <w:pPr>
        <w:autoSpaceDN w:val="0"/>
        <w:autoSpaceDE w:val="0"/>
        <w:widowControl/>
        <w:spacing w:line="276" w:lineRule="exact" w:before="264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Enhance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Rich-Thin-Clients Architecture (ERTCA) differs from hierarchical architecture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distributing 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sks among all clients rather than duplicating tasks across levels. It employs a star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topology, wh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ere thin clients are connected to specific rich clients, ensuring decentralized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processing 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fault tolerance. Each rich client includes an Ethereum Blockchain node, facilitating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peer-to-peer 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ommunication. The topology ensures robustness against failures, crucial for real-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 monitoring in critical applications. </w:t>
      </w:r>
    </w:p>
    <w:p>
      <w:pPr>
        <w:autoSpaceDN w:val="0"/>
        <w:autoSpaceDE w:val="0"/>
        <w:widowControl/>
        <w:spacing w:line="382" w:lineRule="exact" w:before="234" w:after="0"/>
        <w:ind w:left="144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Privacy and Security </w:t>
      </w:r>
    </w:p>
    <w:p>
      <w:pPr>
        <w:autoSpaceDN w:val="0"/>
        <w:autoSpaceDE w:val="0"/>
        <w:widowControl/>
        <w:spacing w:line="276" w:lineRule="exact" w:before="266" w:after="0"/>
        <w:ind w:left="14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architecture ensures client anonymity and data integrity through Ethereum's account system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Blockchain authentication mechanisms. Each client is assigned a unique Ethereum account,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providing anonymity and preventing unauthorized access. IoT devices are protected from attacks,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illegitimate transactions are rejected by the Blockchain. </w:t>
      </w:r>
    </w:p>
    <w:p>
      <w:pPr>
        <w:autoSpaceDN w:val="0"/>
        <w:autoSpaceDE w:val="0"/>
        <w:widowControl/>
        <w:spacing w:line="197" w:lineRule="auto" w:before="1174" w:after="0"/>
        <w:ind w:left="0" w:right="2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9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234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4" w:lineRule="exact" w:before="1414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B. 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Applica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tion Scenario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800" cy="9448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4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exact" w:before="262" w:after="0"/>
        <w:ind w:left="14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proposed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architecture is applicable to various domains, including healthcare. A scenario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inspired by 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al-world hospital protocols is presented, focusing on surgical process management. </w:t>
      </w:r>
    </w:p>
    <w:p>
      <w:pPr>
        <w:autoSpaceDN w:val="0"/>
        <w:autoSpaceDE w:val="0"/>
        <w:widowControl/>
        <w:spacing w:line="278" w:lineRule="exact" w:before="44" w:after="0"/>
        <w:ind w:left="144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scenario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outlines preoperative, intraoperative, and postoperative stages, highlighting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critical need 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real-time monitoring and rapid response in surgical environments. </w:t>
      </w:r>
    </w:p>
    <w:p>
      <w:pPr>
        <w:autoSpaceDN w:val="0"/>
        <w:autoSpaceDE w:val="0"/>
        <w:widowControl/>
        <w:spacing w:line="382" w:lineRule="exact" w:before="232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C. 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Implem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entation of ERTCA-Based Surgery Management System</w:t>
      </w:r>
    </w:p>
    <w:p>
      <w:pPr>
        <w:autoSpaceDN w:val="0"/>
        <w:autoSpaceDE w:val="0"/>
        <w:widowControl/>
        <w:spacing w:line="276" w:lineRule="exact" w:before="26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private Eth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ereum network serves as the underlying Blockchain system for the application. Smart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contracts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deployed to manage the surgical process, reflecting real-life procedures. The system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architecture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ncludes thin clients responsible for patient data collection and rich clients managing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surgical 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rocess. ReactJS is used to create the graphical user interface, while Web3.js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facilitates 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eraction with the Blockchain. MetaMask provides a user interface for account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interaction. </w:t>
      </w:r>
    </w:p>
    <w:p>
      <w:pPr>
        <w:autoSpaceDN w:val="0"/>
        <w:autoSpaceDE w:val="0"/>
        <w:widowControl/>
        <w:spacing w:line="384" w:lineRule="exact" w:before="240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D. 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Smart C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ontract Implementation to SMS</w:t>
      </w:r>
    </w:p>
    <w:p>
      <w:pPr>
        <w:autoSpaceDN w:val="0"/>
        <w:autoSpaceDE w:val="0"/>
        <w:widowControl/>
        <w:spacing w:line="276" w:lineRule="exact" w:before="25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Smart contrac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ts are implemented using Solidity to maintain the surgery management process.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contract inclu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 a database, event handlers, and functions to manage patient records and surgical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events. Patien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 information adheres to global Electronic Health Record (EHR) standards, ensuring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compatibility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interoperability with existing healthcare systems. Blockchain ensures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reliability, 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curity, and immutability. </w:t>
      </w:r>
    </w:p>
    <w:p>
      <w:pPr>
        <w:autoSpaceDN w:val="0"/>
        <w:autoSpaceDE w:val="0"/>
        <w:widowControl/>
        <w:spacing w:line="197" w:lineRule="auto" w:before="7434" w:after="0"/>
        <w:ind w:left="0" w:right="4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10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220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2" w:lineRule="exact" w:before="1526" w:after="0"/>
        <w:ind w:left="0" w:right="167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>CHAPTER 4: RESULT AND DISCUSSIONS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800" cy="9448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4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6" w:lineRule="exact" w:before="25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this chapte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r, we evaluate the main components of the system: the proposed architecture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customized 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lockchain. First, we assess the performance of ERTCA and compare it with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hierarchical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rchitecture. Then, we evaluate the efficiency of the customized private Ethereum-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based Blockc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hain. </w:t>
      </w:r>
    </w:p>
    <w:p>
      <w:pPr>
        <w:autoSpaceDN w:val="0"/>
        <w:autoSpaceDE w:val="0"/>
        <w:widowControl/>
        <w:spacing w:line="384" w:lineRule="exact" w:before="232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A. 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ERTCA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 Evaluation</w:t>
      </w:r>
    </w:p>
    <w:p>
      <w:pPr>
        <w:autoSpaceDN w:val="0"/>
        <w:autoSpaceDE w:val="0"/>
        <w:widowControl/>
        <w:spacing w:line="278" w:lineRule="exact" w:before="26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primary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objective of this work is to establish an architecture capable of integrating IoT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Blockchain 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hile addressing the resource limitations of IoT devices. The proposed ERTCA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framework ai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ms to distribute the workload effectively to enable IoT devices to handle Blockchain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operations.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 evaluate its performance, we compare it with a hierarchical architecture. </w:t>
      </w:r>
    </w:p>
    <w:p>
      <w:pPr>
        <w:autoSpaceDN w:val="0"/>
        <w:autoSpaceDE w:val="0"/>
        <w:widowControl/>
        <w:spacing w:line="276" w:lineRule="exact" w:before="27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the hierarc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hical architecture, each system is treated as a layer, with each layer having its miners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smart con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tracts. This approach lacks differentiation between rich and thin clients, as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clients are Bl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ockchain full nodes with their smart contract definitions. </w:t>
      </w:r>
    </w:p>
    <w:p>
      <w:pPr>
        <w:autoSpaceDN w:val="0"/>
        <w:autoSpaceDE w:val="0"/>
        <w:widowControl/>
        <w:spacing w:line="276" w:lineRule="exact" w:before="276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performa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nce evaluation reveals that ERTCA outperforms the hierarchical architecture.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hierarchic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 architecture exhibits high peaks in CPU and network performance across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systems, ERT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CA's peaks are primarily in rich clients' device performance. Additionally, ERTCA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demonstrates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superior efficiency, consuming significantly less time and resources compared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hierarchical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rchitecture. </w:t>
      </w:r>
    </w:p>
    <w:p>
      <w:pPr>
        <w:autoSpaceDN w:val="0"/>
        <w:autoSpaceDE w:val="0"/>
        <w:widowControl/>
        <w:spacing w:line="382" w:lineRule="exact" w:before="232" w:after="0"/>
        <w:ind w:left="1440" w:right="0" w:firstLine="0"/>
        <w:jc w:val="left"/>
      </w:pP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B. Private 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 xml:space="preserve">Ethereum-based Blockchain Evaluation </w:t>
      </w:r>
    </w:p>
    <w:p>
      <w:pPr>
        <w:autoSpaceDN w:val="0"/>
        <w:autoSpaceDE w:val="0"/>
        <w:widowControl/>
        <w:spacing w:line="276" w:lineRule="exact" w:before="264" w:after="0"/>
        <w:ind w:left="144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performa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nce of the customized private Ethereum-based Blockchain is evaluated using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Ganache Test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Net, an environment similar to the main Public Ethereum network but without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associated fin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ancial costs. Smart contracts are tested for their execution time and gas usage. </w:t>
      </w:r>
    </w:p>
    <w:p>
      <w:pPr>
        <w:autoSpaceDN w:val="0"/>
        <w:autoSpaceDE w:val="0"/>
        <w:widowControl/>
        <w:spacing w:line="276" w:lineRule="exact" w:before="278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mining ti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 in Ganache Test Net is found to be significantly lower than in the main Public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Ethereum net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work, which incurs high costs. Smart contracts in the private Ethereum network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demonstrate 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fficient execution, with a full cycle of the surgery management process consuming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only 5 second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s. Gas usage is within the set limits, indicating efficient execution of smart contracts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miners. </w:t>
      </w:r>
    </w:p>
    <w:p>
      <w:pPr>
        <w:autoSpaceDN w:val="0"/>
        <w:autoSpaceDE w:val="0"/>
        <w:widowControl/>
        <w:spacing w:line="384" w:lineRule="exact" w:before="232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C. 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Discussi</w:t>
      </w:r>
      <w:r>
        <w:rPr>
          <w:w w:val="98.80714416503906"/>
          <w:rFonts w:ascii="TimesNewRomanPS" w:hAnsi="TimesNewRomanPS" w:eastAsia="TimesNewRomanPS"/>
          <w:b/>
          <w:i w:val="0"/>
          <w:color w:val="000000"/>
          <w:sz w:val="28"/>
        </w:rPr>
        <w:t>on</w:t>
      </w:r>
    </w:p>
    <w:p>
      <w:pPr>
        <w:autoSpaceDN w:val="0"/>
        <w:autoSpaceDE w:val="0"/>
        <w:widowControl/>
        <w:spacing w:line="278" w:lineRule="exact" w:before="26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results indicate that the integration of IoT and Blockchain can be optimized through efficient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architecture design. ERTCA provides a solution to the resource limitations of IoT devices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distributing tasks according to device capabilities. This optimization enhances performance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ensures reliable data transmission while maintaining privacy and security. </w:t>
      </w:r>
    </w:p>
    <w:p>
      <w:pPr>
        <w:autoSpaceDN w:val="0"/>
        <w:autoSpaceDE w:val="0"/>
        <w:widowControl/>
        <w:spacing w:line="278" w:lineRule="exact" w:before="274" w:after="0"/>
        <w:ind w:left="14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findings suggest that ERTCA can be effectively implemented in IoT applications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numerous attached devices and stakeholders. For example, in a smart school application, thin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clients can represent students, while rich clients manage educational processes and second-level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thin clients handle educational devices. </w:t>
      </w:r>
    </w:p>
    <w:p>
      <w:pPr>
        <w:autoSpaceDN w:val="0"/>
        <w:autoSpaceDE w:val="0"/>
        <w:widowControl/>
        <w:spacing w:line="197" w:lineRule="auto" w:before="570" w:after="0"/>
        <w:ind w:left="0" w:right="7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11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268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2" w:lineRule="exact" w:before="1604" w:after="0"/>
        <w:ind w:left="0" w:right="28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CHAPTER 5: CONCLUSION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800" cy="94488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4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8" w:lineRule="exact" w:before="596" w:after="0"/>
        <w:ind w:left="1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Healthcare man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agement is a critical aspect of society, continuously evolving with advancements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technology. Wh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ile numerous systems and applications exist for health monitoring, fostering end-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user adoption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nd usage remains a challenge. This research introduces a collaborative healthcare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management sy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stem leveraging IoT and Blockchain integration through the ERTCA architecture. </w:t>
      </w:r>
    </w:p>
    <w:p>
      <w:pPr>
        <w:autoSpaceDN w:val="0"/>
        <w:autoSpaceDE w:val="0"/>
        <w:widowControl/>
        <w:spacing w:line="276" w:lineRule="exact" w:before="46" w:after="0"/>
        <w:ind w:left="122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exemplifyin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 the usability of this technology, the system aims to enhance performance,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resource utilizat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ion, data privacy, and security. </w:t>
      </w:r>
    </w:p>
    <w:p>
      <w:pPr>
        <w:autoSpaceDN w:val="0"/>
        <w:autoSpaceDE w:val="0"/>
        <w:widowControl/>
        <w:spacing w:line="276" w:lineRule="exact" w:before="278" w:after="0"/>
        <w:ind w:left="122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integration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Blockchain technology, whether in private infrastructures or public networks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like Ethereum,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offers several benefits. However, the financial costs associated with the Ethereum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network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escalate with high transaction volumes, highlighting the importance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considering per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formance, privacy, and security when opting for private Blockchain systems. </w:t>
      </w:r>
    </w:p>
    <w:p>
      <w:pPr>
        <w:autoSpaceDN w:val="0"/>
        <w:autoSpaceDE w:val="0"/>
        <w:widowControl/>
        <w:spacing w:line="276" w:lineRule="exact" w:before="286" w:after="0"/>
        <w:ind w:left="1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conclusion,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integration of Blockchain and IoT presents an opportunity to develop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collaborative 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alth monitoring systems, ensuring data immutability and preserving business logic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while potentiall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 introducing gamification elements to encourage user engagement. Future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directions for 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search include expanding tests and evaluations of ERTCA with other IoT-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Blockchain inte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gration architectures, studying its scalability and security, evaluating Smart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Contracts on dif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ferent Blockchains, and exploring application scenarios beyond healthcare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management. 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hile extending the system to include aspects like medication management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medical consult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ation data, the focus remains on leveraging technology to enhance healthcare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processes and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utcomes </w:t>
      </w:r>
    </w:p>
    <w:p>
      <w:pPr>
        <w:autoSpaceDN w:val="0"/>
        <w:autoSpaceDE w:val="0"/>
        <w:widowControl/>
        <w:spacing w:line="197" w:lineRule="auto" w:before="6944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12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p>
      <w:pPr>
        <w:sectPr>
          <w:pgSz w:w="12244" w:h="15840"/>
          <w:pgMar w:top="0" w:right="1420" w:bottom="12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42" w:lineRule="exact" w:before="1568" w:after="0"/>
        <w:ind w:left="0" w:right="390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REFERENCES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7162800" cy="9448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944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22" w:lineRule="exact" w:before="234" w:after="0"/>
        <w:ind w:left="18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462C1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K. As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hton, ‘‘That ’Internet of Things’ thing,’’ RFID J., vol. 22, no. 7, pp. 97–114, 2009.</w:t>
      </w:r>
    </w:p>
    <w:p>
      <w:pPr>
        <w:autoSpaceDN w:val="0"/>
        <w:tabs>
          <w:tab w:pos="2164" w:val="left"/>
        </w:tabs>
        <w:autoSpaceDE w:val="0"/>
        <w:widowControl/>
        <w:spacing w:line="292" w:lineRule="exact" w:before="28" w:after="0"/>
        <w:ind w:left="180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462C1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L. Tse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ng, L. Wong, S. Otoum, M. Aloqaily, and J. B. Othman, ‘‘Blockchain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ging heterogeneous Internet of Things: A perspective architec ture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462C1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Liteco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Wiki Contributors, Litecoin Wiki. (May 8, 2019). Main Page. Accessed: Jan. 1,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2164" w:val="left"/>
        </w:tabs>
        <w:autoSpaceDE w:val="0"/>
        <w:widowControl/>
        <w:spacing w:line="288" w:lineRule="exact" w:before="32" w:after="0"/>
        <w:ind w:left="18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462C1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 Do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rri, S. S. Kanhere, and R. Jurdak, ‘‘Towards an optimized BlockChain for IoT,’’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2nd Int. Conf. Internet Things Design Implement., Apr. 2017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462C1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R. Ka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luri, D. S. Rajput, Q. Xin, K. Lakshmanna, S. Bhattacharya, T. R. Gadekallu, and P. </w:t>
      </w:r>
    </w:p>
    <w:p>
      <w:pPr>
        <w:autoSpaceDN w:val="0"/>
        <w:tabs>
          <w:tab w:pos="2164" w:val="left"/>
        </w:tabs>
        <w:autoSpaceDE w:val="0"/>
        <w:widowControl/>
        <w:spacing w:line="292" w:lineRule="exact" w:before="28" w:after="0"/>
        <w:ind w:left="1802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K. 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Maddikunta, ‘‘Roughsets-based approach for predicting battery life in IoT,’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R. Su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jatha, C. Navaneethan, R. Kaluri, and S. Prasanna, ‘‘Optimized digital </w:t>
      </w:r>
    </w:p>
    <w:p>
      <w:pPr>
        <w:autoSpaceDN w:val="0"/>
        <w:tabs>
          <w:tab w:pos="2164" w:val="left"/>
        </w:tabs>
        <w:autoSpaceDE w:val="0"/>
        <w:widowControl/>
        <w:spacing w:line="290" w:lineRule="exact" w:before="0" w:after="0"/>
        <w:ind w:left="180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transf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ormation in government services with blockchain,’’ in Blockchain Technology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cations. Boca Raton, FL, USA: Auerbach Publications, 2020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462C1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  <w:u w:val="single"/>
        </w:rPr>
        <w:t>https:/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  <w:u w:val="single"/>
        </w:rPr>
        <w:t>/ieeexplore.ieee.org/Xplore</w:t>
      </w:r>
      <w:r>
        <w:rPr>
          <w:rFonts w:ascii="TimesNewRomanPSMT" w:hAnsi="TimesNewRomanPSMT" w:eastAsia="TimesNewRomanPSMT"/>
          <w:b w:val="0"/>
          <w:i w:val="0"/>
          <w:color w:val="0462C1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9350" w:after="0"/>
        <w:ind w:left="0" w:right="6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Page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of </w:t>
      </w:r>
      <w:r>
        <w:rPr>
          <w:rFonts w:ascii="Calibri" w:hAnsi="Calibri" w:eastAsia="Calibri"/>
          <w:b/>
          <w:i w:val="0"/>
          <w:color w:val="000000"/>
          <w:sz w:val="20"/>
        </w:rPr>
        <w:t>13</w:t>
      </w:r>
    </w:p>
    <w:sectPr w:rsidR="00FC693F" w:rsidRPr="0006063C" w:rsidSect="00034616">
      <w:pgSz w:w="12244" w:h="15840"/>
      <w:pgMar w:top="0" w:right="1372" w:bottom="12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