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y1w22j7i7l0" w:id="0"/>
      <w:bookmarkEnd w:id="0"/>
      <w:r w:rsidDel="00000000" w:rsidR="00000000" w:rsidRPr="00000000">
        <w:rPr>
          <w:rtl w:val="0"/>
        </w:rPr>
        <w:t xml:space="preserve">Project Specification: Automated Options Trading &amp; AI Strategy Platform</w:t>
      </w:r>
    </w:p>
    <w:p w:rsidR="00000000" w:rsidDel="00000000" w:rsidP="00000000" w:rsidRDefault="00000000" w:rsidRPr="00000000" w14:paraId="00000002">
      <w:pPr>
        <w:pStyle w:val="Heading4"/>
        <w:rPr/>
      </w:pPr>
      <w:bookmarkStart w:colFirst="0" w:colLast="0" w:name="_pcntovqltqh9" w:id="1"/>
      <w:bookmarkEnd w:id="1"/>
      <w:r w:rsidDel="00000000" w:rsidR="00000000" w:rsidRPr="00000000">
        <w:rPr>
          <w:rtl w:val="0"/>
        </w:rPr>
        <w:t xml:space="preserve">1. Executive Summary &amp; Strategic Business Vision</w:t>
      </w:r>
    </w:p>
    <w:p w:rsidR="00000000" w:rsidDel="00000000" w:rsidP="00000000" w:rsidRDefault="00000000" w:rsidRPr="00000000" w14:paraId="00000003">
      <w:pPr>
        <w:pStyle w:val="Heading5"/>
        <w:rPr/>
      </w:pPr>
      <w:bookmarkStart w:colFirst="0" w:colLast="0" w:name="_1e8papy3aibt" w:id="2"/>
      <w:bookmarkEnd w:id="2"/>
      <w:r w:rsidDel="00000000" w:rsidR="00000000" w:rsidRPr="00000000">
        <w:rPr>
          <w:rtl w:val="0"/>
        </w:rPr>
        <w:t xml:space="preserve">1.1 Long-Term Business Roadmap &amp; Vision</w:t>
      </w:r>
    </w:p>
    <w:p w:rsidR="00000000" w:rsidDel="00000000" w:rsidP="00000000" w:rsidRDefault="00000000" w:rsidRPr="00000000" w14:paraId="00000004">
      <w:pPr>
        <w:rPr/>
      </w:pPr>
      <w:r w:rsidDel="00000000" w:rsidR="00000000" w:rsidRPr="00000000">
        <w:rPr>
          <w:rtl w:val="0"/>
        </w:rPr>
        <w:t xml:space="preserve">The strategic objective of this initiative is to transition a lean, bootstrapped quantitative options trading framework into a fully licensed, SEBI-registered financial technology enterprise by the 2028–2029 timeframe. The fundamental economic driver of this platform is the elimination of traditional employment reliance by generating predictable, scalable quantitative trading yield through proprietary algorithmic option strategies.Beginning with an internally developed, zero-overhead execution prototype, the system architecture will progressively evolve into an enterprise-grade algorithmic execution engine. Upon achieving rigorous operational stability and regulatory licensing, the enterprise will scale to manage external client capital and public asset pools under strict regulatory compliance.</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Bootstrap Phase (Immediate – Year 1)</w:t>
      </w:r>
      <w:r w:rsidDel="00000000" w:rsidR="00000000" w:rsidRPr="00000000">
        <w:rPr>
          <w:rtl w:val="0"/>
        </w:rPr>
        <w:t xml:space="preserve"> : Development of a local Python-based execution framework, validation of high-probability options logic, and establishment of capital stability across internal family account deployments.</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Pilot &amp; Internal Capital Scaling (Year 1 – Year 2)</w:t>
      </w:r>
      <w:r w:rsidDel="00000000" w:rsidR="00000000" w:rsidRPr="00000000">
        <w:rPr>
          <w:rtl w:val="0"/>
        </w:rPr>
        <w:t xml:space="preserve"> : Sustained, automated multi-account execution across family account IDs, establishing institutional-grade track records, and acquiring required professional market certifications.</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SEBI Registration &amp; Commercial Scale-Up (2028–2029 Target)</w:t>
      </w:r>
      <w:r w:rsidDel="00000000" w:rsidR="00000000" w:rsidRPr="00000000">
        <w:rPr>
          <w:rtl w:val="0"/>
        </w:rPr>
        <w:t xml:space="preserve"> : Securing SEBI Research Analyst (RA) and corporate entity registrations, transitioning to institutional cloud infrastructure, integrating external public capital, and expanding core technical and quantitative teams.</w:t>
      </w:r>
    </w:p>
    <w:p w:rsidR="00000000" w:rsidDel="00000000" w:rsidP="00000000" w:rsidRDefault="00000000" w:rsidRPr="00000000" w14:paraId="00000008">
      <w:pPr>
        <w:pStyle w:val="Heading5"/>
        <w:rPr/>
      </w:pPr>
      <w:bookmarkStart w:colFirst="0" w:colLast="0" w:name="_m8qdx1jljd2a" w:id="3"/>
      <w:bookmarkEnd w:id="3"/>
      <w:r w:rsidDel="00000000" w:rsidR="00000000" w:rsidRPr="00000000">
        <w:rPr>
          <w:rtl w:val="0"/>
        </w:rPr>
        <w:t xml:space="preserve">1.2 Capital Allocation &amp; Bootstrapping Model</w:t>
      </w:r>
    </w:p>
    <w:p w:rsidR="00000000" w:rsidDel="00000000" w:rsidP="00000000" w:rsidRDefault="00000000" w:rsidRPr="00000000" w14:paraId="00000009">
      <w:pPr>
        <w:rPr/>
      </w:pPr>
      <w:r w:rsidDel="00000000" w:rsidR="00000000" w:rsidRPr="00000000">
        <w:rPr>
          <w:rtl w:val="0"/>
        </w:rPr>
        <w:t xml:space="preserve">The platform operates on a low-overhead, self-funded financial trajectory. System architecture and quantitative design are executed entirely in-house to eliminate vendor capital burn. Initial live pilot testing is directly funded using leadership capital, specifically allocating personal Diwali bonus reserves to bootstrap the immediate preliminary live execution run without external debt or premature third-party equity dilution.| Phase / Milestone | Financial Target &amp; Funding Source || ------ | ------ || </w:t>
      </w:r>
      <w:r w:rsidDel="00000000" w:rsidR="00000000" w:rsidRPr="00000000">
        <w:rPr>
          <w:b w:val="1"/>
          <w:bCs w:val="1"/>
          <w:rtl w:val="0"/>
        </w:rPr>
        <w:t xml:space="preserve">Initial Framework Prototype &amp; Validation</w:t>
      </w:r>
      <w:r w:rsidDel="00000000" w:rsidR="00000000" w:rsidRPr="00000000">
        <w:rPr>
          <w:rtl w:val="0"/>
        </w:rPr>
        <w:t xml:space="preserve"> | Leadership funded utilizing personal Diwali bonus capital reserves; zero server overhead via local execution environments. || </w:t>
      </w:r>
      <w:r w:rsidDel="00000000" w:rsidR="00000000" w:rsidRPr="00000000">
        <w:rPr>
          <w:b w:val="1"/>
          <w:bCs w:val="1"/>
          <w:rtl w:val="0"/>
        </w:rPr>
        <w:t xml:space="preserve">Family Account Pilot Deployment</w:t>
      </w:r>
      <w:r w:rsidDel="00000000" w:rsidR="00000000" w:rsidRPr="00000000">
        <w:rPr>
          <w:rtl w:val="0"/>
        </w:rPr>
        <w:t xml:space="preserve"> | Target yield of ~₹25,000 INR/month per account deployed across 5 internal family account IDs (~₹1,25,000 INR aggregate monthly cash flow). || </w:t>
      </w:r>
      <w:r w:rsidDel="00000000" w:rsidR="00000000" w:rsidRPr="00000000">
        <w:rPr>
          <w:b w:val="1"/>
          <w:bCs w:val="1"/>
          <w:rtl w:val="0"/>
        </w:rPr>
        <w:t xml:space="preserve">Commercial Scale-Up &amp; External Asset Management</w:t>
      </w:r>
      <w:r w:rsidDel="00000000" w:rsidR="00000000" w:rsidRPr="00000000">
        <w:rPr>
          <w:rtl w:val="0"/>
        </w:rPr>
        <w:t xml:space="preserve"> | External client capital pooling operating under a structured 5%–10% performance-fee revenue model upon regulatory approval. |</w:t>
      </w:r>
    </w:p>
    <w:p w:rsidR="00000000" w:rsidDel="00000000" w:rsidP="00000000" w:rsidRDefault="00000000" w:rsidRPr="00000000" w14:paraId="0000000A">
      <w:pPr>
        <w:pStyle w:val="Heading5"/>
        <w:rPr/>
      </w:pPr>
      <w:bookmarkStart w:colFirst="0" w:colLast="0" w:name="_ler7fzy5kbp" w:id="4"/>
      <w:bookmarkEnd w:id="4"/>
      <w:r w:rsidDel="00000000" w:rsidR="00000000" w:rsidRPr="00000000">
        <w:rPr>
          <w:rtl w:val="0"/>
        </w:rPr>
        <w:t xml:space="preserve">1.3 Professional Compliance &amp; Licensing Path</w:t>
      </w:r>
    </w:p>
    <w:p w:rsidR="00000000" w:rsidDel="00000000" w:rsidP="00000000" w:rsidRDefault="00000000" w:rsidRPr="00000000" w14:paraId="0000000B">
      <w:pPr>
        <w:rPr/>
      </w:pPr>
      <w:r w:rsidDel="00000000" w:rsidR="00000000" w:rsidRPr="00000000">
        <w:rPr>
          <w:rtl w:val="0"/>
        </w:rPr>
        <w:t xml:space="preserve">To legally transition from private multi-account execution to managing public capital and providing commercial advisory services, team leads will systematically execute the following credentialing and licensing roadmap:</w:t>
      </w:r>
    </w:p>
    <w:p w:rsidR="00000000" w:rsidDel="00000000" w:rsidP="00000000" w:rsidRDefault="00000000" w:rsidRPr="00000000" w14:paraId="0000000C">
      <w:pPr>
        <w:numPr>
          <w:ilvl w:val="0"/>
          <w:numId w:val="12"/>
        </w:numPr>
        <w:ind w:left="720" w:hanging="360"/>
        <w:rPr>
          <w:u w:val="none"/>
        </w:rPr>
      </w:pPr>
      <w:r w:rsidDel="00000000" w:rsidR="00000000" w:rsidRPr="00000000">
        <w:rPr>
          <w:b w:val="1"/>
          <w:bCs w:val="1"/>
          <w:rtl w:val="0"/>
        </w:rPr>
        <w:t xml:space="preserve">NISM Series Examinations</w:t>
      </w:r>
      <w:r w:rsidDel="00000000" w:rsidR="00000000" w:rsidRPr="00000000">
        <w:rPr>
          <w:rtl w:val="0"/>
        </w:rPr>
        <w:t xml:space="preserve"> : Mandatory completion of National Institute of Securities Markets (NISM) Series VIII (Equity Derivatives) and Series XV (Research Analyst) certifications to establish baseline regulatory compliance.</w:t>
      </w:r>
    </w:p>
    <w:p w:rsidR="00000000" w:rsidDel="00000000" w:rsidP="00000000" w:rsidRDefault="00000000" w:rsidRPr="00000000" w14:paraId="0000000D">
      <w:pPr>
        <w:numPr>
          <w:ilvl w:val="0"/>
          <w:numId w:val="12"/>
        </w:numPr>
        <w:ind w:left="720" w:hanging="360"/>
        <w:rPr>
          <w:u w:val="none"/>
        </w:rPr>
      </w:pPr>
      <w:r w:rsidDel="00000000" w:rsidR="00000000" w:rsidRPr="00000000">
        <w:rPr>
          <w:b w:val="1"/>
          <w:bCs w:val="1"/>
          <w:rtl w:val="0"/>
        </w:rPr>
        <w:t xml:space="preserve">SEBI Research Analyst (RA) Registration</w:t>
      </w:r>
      <w:r w:rsidDel="00000000" w:rsidR="00000000" w:rsidRPr="00000000">
        <w:rPr>
          <w:rtl w:val="0"/>
        </w:rPr>
        <w:t xml:space="preserve"> : Acquisition of formal SEBI RA credentials, establishing legal authorization for stock recommendations, strategy distribution, and commercial advisory operations.</w:t>
      </w:r>
    </w:p>
    <w:p w:rsidR="00000000" w:rsidDel="00000000" w:rsidP="00000000" w:rsidRDefault="00000000" w:rsidRPr="00000000" w14:paraId="0000000E">
      <w:pPr>
        <w:numPr>
          <w:ilvl w:val="0"/>
          <w:numId w:val="12"/>
        </w:numPr>
        <w:ind w:left="720" w:hanging="360"/>
        <w:rPr>
          <w:u w:val="none"/>
        </w:rPr>
      </w:pPr>
      <w:r w:rsidDel="00000000" w:rsidR="00000000" w:rsidRPr="00000000">
        <w:rPr>
          <w:b w:val="1"/>
          <w:bCs w:val="1"/>
          <w:rtl w:val="0"/>
        </w:rPr>
        <w:t xml:space="preserve">NSE Entity Certifications</w:t>
      </w:r>
      <w:r w:rsidDel="00000000" w:rsidR="00000000" w:rsidRPr="00000000">
        <w:rPr>
          <w:rtl w:val="0"/>
        </w:rPr>
        <w:t xml:space="preserve"> : Direct National Stock Exchange technical and operational certifications to validate execution competence for corporate entity status.</w:t>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Chartered Market Technician (CMT) &amp; Certified Management Accountant (CMA) Pathways</w:t>
      </w:r>
      <w:r w:rsidDel="00000000" w:rsidR="00000000" w:rsidRPr="00000000">
        <w:rPr>
          <w:rtl w:val="0"/>
        </w:rPr>
        <w:t xml:space="preserve"> : Strategic global charter acquisition establishing institutional credibility in quantitative technical analysis, capital allocation, and corporate risk governance.</w:t>
      </w:r>
    </w:p>
    <w:p w:rsidR="00000000" w:rsidDel="00000000" w:rsidP="00000000" w:rsidRDefault="00000000" w:rsidRPr="00000000" w14:paraId="00000010">
      <w:pPr>
        <w:numPr>
          <w:ilvl w:val="0"/>
          <w:numId w:val="12"/>
        </w:numPr>
        <w:ind w:left="720" w:hanging="360"/>
        <w:rPr>
          <w:u w:val="none"/>
        </w:rPr>
      </w:pPr>
      <w:r w:rsidDel="00000000" w:rsidR="00000000" w:rsidRPr="00000000">
        <w:rPr>
          <w:b w:val="1"/>
          <w:bCs w:val="1"/>
          <w:rtl w:val="0"/>
        </w:rPr>
        <w:t xml:space="preserve">SEBI Registered Corporate Entity Licensing</w:t>
      </w:r>
      <w:r w:rsidDel="00000000" w:rsidR="00000000" w:rsidRPr="00000000">
        <w:rPr>
          <w:rtl w:val="0"/>
        </w:rPr>
        <w:t xml:space="preserve"> : Formal corporate registration with SEBI required to launch an external client asset management platform, manage third-party pools, and eliminate operational regulatory liabilities.</w:t>
      </w:r>
    </w:p>
    <w:p w:rsidR="00000000" w:rsidDel="00000000" w:rsidP="00000000" w:rsidRDefault="00000000" w:rsidRPr="00000000" w14:paraId="00000011">
      <w:pPr>
        <w:pStyle w:val="Heading4"/>
        <w:rPr/>
      </w:pPr>
      <w:bookmarkStart w:colFirst="0" w:colLast="0" w:name="_f4br1eu54ppd" w:id="5"/>
      <w:bookmarkEnd w:id="5"/>
      <w:r w:rsidDel="00000000" w:rsidR="00000000" w:rsidRPr="00000000">
        <w:rPr>
          <w:rtl w:val="0"/>
        </w:rPr>
        <w:t xml:space="preserve">2. Organizational Roles &amp; Team Governance</w:t>
      </w:r>
    </w:p>
    <w:p w:rsidR="00000000" w:rsidDel="00000000" w:rsidP="00000000" w:rsidRDefault="00000000" w:rsidRPr="00000000" w14:paraId="00000012">
      <w:pPr>
        <w:pStyle w:val="Heading5"/>
        <w:rPr/>
      </w:pPr>
      <w:bookmarkStart w:colFirst="0" w:colLast="0" w:name="_g4gc6rkndm9o" w:id="6"/>
      <w:bookmarkEnd w:id="6"/>
      <w:r w:rsidDel="00000000" w:rsidR="00000000" w:rsidRPr="00000000">
        <w:rPr>
          <w:rtl w:val="0"/>
        </w:rPr>
        <w:t xml:space="preserve">2.1 Core Team Structure &amp; Functional Responsibilities</w:t>
      </w:r>
    </w:p>
    <w:p w:rsidR="00000000" w:rsidDel="00000000" w:rsidP="00000000" w:rsidRDefault="00000000" w:rsidRPr="00000000" w14:paraId="00000013">
      <w:pPr>
        <w:rPr>
          <w:b w:val="1"/>
          <w:bCs w:val="1"/>
        </w:rPr>
      </w:pPr>
      <w:r w:rsidDel="00000000" w:rsidR="00000000" w:rsidRPr="00000000">
        <w:rPr>
          <w:b w:val="1"/>
          <w:bCs w:val="1"/>
          <w:rtl w:val="0"/>
        </w:rPr>
        <w:t xml:space="preserve">Core Team Governance &amp; Operational Alignment</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Strategic &amp; Business Lead</w:t>
      </w:r>
      <w:r w:rsidDel="00000000" w:rsidR="00000000" w:rsidRPr="00000000">
        <w:rPr>
          <w:rtl w:val="0"/>
        </w:rPr>
        <w:t xml:space="preserve"> : Directs business scaling, client acquisition pipelines, capital deployment, operational funding (including initial pilot capitalization), commercial networking, and overarching SEBI/NSE compliance roadmaps.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Quantitative Strategy Lead (Aditya)</w:t>
      </w:r>
      <w:r w:rsidDel="00000000" w:rsidR="00000000" w:rsidRPr="00000000">
        <w:rPr>
          <w:rtl w:val="0"/>
        </w:rPr>
        <w:t xml:space="preserve"> : Acts as the primary quantitative pillar; responsible for mathematical strategy formulation, option Greeks model specification, NISM/RA examination completion, technical analysis documentation, and formal strategy specification reporting.</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Technical &amp; Architecture Lead (Himanshu)</w:t>
      </w:r>
      <w:r w:rsidDel="00000000" w:rsidR="00000000" w:rsidRPr="00000000">
        <w:rPr>
          <w:rtl w:val="0"/>
        </w:rPr>
        <w:t xml:space="preserve"> : Functions as principal systems architect; oversees microservices engineering, back-end Python framework development, HTMX dynamic UI integration, multi-broker API connection wrappers, local/cloud deployment pipelines, and sub-millisecond order routing engines.</w:t>
      </w:r>
    </w:p>
    <w:p w:rsidR="00000000" w:rsidDel="00000000" w:rsidP="00000000" w:rsidRDefault="00000000" w:rsidRPr="00000000" w14:paraId="00000017">
      <w:pPr>
        <w:pStyle w:val="Heading4"/>
        <w:rPr/>
      </w:pPr>
      <w:bookmarkStart w:colFirst="0" w:colLast="0" w:name="_8hgy2roaxde0" w:id="7"/>
      <w:bookmarkEnd w:id="7"/>
      <w:r w:rsidDel="00000000" w:rsidR="00000000" w:rsidRPr="00000000">
        <w:rPr>
          <w:rtl w:val="0"/>
        </w:rPr>
        <w:t xml:space="preserve">3. Architecture Strategy: Option C Hybrid Python Architecture</w:t>
      </w:r>
    </w:p>
    <w:p w:rsidR="00000000" w:rsidDel="00000000" w:rsidP="00000000" w:rsidRDefault="00000000" w:rsidRPr="00000000" w14:paraId="00000018">
      <w:pPr>
        <w:pStyle w:val="Heading5"/>
        <w:rPr/>
      </w:pPr>
      <w:bookmarkStart w:colFirst="0" w:colLast="0" w:name="_spny8fkzzunn" w:id="8"/>
      <w:bookmarkEnd w:id="8"/>
      <w:r w:rsidDel="00000000" w:rsidR="00000000" w:rsidRPr="00000000">
        <w:rPr>
          <w:rtl w:val="0"/>
        </w:rPr>
        <w:t xml:space="preserve">3.1 Stack Breakdown: Django + FastAPI + HTMX</w:t>
      </w:r>
    </w:p>
    <w:p w:rsidR="00000000" w:rsidDel="00000000" w:rsidP="00000000" w:rsidRDefault="00000000" w:rsidRPr="00000000" w14:paraId="00000019">
      <w:pPr>
        <w:rPr/>
      </w:pPr>
      <w:r w:rsidDel="00000000" w:rsidR="00000000" w:rsidRPr="00000000">
        <w:rPr>
          <w:rtl w:val="0"/>
        </w:rPr>
        <w:t xml:space="preserve">The system implements a hybrid Python microservices architecture, intentionally separating monolithic administrative state management from high-throughput, low-latency numerical calculations and broker communication.| Component | Technology | Core Responsibility || ------ | ------ | ------ || </w:t>
      </w:r>
      <w:r w:rsidDel="00000000" w:rsidR="00000000" w:rsidRPr="00000000">
        <w:rPr>
          <w:b w:val="1"/>
          <w:bCs w:val="1"/>
          <w:rtl w:val="0"/>
        </w:rPr>
        <w:t xml:space="preserve">Administrative &amp; State Control</w:t>
      </w:r>
      <w:r w:rsidDel="00000000" w:rsidR="00000000" w:rsidRPr="00000000">
        <w:rPr>
          <w:rtl w:val="0"/>
        </w:rPr>
        <w:t xml:space="preserve"> | </w:t>
      </w:r>
      <w:r w:rsidDel="00000000" w:rsidR="00000000" w:rsidRPr="00000000">
        <w:rPr>
          <w:b w:val="1"/>
          <w:bCs w:val="1"/>
          <w:rtl w:val="0"/>
        </w:rPr>
        <w:t xml:space="preserve">Django (Monolith)</w:t>
      </w:r>
      <w:r w:rsidDel="00000000" w:rsidR="00000000" w:rsidRPr="00000000">
        <w:rPr>
          <w:rtl w:val="0"/>
        </w:rPr>
        <w:t xml:space="preserve"> | Operational user authentication, multi-account family credential encryption, persistence layers, global strategy configuration, and administrative governance. || </w:t>
      </w:r>
      <w:r w:rsidDel="00000000" w:rsidR="00000000" w:rsidRPr="00000000">
        <w:rPr>
          <w:b w:val="1"/>
          <w:bCs w:val="1"/>
          <w:rtl w:val="0"/>
        </w:rPr>
        <w:t xml:space="preserve">Calculation &amp; Execution Engine</w:t>
      </w:r>
      <w:r w:rsidDel="00000000" w:rsidR="00000000" w:rsidRPr="00000000">
        <w:rPr>
          <w:rtl w:val="0"/>
        </w:rPr>
        <w:t xml:space="preserve"> | </w:t>
      </w:r>
      <w:r w:rsidDel="00000000" w:rsidR="00000000" w:rsidRPr="00000000">
        <w:rPr>
          <w:b w:val="1"/>
          <w:bCs w:val="1"/>
          <w:rtl w:val="0"/>
        </w:rPr>
        <w:t xml:space="preserve">FastAPI (Microservice)</w:t>
      </w:r>
      <w:r w:rsidDel="00000000" w:rsidR="00000000" w:rsidRPr="00000000">
        <w:rPr>
          <w:rtl w:val="0"/>
        </w:rPr>
        <w:t xml:space="preserve"> | Sub-millisecond calculation of option Greeks, real-time strike bucket selection, dynamic margin estimation, and low-latency broker API communication wrappers. || </w:t>
      </w:r>
      <w:r w:rsidDel="00000000" w:rsidR="00000000" w:rsidRPr="00000000">
        <w:rPr>
          <w:b w:val="1"/>
          <w:bCs w:val="1"/>
          <w:rtl w:val="0"/>
        </w:rPr>
        <w:t xml:space="preserve">Reactive Presentation Layer</w:t>
      </w:r>
      <w:r w:rsidDel="00000000" w:rsidR="00000000" w:rsidRPr="00000000">
        <w:rPr>
          <w:rtl w:val="0"/>
        </w:rPr>
        <w:t xml:space="preserve"> | </w:t>
      </w:r>
      <w:r w:rsidDel="00000000" w:rsidR="00000000" w:rsidRPr="00000000">
        <w:rPr>
          <w:b w:val="1"/>
          <w:bCs w:val="1"/>
          <w:rtl w:val="0"/>
        </w:rPr>
        <w:t xml:space="preserve">HTMX</w:t>
      </w:r>
      <w:r w:rsidDel="00000000" w:rsidR="00000000" w:rsidRPr="00000000">
        <w:rPr>
          <w:rtl w:val="0"/>
        </w:rPr>
        <w:t xml:space="preserve"> | Dynamic, reactive Sensibull-style UI updates delivered directly over HTML, eliminating client-side SPA bundle overhead and JavaScript state synchronization issues. |</w:t>
      </w:r>
    </w:p>
    <w:p w:rsidR="00000000" w:rsidDel="00000000" w:rsidP="00000000" w:rsidRDefault="00000000" w:rsidRPr="00000000" w14:paraId="0000001A">
      <w:pPr>
        <w:pStyle w:val="Heading6"/>
        <w:rPr/>
      </w:pPr>
      <w:bookmarkStart w:colFirst="0" w:colLast="0" w:name="_kn60ya88otwu" w:id="9"/>
      <w:bookmarkEnd w:id="9"/>
      <w:r w:rsidDel="00000000" w:rsidR="00000000" w:rsidRPr="00000000">
        <w:rPr>
          <w:rtl w:val="0"/>
        </w:rPr>
        <w:t xml:space="preserve">Inter-Service Communication &amp; Data Streaming Mechanics</w:t>
      </w:r>
    </w:p>
    <w:p w:rsidR="00000000" w:rsidDel="00000000" w:rsidP="00000000" w:rsidRDefault="00000000" w:rsidRPr="00000000" w14:paraId="0000001B">
      <w:pPr>
        <w:rPr/>
      </w:pPr>
      <w:r w:rsidDel="00000000" w:rsidR="00000000" w:rsidRPr="00000000">
        <w:rPr>
          <w:rtl w:val="0"/>
        </w:rPr>
        <w:t xml:space="preserve">Communication between Django and FastAPI is orchestrated via synchronous HTTP REST for transactional state persistence and account configuration updates. For high-frequency operations—such as streaming real-time option Greeks, dynamic spot prices, and tick data—the architecture utilizes an in-memory  </w:t>
      </w:r>
      <w:r w:rsidDel="00000000" w:rsidR="00000000" w:rsidRPr="00000000">
        <w:rPr>
          <w:b w:val="1"/>
          <w:bCs w:val="1"/>
          <w:rtl w:val="0"/>
        </w:rPr>
        <w:t xml:space="preserve">Redis</w:t>
      </w:r>
      <w:r w:rsidDel="00000000" w:rsidR="00000000" w:rsidRPr="00000000">
        <w:rPr>
          <w:rtl w:val="0"/>
        </w:rPr>
        <w:t xml:space="preserve">  message broker. FastAPI publishes computed calculations and market events to Redis channels, which are continuously streamed to the HTMX presentation layer using  </w:t>
      </w:r>
      <w:r w:rsidDel="00000000" w:rsidR="00000000" w:rsidRPr="00000000">
        <w:rPr>
          <w:b w:val="1"/>
          <w:bCs w:val="1"/>
          <w:rtl w:val="0"/>
        </w:rPr>
        <w:t xml:space="preserve">Server-Sent Events (SSE)</w:t>
      </w:r>
      <w:r w:rsidDel="00000000" w:rsidR="00000000" w:rsidRPr="00000000">
        <w:rPr>
          <w:rtl w:val="0"/>
        </w:rPr>
        <w:t xml:space="preserve">  or persistent  </w:t>
      </w:r>
      <w:r w:rsidDel="00000000" w:rsidR="00000000" w:rsidRPr="00000000">
        <w:rPr>
          <w:b w:val="1"/>
          <w:bCs w:val="1"/>
          <w:rtl w:val="0"/>
        </w:rPr>
        <w:t xml:space="preserve">WebSockets</w:t>
      </w:r>
      <w:r w:rsidDel="00000000" w:rsidR="00000000" w:rsidRPr="00000000">
        <w:rPr>
          <w:rtl w:val="0"/>
        </w:rPr>
        <w:t xml:space="preserve"> , securing sub-100ms UI updates without full page reloads.</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HTTP REST (State/Config)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&lt;--------------------------------------&gt; |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Django Monolith |                                          | FastAPI Engine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(Auth / State)  | ===&gt; [ Redis In-Memory Pub/Sub Queue ] ==&gt; | (Greeks / APIs)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SSE / WebSockets</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v</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HTMX Reactive User Interface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pStyle w:val="Heading5"/>
        <w:rPr/>
      </w:pPr>
      <w:bookmarkStart w:colFirst="0" w:colLast="0" w:name="_3mis8n982nnt" w:id="10"/>
      <w:bookmarkEnd w:id="10"/>
      <w:r w:rsidDel="00000000" w:rsidR="00000000" w:rsidRPr="00000000">
        <w:rPr>
          <w:rtl w:val="0"/>
        </w:rPr>
        <w:t xml:space="preserve">3.2 Hosting &amp; Infrastructure Evolution Strategy</w:t>
      </w:r>
    </w:p>
    <w:p w:rsidR="00000000" w:rsidDel="00000000" w:rsidP="00000000" w:rsidRDefault="00000000" w:rsidRPr="00000000" w14:paraId="00000029">
      <w:pPr>
        <w:rPr/>
      </w:pPr>
      <w:r w:rsidDel="00000000" w:rsidR="00000000" w:rsidRPr="00000000">
        <w:rPr>
          <w:rtl w:val="0"/>
        </w:rPr>
        <w:t xml:space="preserve">To maintain a strict zero-burn operational model during prototyping while preserving seamless scalability for commercial deployment, infrastructure staging follows a structured two-stage deployment sequence:</w:t>
      </w:r>
    </w:p>
    <w:p w:rsidR="00000000" w:rsidDel="00000000" w:rsidP="00000000" w:rsidRDefault="00000000" w:rsidRPr="00000000" w14:paraId="0000002A">
      <w:pPr>
        <w:numPr>
          <w:ilvl w:val="0"/>
          <w:numId w:val="10"/>
        </w:numPr>
        <w:ind w:left="720" w:hanging="360"/>
        <w:rPr>
          <w:b w:val="1"/>
          <w:bCs w:val="1"/>
          <w:u w:val="none"/>
        </w:rPr>
      </w:pPr>
      <w:r w:rsidDel="00000000" w:rsidR="00000000" w:rsidRPr="00000000">
        <w:rPr>
          <w:b w:val="1"/>
          <w:bCs w:val="1"/>
          <w:rtl w:val="0"/>
        </w:rPr>
        <w:t xml:space="preserve">Stage 1: Local Prototyping &amp; Zero-Cost Runtime Infrastructure</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Execute Django and FastAPI engines on local workstation runtimes utilizing  </w:t>
      </w:r>
      <w:r w:rsidDel="00000000" w:rsidR="00000000" w:rsidRPr="00000000">
        <w:rPr>
          <w:b w:val="1"/>
          <w:bCs w:val="1"/>
          <w:rtl w:val="0"/>
        </w:rPr>
        <w:t xml:space="preserve">Uvicorn</w:t>
      </w:r>
      <w:r w:rsidDel="00000000" w:rsidR="00000000" w:rsidRPr="00000000">
        <w:rPr>
          <w:rtl w:val="0"/>
        </w:rPr>
        <w:t xml:space="preserve">  (ASGI) and  </w:t>
      </w:r>
      <w:r w:rsidDel="00000000" w:rsidR="00000000" w:rsidRPr="00000000">
        <w:rPr>
          <w:b w:val="1"/>
          <w:bCs w:val="1"/>
          <w:rtl w:val="0"/>
        </w:rPr>
        <w:t xml:space="preserve">Gunicorn</w:t>
      </w:r>
      <w:r w:rsidDel="00000000" w:rsidR="00000000" w:rsidRPr="00000000">
        <w:rPr>
          <w:rtl w:val="0"/>
        </w:rPr>
        <w:t xml:space="preserve">  (WSGI) process managers.</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Containerize microservices using  </w:t>
      </w:r>
      <w:r w:rsidDel="00000000" w:rsidR="00000000" w:rsidRPr="00000000">
        <w:rPr>
          <w:b w:val="1"/>
          <w:bCs w:val="1"/>
          <w:rtl w:val="0"/>
        </w:rPr>
        <w:t xml:space="preserve">Docker</w:t>
      </w:r>
      <w:r w:rsidDel="00000000" w:rsidR="00000000" w:rsidRPr="00000000">
        <w:rPr>
          <w:rtl w:val="0"/>
        </w:rPr>
        <w:t xml:space="preserve">  containers managed by local  </w:t>
      </w:r>
      <w:r w:rsidDel="00000000" w:rsidR="00000000" w:rsidRPr="00000000">
        <w:rPr>
          <w:b w:val="1"/>
          <w:bCs w:val="1"/>
          <w:rtl w:val="0"/>
        </w:rPr>
        <w:t xml:space="preserve">Systemd</w:t>
      </w:r>
      <w:r w:rsidDel="00000000" w:rsidR="00000000" w:rsidRPr="00000000">
        <w:rPr>
          <w:rtl w:val="0"/>
        </w:rPr>
        <w:t xml:space="preserve">  daemons to ensure persistent background worker execution for continuous WebSocket market feeds.</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Isolate sensitive broker API keys, OAuth tokens, and database credentials using encrypted local environment secret stores (.env files with strict file permissions).</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Perform offline logic verification, mock execution passes, and API payload tests against live market data feeds at zero hosting expense.</w:t>
      </w:r>
    </w:p>
    <w:p w:rsidR="00000000" w:rsidDel="00000000" w:rsidP="00000000" w:rsidRDefault="00000000" w:rsidRPr="00000000" w14:paraId="0000002F">
      <w:pPr>
        <w:numPr>
          <w:ilvl w:val="0"/>
          <w:numId w:val="10"/>
        </w:numPr>
        <w:ind w:left="720" w:hanging="360"/>
        <w:rPr>
          <w:b w:val="1"/>
          <w:bCs w:val="1"/>
        </w:rPr>
      </w:pPr>
      <w:r w:rsidDel="00000000" w:rsidR="00000000" w:rsidRPr="00000000">
        <w:rPr>
          <w:b w:val="1"/>
          <w:bCs w:val="1"/>
          <w:rtl w:val="0"/>
        </w:rPr>
        <w:t xml:space="preserve">Stage 2: Enterprise Cloud Infrastructure &amp; Domain Deployment</w:t>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Transition containerized services to high-availability, low-latency hosted cloud instances (e.g., dedicated virtual private servers) geographically co-located near exchange data centers.</w:t>
      </w:r>
    </w:p>
    <w:p w:rsidR="00000000" w:rsidDel="00000000" w:rsidP="00000000" w:rsidRDefault="00000000" w:rsidRPr="00000000" w14:paraId="00000031">
      <w:pPr>
        <w:numPr>
          <w:ilvl w:val="0"/>
          <w:numId w:val="10"/>
        </w:numPr>
        <w:ind w:left="720" w:hanging="360"/>
        <w:rPr>
          <w:u w:val="none"/>
        </w:rPr>
      </w:pPr>
      <w:r w:rsidDel="00000000" w:rsidR="00000000" w:rsidRPr="00000000">
        <w:rPr>
          <w:rtl w:val="0"/>
        </w:rPr>
        <w:t xml:space="preserve">Procure corporate domains, enforcing TLS 1.3 encryption and automated SSL certificate management for secure endpoint communication.</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Deploy persistent background process daemons (Celery/Redis) to handle non-interactive, scheduled execution jobs and multi-account token renewal protocols.</w:t>
      </w:r>
    </w:p>
    <w:p w:rsidR="00000000" w:rsidDel="00000000" w:rsidP="00000000" w:rsidRDefault="00000000" w:rsidRPr="00000000" w14:paraId="00000033">
      <w:pPr>
        <w:pStyle w:val="Heading4"/>
        <w:rPr/>
      </w:pPr>
      <w:bookmarkStart w:colFirst="0" w:colLast="0" w:name="_9dndrs49aeth" w:id="11"/>
      <w:bookmarkEnd w:id="11"/>
      <w:r w:rsidDel="00000000" w:rsidR="00000000" w:rsidRPr="00000000">
        <w:rPr>
          <w:rtl w:val="0"/>
        </w:rPr>
        <w:t xml:space="preserve">4. Platform Functional Specifications &amp; Sensibull-Style UI Design</w:t>
      </w:r>
    </w:p>
    <w:p w:rsidR="00000000" w:rsidDel="00000000" w:rsidP="00000000" w:rsidRDefault="00000000" w:rsidRPr="00000000" w14:paraId="00000034">
      <w:pPr>
        <w:pStyle w:val="Heading5"/>
        <w:rPr/>
      </w:pPr>
      <w:bookmarkStart w:colFirst="0" w:colLast="0" w:name="_7zjlwgtrc1x1" w:id="12"/>
      <w:bookmarkEnd w:id="12"/>
      <w:r w:rsidDel="00000000" w:rsidR="00000000" w:rsidRPr="00000000">
        <w:rPr>
          <w:rtl w:val="0"/>
        </w:rPr>
        <w:t xml:space="preserve">4.1 Core UI Workflow &amp; Header Navigation</w:t>
      </w:r>
    </w:p>
    <w:p w:rsidR="00000000" w:rsidDel="00000000" w:rsidP="00000000" w:rsidRDefault="00000000" w:rsidRPr="00000000" w14:paraId="00000035">
      <w:pPr>
        <w:rPr/>
      </w:pPr>
      <w:r w:rsidDel="00000000" w:rsidR="00000000" w:rsidRPr="00000000">
        <w:rPr>
          <w:rtl w:val="0"/>
        </w:rPr>
        <w:t xml:space="preserve">The frontend user experience draws direct design inspiration from Sensibull, prioritized for rapid execution, absolute operational clarity, and immediate market situational awareness:</w:t>
      </w:r>
    </w:p>
    <w:p w:rsidR="00000000" w:rsidDel="00000000" w:rsidP="00000000" w:rsidRDefault="00000000" w:rsidRPr="00000000" w14:paraId="00000036">
      <w:pPr>
        <w:numPr>
          <w:ilvl w:val="0"/>
          <w:numId w:val="9"/>
        </w:numPr>
        <w:ind w:left="720" w:hanging="360"/>
        <w:rPr>
          <w:u w:val="none"/>
        </w:rPr>
      </w:pPr>
      <w:r w:rsidDel="00000000" w:rsidR="00000000" w:rsidRPr="00000000">
        <w:rPr>
          <w:b w:val="1"/>
          <w:bCs w:val="1"/>
          <w:rtl w:val="0"/>
        </w:rPr>
        <w:t xml:space="preserve">Primary Header Bar</w:t>
      </w:r>
      <w:r w:rsidDel="00000000" w:rsidR="00000000" w:rsidRPr="00000000">
        <w:rPr>
          <w:rtl w:val="0"/>
        </w:rPr>
        <w:t xml:space="preserve"> : Prominently displays interactive selector controls for underlying benchmark indices ( </w:t>
      </w:r>
      <w:r w:rsidDel="00000000" w:rsidR="00000000" w:rsidRPr="00000000">
        <w:rPr>
          <w:b w:val="1"/>
          <w:bCs w:val="1"/>
          <w:rtl w:val="0"/>
        </w:rPr>
        <w:t xml:space="preserve">Nifty</w:t>
      </w:r>
      <w:r w:rsidDel="00000000" w:rsidR="00000000" w:rsidRPr="00000000">
        <w:rPr>
          <w:rtl w:val="0"/>
        </w:rPr>
        <w:t xml:space="preserve"> ,  </w:t>
      </w:r>
      <w:r w:rsidDel="00000000" w:rsidR="00000000" w:rsidRPr="00000000">
        <w:rPr>
          <w:b w:val="1"/>
          <w:bCs w:val="1"/>
          <w:rtl w:val="0"/>
        </w:rPr>
        <w:t xml:space="preserve">Sensex</w:t>
      </w:r>
      <w:r w:rsidDel="00000000" w:rsidR="00000000" w:rsidRPr="00000000">
        <w:rPr>
          <w:rtl w:val="0"/>
        </w:rPr>
        <w:t xml:space="preserve"> ,  </w:t>
      </w:r>
      <w:r w:rsidDel="00000000" w:rsidR="00000000" w:rsidRPr="00000000">
        <w:rPr>
          <w:b w:val="1"/>
          <w:bCs w:val="1"/>
          <w:rtl w:val="0"/>
        </w:rPr>
        <w:t xml:space="preserve">BankNifty</w:t>
      </w:r>
      <w:r w:rsidDel="00000000" w:rsidR="00000000" w:rsidRPr="00000000">
        <w:rPr>
          <w:rtl w:val="0"/>
        </w:rPr>
        <w:t xml:space="preserve"> ).</w:t>
      </w:r>
    </w:p>
    <w:p w:rsidR="00000000" w:rsidDel="00000000" w:rsidP="00000000" w:rsidRDefault="00000000" w:rsidRPr="00000000" w14:paraId="00000037">
      <w:pPr>
        <w:numPr>
          <w:ilvl w:val="0"/>
          <w:numId w:val="9"/>
        </w:numPr>
        <w:ind w:left="720" w:hanging="360"/>
        <w:rPr>
          <w:u w:val="none"/>
        </w:rPr>
      </w:pPr>
      <w:r w:rsidDel="00000000" w:rsidR="00000000" w:rsidRPr="00000000">
        <w:rPr>
          <w:b w:val="1"/>
          <w:bCs w:val="1"/>
          <w:rtl w:val="0"/>
        </w:rPr>
        <w:t xml:space="preserve">Dynamic Spot Data Feeds</w:t>
      </w:r>
      <w:r w:rsidDel="00000000" w:rsidR="00000000" w:rsidRPr="00000000">
        <w:rPr>
          <w:rtl w:val="0"/>
        </w:rPr>
        <w:t xml:space="preserve"> : Real-time ticker displaying active underlying index spot prices adjacent to the targeted benchmark.</w:t>
      </w:r>
    </w:p>
    <w:p w:rsidR="00000000" w:rsidDel="00000000" w:rsidP="00000000" w:rsidRDefault="00000000" w:rsidRPr="00000000" w14:paraId="00000038">
      <w:pPr>
        <w:numPr>
          <w:ilvl w:val="0"/>
          <w:numId w:val="9"/>
        </w:numPr>
        <w:ind w:left="720" w:hanging="360"/>
        <w:rPr>
          <w:u w:val="none"/>
        </w:rPr>
      </w:pPr>
      <w:r w:rsidDel="00000000" w:rsidR="00000000" w:rsidRPr="00000000">
        <w:rPr>
          <w:b w:val="1"/>
          <w:bCs w:val="1"/>
          <w:rtl w:val="0"/>
        </w:rPr>
        <w:t xml:space="preserve">Dynamic Expiry Handling</w:t>
      </w:r>
      <w:r w:rsidDel="00000000" w:rsidR="00000000" w:rsidRPr="00000000">
        <w:rPr>
          <w:rtl w:val="0"/>
        </w:rPr>
        <w:t xml:space="preserve"> : Header contextually auto-populates valid weekly and monthly expiry contract dates strictly corresponding to the selected underlying index schedule.</w:t>
      </w:r>
    </w:p>
    <w:p w:rsidR="00000000" w:rsidDel="00000000" w:rsidP="00000000" w:rsidRDefault="00000000" w:rsidRPr="00000000" w14:paraId="00000039">
      <w:pPr>
        <w:pStyle w:val="Heading5"/>
        <w:rPr/>
      </w:pPr>
      <w:bookmarkStart w:colFirst="0" w:colLast="0" w:name="_2806ebi0lk7a" w:id="13"/>
      <w:bookmarkEnd w:id="13"/>
      <w:r w:rsidDel="00000000" w:rsidR="00000000" w:rsidRPr="00000000">
        <w:rPr>
          <w:rtl w:val="0"/>
        </w:rPr>
        <w:t xml:space="preserve">4.2 Strategy Framework &amp; Selection Interface</w:t>
      </w:r>
    </w:p>
    <w:p w:rsidR="00000000" w:rsidDel="00000000" w:rsidP="00000000" w:rsidRDefault="00000000" w:rsidRPr="00000000" w14:paraId="0000003A">
      <w:pPr>
        <w:rPr/>
      </w:pPr>
      <w:r w:rsidDel="00000000" w:rsidR="00000000" w:rsidRPr="00000000">
        <w:rPr>
          <w:rtl w:val="0"/>
        </w:rPr>
        <w:t xml:space="preserve">Complex multi-leg options structures are standardized into simple, high-visibility strategy selection modules:</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Index Selector Component</w:t>
      </w:r>
      <w:r w:rsidDel="00000000" w:rsidR="00000000" w:rsidRPr="00000000">
        <w:rPr>
          <w:rtl w:val="0"/>
        </w:rPr>
        <w:t xml:space="preserve"> : Global toggle adjusting downstream strategy strike intervals and calculation formulas based on the active underlying index.</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Market Outlook Panel</w:t>
      </w:r>
      <w:r w:rsidDel="00000000" w:rsidR="00000000" w:rsidRPr="00000000">
        <w:rPr>
          <w:rtl w:val="0"/>
        </w:rPr>
        <w:t xml:space="preserve"> : Preset strategy cards categorized by expected market trajectory (e.g., Neutral/Straddle logic, Bullish, Bearish controls). Triggering a card prompts the back-end to fetch live spot prices and compute strike boundaries.</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Strategy Details Modal/Panel</w:t>
      </w:r>
      <w:r w:rsidDel="00000000" w:rsidR="00000000" w:rsidRPr="00000000">
        <w:rPr>
          <w:rtl w:val="0"/>
        </w:rPr>
        <w:t xml:space="preserve"> : Displays dynamic leg options, automatically calculating and populating At-The-Money (ATM) or In-The-Money (ITM) strike buckets based on defined quantitative formulas.</w:t>
      </w:r>
    </w:p>
    <w:p w:rsidR="00000000" w:rsidDel="00000000" w:rsidP="00000000" w:rsidRDefault="00000000" w:rsidRPr="00000000" w14:paraId="0000003E">
      <w:pPr>
        <w:pStyle w:val="Heading5"/>
        <w:rPr/>
      </w:pPr>
      <w:bookmarkStart w:colFirst="0" w:colLast="0" w:name="_tyxm8hwk8pvu" w:id="14"/>
      <w:bookmarkEnd w:id="14"/>
      <w:r w:rsidDel="00000000" w:rsidR="00000000" w:rsidRPr="00000000">
        <w:rPr>
          <w:rtl w:val="0"/>
        </w:rPr>
        <w:t xml:space="preserve">4.3 Order Execution Engine ("Trade All")</w:t>
      </w:r>
    </w:p>
    <w:p w:rsidR="00000000" w:rsidDel="00000000" w:rsidP="00000000" w:rsidRDefault="00000000" w:rsidRPr="00000000" w14:paraId="0000003F">
      <w:pPr>
        <w:rPr/>
      </w:pPr>
      <w:r w:rsidDel="00000000" w:rsidR="00000000" w:rsidRPr="00000000">
        <w:rPr>
          <w:rtl w:val="0"/>
        </w:rPr>
        <w:t xml:space="preserve">Upon confirming strategy parameters, the engine aggregates leg data, calculates aggregate margin obligations, and presents an integrated order confirmation visualizer:</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STRATEGY CONFIRMATION: NEUTRAL DELTA-STRADDLE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Expiry    | Action    | Strike        | Quantity | Delta Exposure  | Theta / Day   |</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24 OCT    | SELL      | 24,500 CE     | 1 Lot    | +0.48           | +₹450.00      |</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24 OCT    | SELL      | 24,500 PE     | 1 Lot    | -0.51           | +₹480.00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ACCOUNTS: [X] ACC_01  [X] ACC_02  [X] ACC_03  [X] ACC_04  [X] ACC_05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 REQUIRED CAPITAL: ~₹1,20,000 INR   | COMBINED MARGIN STATUS: SUFFICIENT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AGGREGATE NET DELTA: -0.03               | AGGREGATE THETA DECAY:  +₹930.00/DAY    |</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TRADE ALL EXECUTE  ]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6"/>
        <w:rPr/>
      </w:pPr>
      <w:bookmarkStart w:colFirst="0" w:colLast="0" w:name="_qjkivupuc4p2" w:id="15"/>
      <w:bookmarkEnd w:id="15"/>
      <w:r w:rsidDel="00000000" w:rsidR="00000000" w:rsidRPr="00000000">
        <w:rPr>
          <w:rtl w:val="0"/>
        </w:rPr>
        <w:t xml:space="preserve">Multi-Account Broadcast Execution Engine</w:t>
      </w:r>
    </w:p>
    <w:p w:rsidR="00000000" w:rsidDel="00000000" w:rsidP="00000000" w:rsidRDefault="00000000" w:rsidRPr="00000000" w14:paraId="00000051">
      <w:pPr>
        <w:rPr/>
      </w:pPr>
      <w:r w:rsidDel="00000000" w:rsidR="00000000" w:rsidRPr="00000000">
        <w:rPr>
          <w:rtl w:val="0"/>
        </w:rPr>
        <w:t xml:space="preserve">When the user clicks  </w:t>
      </w:r>
      <w:r w:rsidDel="00000000" w:rsidR="00000000" w:rsidRPr="00000000">
        <w:rPr>
          <w:b w:val="1"/>
          <w:bCs w:val="1"/>
          <w:rtl w:val="0"/>
        </w:rPr>
        <w:t xml:space="preserve">"Trade All"</w:t>
      </w:r>
      <w:r w:rsidDel="00000000" w:rsidR="00000000" w:rsidRPr="00000000">
        <w:rPr>
          <w:rtl w:val="0"/>
        </w:rPr>
        <w:t xml:space="preserve"> , the execution engine executes a multi-account order broadcast routine across all targeted family account endpoints:</w:t>
      </w:r>
    </w:p>
    <w:p w:rsidR="00000000" w:rsidDel="00000000" w:rsidP="00000000" w:rsidRDefault="00000000" w:rsidRPr="00000000" w14:paraId="00000052">
      <w:pPr>
        <w:numPr>
          <w:ilvl w:val="0"/>
          <w:numId w:val="8"/>
        </w:numPr>
        <w:ind w:left="720" w:hanging="360"/>
        <w:rPr>
          <w:u w:val="none"/>
        </w:rPr>
      </w:pPr>
      <w:r w:rsidDel="00000000" w:rsidR="00000000" w:rsidRPr="00000000">
        <w:rPr>
          <w:b w:val="1"/>
          <w:bCs w:val="1"/>
          <w:rtl w:val="0"/>
        </w:rPr>
        <w:t xml:space="preserve">Token Management &amp; Auth Verification</w:t>
      </w:r>
      <w:r w:rsidDel="00000000" w:rsidR="00000000" w:rsidRPr="00000000">
        <w:rPr>
          <w:rtl w:val="0"/>
        </w:rPr>
        <w:t xml:space="preserve"> : The back-end fetches active encrypted access tokens for all selected family accounts from the Django secure key store.</w:t>
      </w:r>
    </w:p>
    <w:p w:rsidR="00000000" w:rsidDel="00000000" w:rsidP="00000000" w:rsidRDefault="00000000" w:rsidRPr="00000000" w14:paraId="00000053">
      <w:pPr>
        <w:numPr>
          <w:ilvl w:val="0"/>
          <w:numId w:val="8"/>
        </w:numPr>
        <w:ind w:left="720" w:hanging="360"/>
        <w:rPr>
          <w:u w:val="none"/>
        </w:rPr>
      </w:pPr>
      <w:r w:rsidDel="00000000" w:rsidR="00000000" w:rsidRPr="00000000">
        <w:rPr>
          <w:b w:val="1"/>
          <w:bCs w:val="1"/>
          <w:rtl w:val="0"/>
        </w:rPr>
        <w:t xml:space="preserve">Asynchronous Batch API Dispatcher</w:t>
      </w:r>
      <w:r w:rsidDel="00000000" w:rsidR="00000000" w:rsidRPr="00000000">
        <w:rPr>
          <w:rtl w:val="0"/>
        </w:rPr>
        <w:t xml:space="preserve"> : Utilizing Python’s asyncio and httpx asynchronous client libraries, FastAPI fires parallel HTTP REST payloads directly to broker execution endpoints.</w:t>
      </w:r>
    </w:p>
    <w:p w:rsidR="00000000" w:rsidDel="00000000" w:rsidP="00000000" w:rsidRDefault="00000000" w:rsidRPr="00000000" w14:paraId="00000054">
      <w:pPr>
        <w:numPr>
          <w:ilvl w:val="0"/>
          <w:numId w:val="8"/>
        </w:numPr>
        <w:ind w:left="720" w:hanging="360"/>
        <w:rPr>
          <w:u w:val="none"/>
        </w:rPr>
      </w:pPr>
      <w:r w:rsidDel="00000000" w:rsidR="00000000" w:rsidRPr="00000000">
        <w:rPr>
          <w:b w:val="1"/>
          <w:bCs w:val="1"/>
          <w:rtl w:val="0"/>
        </w:rPr>
        <w:t xml:space="preserve">Isolated Endpoint Resilience</w:t>
      </w:r>
      <w:r w:rsidDel="00000000" w:rsidR="00000000" w:rsidRPr="00000000">
        <w:rPr>
          <w:rtl w:val="0"/>
        </w:rPr>
        <w:t xml:space="preserve"> : Execution calls operate in isolated asynchronous tasks. If one broker API endpoint drops, times out, or rejects an order, parallel execution threads across remaining family accounts continue unblocked.</w:t>
      </w:r>
    </w:p>
    <w:p w:rsidR="00000000" w:rsidDel="00000000" w:rsidP="00000000" w:rsidRDefault="00000000" w:rsidRPr="00000000" w14:paraId="00000055">
      <w:pPr>
        <w:numPr>
          <w:ilvl w:val="0"/>
          <w:numId w:val="8"/>
        </w:numPr>
        <w:ind w:left="720" w:hanging="360"/>
        <w:rPr>
          <w:u w:val="none"/>
        </w:rPr>
      </w:pPr>
      <w:r w:rsidDel="00000000" w:rsidR="00000000" w:rsidRPr="00000000">
        <w:rPr>
          <w:b w:val="1"/>
          <w:bCs w:val="1"/>
          <w:rtl w:val="0"/>
        </w:rPr>
        <w:t xml:space="preserve">Order Response Audit</w:t>
      </w:r>
      <w:r w:rsidDel="00000000" w:rsidR="00000000" w:rsidRPr="00000000">
        <w:rPr>
          <w:rtl w:val="0"/>
        </w:rPr>
        <w:t xml:space="preserve"> : Individual order IDs, execution timestamps, and slippage metrics are returned, aggregated, and logged in the Django database, providing instantaneous UI execution feedback.</w:t>
      </w:r>
    </w:p>
    <w:p w:rsidR="00000000" w:rsidDel="00000000" w:rsidP="00000000" w:rsidRDefault="00000000" w:rsidRPr="00000000" w14:paraId="00000056">
      <w:pPr>
        <w:pStyle w:val="Heading5"/>
        <w:rPr/>
      </w:pPr>
      <w:bookmarkStart w:colFirst="0" w:colLast="0" w:name="_gz7p3gegyrci" w:id="16"/>
      <w:bookmarkEnd w:id="16"/>
      <w:r w:rsidDel="00000000" w:rsidR="00000000" w:rsidRPr="00000000">
        <w:rPr>
          <w:rtl w:val="0"/>
        </w:rPr>
        <w:t xml:space="preserve">4.4 Path Integration for External Analytics</w:t>
      </w:r>
    </w:p>
    <w:p w:rsidR="00000000" w:rsidDel="00000000" w:rsidP="00000000" w:rsidRDefault="00000000" w:rsidRPr="00000000" w14:paraId="00000057">
      <w:pPr>
        <w:rPr/>
      </w:pPr>
      <w:r w:rsidDel="00000000" w:rsidR="00000000" w:rsidRPr="00000000">
        <w:rPr>
          <w:rtl w:val="0"/>
        </w:rPr>
        <w:t xml:space="preserve">To accelerate platform rollout and eliminate duplicate UI code construction for technical charting and equity screening tools:</w:t>
      </w:r>
    </w:p>
    <w:p w:rsidR="00000000" w:rsidDel="00000000" w:rsidP="00000000" w:rsidRDefault="00000000" w:rsidRPr="00000000" w14:paraId="00000058">
      <w:pPr>
        <w:numPr>
          <w:ilvl w:val="0"/>
          <w:numId w:val="7"/>
        </w:numPr>
        <w:ind w:left="720" w:hanging="360"/>
        <w:rPr>
          <w:u w:val="none"/>
        </w:rPr>
      </w:pPr>
      <w:r w:rsidDel="00000000" w:rsidR="00000000" w:rsidRPr="00000000">
        <w:rPr>
          <w:b w:val="1"/>
          <w:bCs w:val="1"/>
          <w:rtl w:val="0"/>
        </w:rPr>
        <w:t xml:space="preserve">NSE &amp; Chartink Direct Pathing</w:t>
      </w:r>
      <w:r w:rsidDel="00000000" w:rsidR="00000000" w:rsidRPr="00000000">
        <w:rPr>
          <w:rtl w:val="0"/>
        </w:rPr>
        <w:t xml:space="preserve"> : Integrated URL redirection architecture connecting the dashboard to official  </w:t>
      </w:r>
      <w:r w:rsidDel="00000000" w:rsidR="00000000" w:rsidRPr="00000000">
        <w:rPr>
          <w:b w:val="1"/>
          <w:bCs w:val="1"/>
          <w:rtl w:val="0"/>
        </w:rPr>
        <w:t xml:space="preserve">NSE portal</w:t>
      </w:r>
      <w:r w:rsidDel="00000000" w:rsidR="00000000" w:rsidRPr="00000000">
        <w:rPr>
          <w:rtl w:val="0"/>
        </w:rPr>
        <w:t xml:space="preserve">  data tables and  </w:t>
      </w:r>
      <w:r w:rsidDel="00000000" w:rsidR="00000000" w:rsidRPr="00000000">
        <w:rPr>
          <w:b w:val="1"/>
          <w:bCs w:val="1"/>
          <w:rtl w:val="0"/>
        </w:rPr>
        <w:t xml:space="preserve">Chartink</w:t>
      </w:r>
      <w:r w:rsidDel="00000000" w:rsidR="00000000" w:rsidRPr="00000000">
        <w:rPr>
          <w:rtl w:val="0"/>
        </w:rPr>
        <w:t xml:space="preserve">  technical filter tools.</w:t>
      </w:r>
    </w:p>
    <w:p w:rsidR="00000000" w:rsidDel="00000000" w:rsidP="00000000" w:rsidRDefault="00000000" w:rsidRPr="00000000" w14:paraId="00000059">
      <w:pPr>
        <w:numPr>
          <w:ilvl w:val="0"/>
          <w:numId w:val="7"/>
        </w:numPr>
        <w:ind w:left="720" w:hanging="360"/>
        <w:rPr>
          <w:u w:val="none"/>
        </w:rPr>
      </w:pPr>
      <w:r w:rsidDel="00000000" w:rsidR="00000000" w:rsidRPr="00000000">
        <w:rPr>
          <w:b w:val="1"/>
          <w:bCs w:val="1"/>
          <w:rtl w:val="0"/>
        </w:rPr>
        <w:t xml:space="preserve">Zero-Authentication External Redirection</w:t>
      </w:r>
      <w:r w:rsidDel="00000000" w:rsidR="00000000" w:rsidRPr="00000000">
        <w:rPr>
          <w:rtl w:val="0"/>
        </w:rPr>
        <w:t xml:space="preserve"> : Dynamic path construction embeds targeted URL parameters (e.g., custom screener query strings), opening pre-filtered market queries directly inside embedded modal frames or secondary web tabs without client-side authentication overhead.</w:t>
      </w:r>
    </w:p>
    <w:p w:rsidR="00000000" w:rsidDel="00000000" w:rsidP="00000000" w:rsidRDefault="00000000" w:rsidRPr="00000000" w14:paraId="0000005A">
      <w:pPr>
        <w:numPr>
          <w:ilvl w:val="0"/>
          <w:numId w:val="7"/>
        </w:numPr>
        <w:ind w:left="720" w:hanging="360"/>
        <w:rPr>
          <w:u w:val="none"/>
        </w:rPr>
      </w:pPr>
      <w:r w:rsidDel="00000000" w:rsidR="00000000" w:rsidRPr="00000000">
        <w:rPr>
          <w:b w:val="1"/>
          <w:bCs w:val="1"/>
          <w:rtl w:val="0"/>
        </w:rPr>
        <w:t xml:space="preserve">Modular Screen-to-Execution Pipeline</w:t>
      </w:r>
      <w:r w:rsidDel="00000000" w:rsidR="00000000" w:rsidRPr="00000000">
        <w:rPr>
          <w:rtl w:val="0"/>
        </w:rPr>
        <w:t xml:space="preserve"> : Traders run advanced technical stock screeners via Chartink paths, extract output symbols, and automatically push target tickers into the platform's execution engine.</w:t>
      </w:r>
    </w:p>
    <w:p w:rsidR="00000000" w:rsidDel="00000000" w:rsidP="00000000" w:rsidRDefault="00000000" w:rsidRPr="00000000" w14:paraId="0000005B">
      <w:pPr>
        <w:pStyle w:val="Heading4"/>
        <w:rPr/>
      </w:pPr>
      <w:bookmarkStart w:colFirst="0" w:colLast="0" w:name="_vhf98f8o8nvz" w:id="17"/>
      <w:bookmarkEnd w:id="17"/>
      <w:r w:rsidDel="00000000" w:rsidR="00000000" w:rsidRPr="00000000">
        <w:rPr>
          <w:rtl w:val="0"/>
        </w:rPr>
        <w:t xml:space="preserve">5. Trading Logic, Risk Management &amp; Execution Rules</w:t>
      </w:r>
    </w:p>
    <w:p w:rsidR="00000000" w:rsidDel="00000000" w:rsidP="00000000" w:rsidRDefault="00000000" w:rsidRPr="00000000" w14:paraId="0000005C">
      <w:pPr>
        <w:pStyle w:val="Heading5"/>
        <w:rPr/>
      </w:pPr>
      <w:bookmarkStart w:colFirst="0" w:colLast="0" w:name="_rjeudb3ygw1f" w:id="18"/>
      <w:bookmarkEnd w:id="18"/>
      <w:r w:rsidDel="00000000" w:rsidR="00000000" w:rsidRPr="00000000">
        <w:rPr>
          <w:rtl w:val="0"/>
        </w:rPr>
        <w:t xml:space="preserve">5.1 Index Expiry &amp; Option Calculation Engine</w:t>
      </w:r>
    </w:p>
    <w:p w:rsidR="00000000" w:rsidDel="00000000" w:rsidP="00000000" w:rsidRDefault="00000000" w:rsidRPr="00000000" w14:paraId="0000005D">
      <w:pPr>
        <w:rPr/>
      </w:pPr>
      <w:r w:rsidDel="00000000" w:rsidR="00000000" w:rsidRPr="00000000">
        <w:rPr>
          <w:rtl w:val="0"/>
        </w:rPr>
        <w:t xml:space="preserve">Quantitative trading calculations dynamically conform to the weekly expiry schedules established by Indian exchanges:| Index | Weekly Expiry Day | Calculation &amp; Strike Selection Rules || ------ | ------ | ------ || </w:t>
      </w:r>
      <w:r w:rsidDel="00000000" w:rsidR="00000000" w:rsidRPr="00000000">
        <w:rPr>
          <w:b w:val="1"/>
          <w:bCs w:val="1"/>
          <w:rtl w:val="0"/>
        </w:rPr>
        <w:t xml:space="preserve">Nifty 50 / FinNifty</w:t>
      </w:r>
      <w:r w:rsidDel="00000000" w:rsidR="00000000" w:rsidRPr="00000000">
        <w:rPr>
          <w:rtl w:val="0"/>
        </w:rPr>
        <w:t xml:space="preserve"> | Tuesday | Fetches real-time spot price at API launch; dynamically selects ATM/ITM strike buckets based on standard 50-point intervals. Computes multi-leg capital requirements instantly. || </w:t>
      </w:r>
      <w:r w:rsidDel="00000000" w:rsidR="00000000" w:rsidRPr="00000000">
        <w:rPr>
          <w:b w:val="1"/>
          <w:bCs w:val="1"/>
          <w:rtl w:val="0"/>
        </w:rPr>
        <w:t xml:space="preserve">Sensex</w:t>
      </w:r>
      <w:r w:rsidDel="00000000" w:rsidR="00000000" w:rsidRPr="00000000">
        <w:rPr>
          <w:rtl w:val="0"/>
        </w:rPr>
        <w:t xml:space="preserve"> | Wednesday | Dynamic spot fetching; auto-populates strike selections calibrated to BSE index tick spacing and 100-point contract strike buckets. || </w:t>
      </w:r>
      <w:r w:rsidDel="00000000" w:rsidR="00000000" w:rsidRPr="00000000">
        <w:rPr>
          <w:b w:val="1"/>
          <w:bCs w:val="1"/>
          <w:rtl w:val="0"/>
        </w:rPr>
        <w:t xml:space="preserve">BankNifty</w:t>
      </w:r>
      <w:r w:rsidDel="00000000" w:rsidR="00000000" w:rsidRPr="00000000">
        <w:rPr>
          <w:rtl w:val="0"/>
        </w:rPr>
        <w:t xml:space="preserve"> | Thursday | High-volatility ATM/ITM selection algorithm; auto-maps strikes based on 100-point boundaries; conducts real-time margin availability validation. |</w:t>
      </w:r>
    </w:p>
    <w:p w:rsidR="00000000" w:rsidDel="00000000" w:rsidP="00000000" w:rsidRDefault="00000000" w:rsidRPr="00000000" w14:paraId="0000005E">
      <w:pPr>
        <w:pStyle w:val="Heading5"/>
        <w:rPr/>
      </w:pPr>
      <w:bookmarkStart w:colFirst="0" w:colLast="0" w:name="_3zjbs5k7xp87" w:id="19"/>
      <w:bookmarkEnd w:id="19"/>
      <w:r w:rsidDel="00000000" w:rsidR="00000000" w:rsidRPr="00000000">
        <w:rPr>
          <w:rtl w:val="0"/>
        </w:rPr>
        <w:t xml:space="preserve">5.2 Critical Risk Management: The 3:15 PM Hard Exit Rule</w:t>
      </w:r>
    </w:p>
    <w:p w:rsidR="00000000" w:rsidDel="00000000" w:rsidP="00000000" w:rsidRDefault="00000000" w:rsidRPr="00000000" w14:paraId="0000005F">
      <w:pPr>
        <w:rPr/>
      </w:pPr>
      <w:r w:rsidDel="00000000" w:rsidR="00000000" w:rsidRPr="00000000">
        <w:rPr>
          <w:b w:val="1"/>
          <w:bCs w:val="1"/>
          <w:rtl w:val="0"/>
        </w:rPr>
        <w:t xml:space="preserve">NOTE: MANDATORY SYSTEM-ENFORCED RISK CONTROL</w:t>
      </w:r>
      <w:r w:rsidDel="00000000" w:rsidR="00000000" w:rsidRPr="00000000">
        <w:rPr>
          <w:rtl w:val="0"/>
        </w:rPr>
        <w:t xml:space="preserve">All open intraday derivatives positions must be forcibly closed by the automated execution engine at exactly  </w:t>
      </w:r>
      <w:r w:rsidDel="00000000" w:rsidR="00000000" w:rsidRPr="00000000">
        <w:rPr>
          <w:b w:val="1"/>
          <w:bCs w:val="1"/>
          <w:rtl w:val="0"/>
        </w:rPr>
        <w:t xml:space="preserve">3:15 PM</w:t>
      </w:r>
      <w:r w:rsidDel="00000000" w:rsidR="00000000" w:rsidRPr="00000000">
        <w:rPr>
          <w:rtl w:val="0"/>
        </w:rPr>
        <w:t xml:space="preserve">  (15 minutes prior to the official 3:30 PM market close).</w:t>
      </w:r>
      <w:r w:rsidDel="00000000" w:rsidR="00000000" w:rsidRPr="00000000">
        <w:rPr>
          <w:b w:val="1"/>
          <w:bCs w:val="1"/>
          <w:rtl w:val="0"/>
        </w:rPr>
        <w:t xml:space="preserve">Technical &amp; Quantitative Rationale</w:t>
      </w:r>
      <w:r w:rsidDel="00000000" w:rsidR="00000000" w:rsidRPr="00000000">
        <w:rPr>
          <w:rtl w:val="0"/>
        </w:rPr>
        <w:t xml:space="preserve"> :</w:t>
      </w:r>
    </w:p>
    <w:p w:rsidR="00000000" w:rsidDel="00000000" w:rsidP="00000000" w:rsidRDefault="00000000" w:rsidRPr="00000000" w14:paraId="00000060">
      <w:pPr>
        <w:numPr>
          <w:ilvl w:val="0"/>
          <w:numId w:val="11"/>
        </w:numPr>
        <w:ind w:left="720" w:hanging="360"/>
        <w:rPr>
          <w:u w:val="none"/>
        </w:rPr>
      </w:pPr>
      <w:r w:rsidDel="00000000" w:rsidR="00000000" w:rsidRPr="00000000">
        <w:rPr>
          <w:b w:val="1"/>
          <w:bCs w:val="1"/>
          <w:rtl w:val="0"/>
        </w:rPr>
        <w:t xml:space="preserve">Elimination of Physical Delivery Risk</w:t>
      </w:r>
      <w:r w:rsidDel="00000000" w:rsidR="00000000" w:rsidRPr="00000000">
        <w:rPr>
          <w:rtl w:val="0"/>
        </w:rPr>
        <w:t xml:space="preserve"> : Stock options held into expiry can trigger mandatory physical settlement obligations, requiring massive underlying capital deliverables. Hard exit at 3:15 PM guarantees 100% position liquidation prior to contract expiration.</w:t>
      </w:r>
    </w:p>
    <w:p w:rsidR="00000000" w:rsidDel="00000000" w:rsidP="00000000" w:rsidRDefault="00000000" w:rsidRPr="00000000" w14:paraId="00000061">
      <w:pPr>
        <w:numPr>
          <w:ilvl w:val="0"/>
          <w:numId w:val="11"/>
        </w:numPr>
        <w:ind w:left="720" w:hanging="360"/>
        <w:rPr>
          <w:u w:val="none"/>
        </w:rPr>
      </w:pPr>
      <w:r w:rsidDel="00000000" w:rsidR="00000000" w:rsidRPr="00000000">
        <w:rPr>
          <w:b w:val="1"/>
          <w:bCs w:val="1"/>
          <w:rtl w:val="0"/>
        </w:rPr>
        <w:t xml:space="preserve">Mitigation of Cash Settlement (CS) Volatility</w:t>
      </w:r>
      <w:r w:rsidDel="00000000" w:rsidR="00000000" w:rsidRPr="00000000">
        <w:rPr>
          <w:rtl w:val="0"/>
        </w:rPr>
        <w:t xml:space="preserve"> : Avoids severe illiquidity, extreme spread widening, and unexpected cash-settlement price spikes occurring during the final 15 minutes of trading.</w:t>
      </w:r>
    </w:p>
    <w:p w:rsidR="00000000" w:rsidDel="00000000" w:rsidP="00000000" w:rsidRDefault="00000000" w:rsidRPr="00000000" w14:paraId="00000062">
      <w:pPr>
        <w:numPr>
          <w:ilvl w:val="0"/>
          <w:numId w:val="11"/>
        </w:numPr>
        <w:ind w:left="720" w:hanging="360"/>
        <w:rPr>
          <w:u w:val="none"/>
        </w:rPr>
      </w:pPr>
      <w:r w:rsidDel="00000000" w:rsidR="00000000" w:rsidRPr="00000000">
        <w:rPr>
          <w:b w:val="1"/>
          <w:bCs w:val="1"/>
          <w:rtl w:val="0"/>
        </w:rPr>
        <w:t xml:space="preserve">Slippage Prevention</w:t>
      </w:r>
      <w:r w:rsidDel="00000000" w:rsidR="00000000" w:rsidRPr="00000000">
        <w:rPr>
          <w:rtl w:val="0"/>
        </w:rPr>
        <w:t xml:space="preserve"> : Secures realized intraday profits and protects capital against unmanaged auto-square-off market orders triggered by broker RMS algorithms after 3:15 PM.</w:t>
      </w:r>
    </w:p>
    <w:p w:rsidR="00000000" w:rsidDel="00000000" w:rsidP="00000000" w:rsidRDefault="00000000" w:rsidRPr="00000000" w14:paraId="00000063">
      <w:pPr>
        <w:pStyle w:val="Heading5"/>
        <w:rPr/>
      </w:pPr>
      <w:bookmarkStart w:colFirst="0" w:colLast="0" w:name="_t8i4vz31657n" w:id="20"/>
      <w:bookmarkEnd w:id="20"/>
      <w:r w:rsidDel="00000000" w:rsidR="00000000" w:rsidRPr="00000000">
        <w:rPr>
          <w:rtl w:val="0"/>
        </w:rPr>
        <w:t xml:space="preserve">5.3 Multi-Broker Execution &amp; Asset Class Scaling Path</w:t>
      </w:r>
    </w:p>
    <w:p w:rsidR="00000000" w:rsidDel="00000000" w:rsidP="00000000" w:rsidRDefault="00000000" w:rsidRPr="00000000" w14:paraId="00000064">
      <w:pPr>
        <w:rPr/>
      </w:pPr>
      <w:r w:rsidDel="00000000" w:rsidR="00000000" w:rsidRPr="00000000">
        <w:rPr>
          <w:rtl w:val="0"/>
        </w:rPr>
        <w:t xml:space="preserve">The platform backend utilizes standard API abstraction layers to interact uniformally across broker endpoints, laying down a multi-asset class expansion sequence:</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Options Engine ] ===&gt; [ Equity Engine ] ===&gt; [ Commodity Engine ] ===&gt; [ Crypto Engine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(Intraday Focus)       (Swing / Delivery)     (Crude Oil Decays)       (24/7 Execution)</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numPr>
          <w:ilvl w:val="0"/>
          <w:numId w:val="2"/>
        </w:numPr>
        <w:ind w:left="720" w:hanging="360"/>
        <w:rPr>
          <w:u w:val="none"/>
        </w:rPr>
      </w:pPr>
      <w:r w:rsidDel="00000000" w:rsidR="00000000" w:rsidRPr="00000000">
        <w:rPr>
          <w:b w:val="1"/>
          <w:bCs w:val="1"/>
          <w:rtl w:val="0"/>
        </w:rPr>
        <w:t xml:space="preserve">Broker Unified API Wrappers</w:t>
      </w:r>
      <w:r w:rsidDel="00000000" w:rsidR="00000000" w:rsidRPr="00000000">
        <w:rPr>
          <w:rtl w:val="0"/>
        </w:rPr>
        <w:t xml:space="preserve"> : Standardized API execution interfaces communicating natively with  </w:t>
      </w:r>
      <w:r w:rsidDel="00000000" w:rsidR="00000000" w:rsidRPr="00000000">
        <w:rPr>
          <w:b w:val="1"/>
          <w:bCs w:val="1"/>
          <w:rtl w:val="0"/>
        </w:rPr>
        <w:t xml:space="preserve">Zerodha</w:t>
      </w:r>
      <w:r w:rsidDel="00000000" w:rsidR="00000000" w:rsidRPr="00000000">
        <w:rPr>
          <w:rtl w:val="0"/>
        </w:rPr>
        <w:t xml:space="preserve"> ,  </w:t>
      </w:r>
      <w:r w:rsidDel="00000000" w:rsidR="00000000" w:rsidRPr="00000000">
        <w:rPr>
          <w:b w:val="1"/>
          <w:bCs w:val="1"/>
          <w:rtl w:val="0"/>
        </w:rPr>
        <w:t xml:space="preserve">Dhan</w:t>
      </w:r>
      <w:r w:rsidDel="00000000" w:rsidR="00000000" w:rsidRPr="00000000">
        <w:rPr>
          <w:rtl w:val="0"/>
        </w:rPr>
        <w:t xml:space="preserve"> , and  </w:t>
      </w:r>
      <w:r w:rsidDel="00000000" w:rsidR="00000000" w:rsidRPr="00000000">
        <w:rPr>
          <w:b w:val="1"/>
          <w:bCs w:val="1"/>
          <w:rtl w:val="0"/>
        </w:rPr>
        <w:t xml:space="preserve">Firstock</w:t>
      </w:r>
      <w:r w:rsidDel="00000000" w:rsidR="00000000" w:rsidRPr="00000000">
        <w:rPr>
          <w:rtl w:val="0"/>
        </w:rPr>
        <w:t xml:space="preserve"> .</w:t>
      </w:r>
    </w:p>
    <w:p w:rsidR="00000000" w:rsidDel="00000000" w:rsidP="00000000" w:rsidRDefault="00000000" w:rsidRPr="00000000" w14:paraId="00000069">
      <w:pPr>
        <w:numPr>
          <w:ilvl w:val="0"/>
          <w:numId w:val="2"/>
        </w:numPr>
        <w:ind w:left="720" w:hanging="360"/>
        <w:rPr>
          <w:u w:val="none"/>
        </w:rPr>
      </w:pPr>
      <w:r w:rsidDel="00000000" w:rsidR="00000000" w:rsidRPr="00000000">
        <w:rPr>
          <w:b w:val="1"/>
          <w:bCs w:val="1"/>
          <w:rtl w:val="0"/>
        </w:rPr>
        <w:t xml:space="preserve">Crude Oil Commodity Options Mechanics</w:t>
      </w:r>
      <w:r w:rsidDel="00000000" w:rsidR="00000000" w:rsidRPr="00000000">
        <w:rPr>
          <w:rtl w:val="0"/>
        </w:rPr>
        <w:t xml:space="preserve"> :</w:t>
      </w:r>
    </w:p>
    <w:p w:rsidR="00000000" w:rsidDel="00000000" w:rsidP="00000000" w:rsidRDefault="00000000" w:rsidRPr="00000000" w14:paraId="0000006A">
      <w:pPr>
        <w:numPr>
          <w:ilvl w:val="0"/>
          <w:numId w:val="2"/>
        </w:numPr>
        <w:ind w:left="720" w:hanging="360"/>
        <w:rPr>
          <w:u w:val="none"/>
        </w:rPr>
      </w:pPr>
      <w:r w:rsidDel="00000000" w:rsidR="00000000" w:rsidRPr="00000000">
        <w:rPr>
          <w:b w:val="1"/>
          <w:bCs w:val="1"/>
          <w:rtl w:val="0"/>
        </w:rPr>
        <w:t xml:space="preserve">Expiry Cycle</w:t>
      </w:r>
      <w:r w:rsidDel="00000000" w:rsidR="00000000" w:rsidRPr="00000000">
        <w:rPr>
          <w:rtl w:val="0"/>
        </w:rPr>
        <w:t xml:space="preserve"> : Expire around the 15th of each calendar month (mid-month expiry cycle).</w:t>
      </w:r>
    </w:p>
    <w:p w:rsidR="00000000" w:rsidDel="00000000" w:rsidP="00000000" w:rsidRDefault="00000000" w:rsidRPr="00000000" w14:paraId="0000006B">
      <w:pPr>
        <w:numPr>
          <w:ilvl w:val="0"/>
          <w:numId w:val="2"/>
        </w:numPr>
        <w:ind w:left="720" w:hanging="360"/>
        <w:rPr>
          <w:u w:val="none"/>
        </w:rPr>
      </w:pPr>
      <w:r w:rsidDel="00000000" w:rsidR="00000000" w:rsidRPr="00000000">
        <w:rPr>
          <w:b w:val="1"/>
          <w:bCs w:val="1"/>
          <w:rtl w:val="0"/>
        </w:rPr>
        <w:t xml:space="preserve">Capital Efficiency</w:t>
      </w:r>
      <w:r w:rsidDel="00000000" w:rsidR="00000000" w:rsidRPr="00000000">
        <w:rPr>
          <w:rtl w:val="0"/>
        </w:rPr>
        <w:t xml:space="preserve"> : Extremely low margin thresholds (~₹7,000–₹8,000 INR per lot), providing high capital efficiency for small account sizing.</w:t>
      </w:r>
    </w:p>
    <w:p w:rsidR="00000000" w:rsidDel="00000000" w:rsidP="00000000" w:rsidRDefault="00000000" w:rsidRPr="00000000" w14:paraId="0000006C">
      <w:pPr>
        <w:numPr>
          <w:ilvl w:val="0"/>
          <w:numId w:val="2"/>
        </w:numPr>
        <w:ind w:left="720" w:hanging="360"/>
        <w:rPr>
          <w:u w:val="none"/>
        </w:rPr>
      </w:pPr>
      <w:r w:rsidDel="00000000" w:rsidR="00000000" w:rsidRPr="00000000">
        <w:rPr>
          <w:b w:val="1"/>
          <w:bCs w:val="1"/>
          <w:rtl w:val="0"/>
        </w:rPr>
        <w:t xml:space="preserve">Theta Decay Logic</w:t>
      </w:r>
      <w:r w:rsidDel="00000000" w:rsidR="00000000" w:rsidRPr="00000000">
        <w:rPr>
          <w:rtl w:val="0"/>
        </w:rPr>
        <w:t xml:space="preserve"> : Strategies exploit rapid accelerated time decay (theta decay) during the final 10 days of the contract cycle, harvesting premium decay with defined risk parameters.</w:t>
      </w:r>
    </w:p>
    <w:p w:rsidR="00000000" w:rsidDel="00000000" w:rsidP="00000000" w:rsidRDefault="00000000" w:rsidRPr="00000000" w14:paraId="0000006D">
      <w:pPr>
        <w:numPr>
          <w:ilvl w:val="0"/>
          <w:numId w:val="2"/>
        </w:numPr>
        <w:ind w:left="720" w:hanging="360"/>
        <w:rPr>
          <w:u w:val="none"/>
        </w:rPr>
      </w:pPr>
      <w:r w:rsidDel="00000000" w:rsidR="00000000" w:rsidRPr="00000000">
        <w:rPr>
          <w:b w:val="1"/>
          <w:bCs w:val="1"/>
          <w:rtl w:val="0"/>
        </w:rPr>
        <w:t xml:space="preserve">24/7 Continuous Crypto Architecture</w:t>
      </w:r>
      <w:r w:rsidDel="00000000" w:rsidR="00000000" w:rsidRPr="00000000">
        <w:rPr>
          <w:rtl w:val="0"/>
        </w:rPr>
        <w:t xml:space="preserve"> : Long-term conversion of the execution engine to handle continuous 24/7 market feeds, processing automated signals on global crypto derivative exchanges.</w:t>
      </w:r>
    </w:p>
    <w:p w:rsidR="00000000" w:rsidDel="00000000" w:rsidP="00000000" w:rsidRDefault="00000000" w:rsidRPr="00000000" w14:paraId="0000006E">
      <w:pPr>
        <w:pStyle w:val="Heading4"/>
        <w:rPr/>
      </w:pPr>
      <w:bookmarkStart w:colFirst="0" w:colLast="0" w:name="_97fii3ie6gt" w:id="21"/>
      <w:bookmarkEnd w:id="21"/>
      <w:r w:rsidDel="00000000" w:rsidR="00000000" w:rsidRPr="00000000">
        <w:rPr>
          <w:rtl w:val="0"/>
        </w:rPr>
        <w:t xml:space="preserve">6. Advanced AI Agent &amp; Data Science Roadmap</w:t>
      </w:r>
    </w:p>
    <w:p w:rsidR="00000000" w:rsidDel="00000000" w:rsidP="00000000" w:rsidRDefault="00000000" w:rsidRPr="00000000" w14:paraId="0000006F">
      <w:pPr>
        <w:pStyle w:val="Heading5"/>
        <w:rPr/>
      </w:pPr>
      <w:bookmarkStart w:colFirst="0" w:colLast="0" w:name="_tbmqs9trnuxr" w:id="22"/>
      <w:bookmarkEnd w:id="22"/>
      <w:r w:rsidDel="00000000" w:rsidR="00000000" w:rsidRPr="00000000">
        <w:rPr>
          <w:rtl w:val="0"/>
        </w:rPr>
        <w:t xml:space="preserve">6.1 Machine Learning Model Specifications</w:t>
      </w:r>
    </w:p>
    <w:p w:rsidR="00000000" w:rsidDel="00000000" w:rsidP="00000000" w:rsidRDefault="00000000" w:rsidRPr="00000000" w14:paraId="00000070">
      <w:pPr>
        <w:rPr/>
      </w:pPr>
      <w:r w:rsidDel="00000000" w:rsidR="00000000" w:rsidRPr="00000000">
        <w:rPr>
          <w:rtl w:val="0"/>
        </w:rPr>
        <w:t xml:space="preserve">Future development phases will integrate a Deep Learning predictive engine trained on extensive historical market microstructures to complement rule-based quantitative strategies.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 Years Historical Tick Data (NSE/BSE)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Preprocessing &amp; Feature Engineering: Volatility / Order Flow / Liquidity Mapping   |</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Synthetic "Stock Broker Model" Inference Engine                                  |</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Outputs Directional Trajectories, Dynamic S/R Zones, &amp; Win Probability Metrics |</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FastAPI Order Dispatcher (Automated Strategy Generation)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b w:val="1"/>
          <w:bCs w:val="1"/>
          <w:rtl w:val="0"/>
        </w:rPr>
        <w:t xml:space="preserve">Data Ingestion &amp; Preprocessing Pipeline</w:t>
      </w:r>
      <w:r w:rsidDel="00000000" w:rsidR="00000000" w:rsidRPr="00000000">
        <w:rPr>
          <w:rtl w:val="0"/>
        </w:rPr>
        <w:t xml:space="preserve"> :</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Ingestion of 10+ years of high-frequency historical tick data, depth files, and daily price series.</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Data cleaning, noise filtering, feature normalization, and structural train/validation/test splitting.</w:t>
      </w:r>
    </w:p>
    <w:p w:rsidR="00000000" w:rsidDel="00000000" w:rsidP="00000000" w:rsidRDefault="00000000" w:rsidRPr="00000000" w14:paraId="00000088">
      <w:pPr>
        <w:numPr>
          <w:ilvl w:val="0"/>
          <w:numId w:val="1"/>
        </w:numPr>
        <w:ind w:left="720" w:hanging="360"/>
        <w:rPr>
          <w:u w:val="none"/>
        </w:rPr>
      </w:pPr>
      <w:r w:rsidDel="00000000" w:rsidR="00000000" w:rsidRPr="00000000">
        <w:rPr>
          <w:b w:val="1"/>
          <w:bCs w:val="1"/>
          <w:rtl w:val="0"/>
        </w:rPr>
        <w:t xml:space="preserve">Feature Engineering &amp; Model Architecture</w:t>
      </w:r>
      <w:r w:rsidDel="00000000" w:rsidR="00000000" w:rsidRPr="00000000">
        <w:rPr>
          <w:rtl w:val="0"/>
        </w:rPr>
        <w:t xml:space="preserve"> :</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Extracting quantitative features including implied volatility (IV) skews, order flow imbalance, rate of time decay, and historical dynamic support/resistance zones.</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Training multi-layer predictive models to output dynamic probability distributions rather than static technical indicators.</w:t>
      </w:r>
    </w:p>
    <w:p w:rsidR="00000000" w:rsidDel="00000000" w:rsidP="00000000" w:rsidRDefault="00000000" w:rsidRPr="00000000" w14:paraId="0000008B">
      <w:pPr>
        <w:numPr>
          <w:ilvl w:val="0"/>
          <w:numId w:val="1"/>
        </w:numPr>
        <w:ind w:left="720" w:hanging="360"/>
        <w:rPr>
          <w:u w:val="none"/>
        </w:rPr>
      </w:pPr>
      <w:r w:rsidDel="00000000" w:rsidR="00000000" w:rsidRPr="00000000">
        <w:rPr>
          <w:b w:val="1"/>
          <w:bCs w:val="1"/>
          <w:rtl w:val="0"/>
        </w:rPr>
        <w:t xml:space="preserve">Inference Integration ("Synthetic Stock Broker Model")</w:t>
      </w:r>
      <w:r w:rsidDel="00000000" w:rsidR="00000000" w:rsidRPr="00000000">
        <w:rPr>
          <w:rtl w:val="0"/>
        </w:rPr>
        <w:t xml:space="preserve"> :</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Deploying trained models into production as an autonomous  </w:t>
      </w:r>
      <w:r w:rsidDel="00000000" w:rsidR="00000000" w:rsidRPr="00000000">
        <w:rPr>
          <w:b w:val="1"/>
          <w:bCs w:val="1"/>
          <w:rtl w:val="0"/>
        </w:rPr>
        <w:t xml:space="preserve">"Stock Broker Model"</w:t>
      </w:r>
      <w:r w:rsidDel="00000000" w:rsidR="00000000" w:rsidRPr="00000000">
        <w:rPr>
          <w:rtl w:val="0"/>
        </w:rPr>
        <w:t xml:space="preserve"> .</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The model continuously evaluates active market data, predicting short-term asset trajectories, dynamic liquidity levels, and structural breakdown probabilities to auto-generate optimized multi-leg options strategies.</w:t>
      </w:r>
    </w:p>
    <w:p w:rsidR="00000000" w:rsidDel="00000000" w:rsidP="00000000" w:rsidRDefault="00000000" w:rsidRPr="00000000" w14:paraId="0000008E">
      <w:pPr>
        <w:pStyle w:val="Heading4"/>
        <w:rPr/>
      </w:pPr>
      <w:bookmarkStart w:colFirst="0" w:colLast="0" w:name="_tz3e9w8h6be2" w:id="23"/>
      <w:bookmarkEnd w:id="23"/>
      <w:r w:rsidDel="00000000" w:rsidR="00000000" w:rsidRPr="00000000">
        <w:rPr>
          <w:rtl w:val="0"/>
        </w:rPr>
        <w:t xml:space="preserve">7. Phased Project Execution Roadmap</w:t>
      </w:r>
    </w:p>
    <w:p w:rsidR="00000000" w:rsidDel="00000000" w:rsidP="00000000" w:rsidRDefault="00000000" w:rsidRPr="00000000" w14:paraId="0000008F">
      <w:pPr>
        <w:pStyle w:val="Heading5"/>
        <w:rPr/>
      </w:pPr>
      <w:bookmarkStart w:colFirst="0" w:colLast="0" w:name="_tve3iebzc7sl" w:id="24"/>
      <w:bookmarkEnd w:id="24"/>
      <w:r w:rsidDel="00000000" w:rsidR="00000000" w:rsidRPr="00000000">
        <w:rPr>
          <w:rtl w:val="0"/>
        </w:rPr>
        <w:t xml:space="preserve">7.1 Phase-Based Implementation Timeline</w:t>
      </w:r>
    </w:p>
    <w:p w:rsidR="00000000" w:rsidDel="00000000" w:rsidP="00000000" w:rsidRDefault="00000000" w:rsidRPr="00000000" w14:paraId="00000090">
      <w:pPr>
        <w:numPr>
          <w:ilvl w:val="0"/>
          <w:numId w:val="5"/>
        </w:numPr>
        <w:ind w:left="720" w:hanging="360"/>
        <w:rPr>
          <w:b w:val="1"/>
          <w:bCs w:val="1"/>
          <w:u w:val="none"/>
        </w:rPr>
      </w:pPr>
      <w:r w:rsidDel="00000000" w:rsidR="00000000" w:rsidRPr="00000000">
        <w:rPr>
          <w:b w:val="1"/>
          <w:bCs w:val="1"/>
          <w:rtl w:val="0"/>
        </w:rPr>
        <w:t xml:space="preserve">Phase 1: Local Framework Prototype (Immediate / 1–2 Weeks – Diwali Target)</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Deploy local Django and FastAPI project skeletons with HTMX dynamic presentation layers.</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Integrate index selection header controls and core options strike selection logic.</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Validate options strike calculation formulas against live market spot feeds.</w:t>
      </w:r>
    </w:p>
    <w:p w:rsidR="00000000" w:rsidDel="00000000" w:rsidP="00000000" w:rsidRDefault="00000000" w:rsidRPr="00000000" w14:paraId="00000094">
      <w:pPr>
        <w:numPr>
          <w:ilvl w:val="0"/>
          <w:numId w:val="5"/>
        </w:numPr>
        <w:ind w:left="720" w:hanging="360"/>
        <w:rPr>
          <w:u w:val="none"/>
        </w:rPr>
      </w:pPr>
      <w:r w:rsidDel="00000000" w:rsidR="00000000" w:rsidRPr="00000000">
        <w:rPr>
          <w:b w:val="1"/>
          <w:bCs w:val="1"/>
          <w:rtl w:val="0"/>
        </w:rPr>
        <w:t xml:space="preserve">Capital Milestone</w:t>
      </w:r>
      <w:r w:rsidDel="00000000" w:rsidR="00000000" w:rsidRPr="00000000">
        <w:rPr>
          <w:rtl w:val="0"/>
        </w:rPr>
        <w:t xml:space="preserve"> : Deploy personal leadership Diwali bonus capital to conduct preliminary live execution tests on the local prototype prior to Diwali.</w:t>
      </w:r>
    </w:p>
    <w:p w:rsidR="00000000" w:rsidDel="00000000" w:rsidP="00000000" w:rsidRDefault="00000000" w:rsidRPr="00000000" w14:paraId="00000095">
      <w:pPr>
        <w:numPr>
          <w:ilvl w:val="0"/>
          <w:numId w:val="5"/>
        </w:numPr>
        <w:ind w:left="720" w:hanging="360"/>
        <w:rPr>
          <w:b w:val="1"/>
          <w:bCs w:val="1"/>
        </w:rPr>
      </w:pPr>
      <w:r w:rsidDel="00000000" w:rsidR="00000000" w:rsidRPr="00000000">
        <w:rPr>
          <w:b w:val="1"/>
          <w:bCs w:val="1"/>
          <w:rtl w:val="0"/>
        </w:rPr>
        <w:t xml:space="preserve">Phase 2: Pilot Program &amp; Internal Capital Validation (Months 1–6)</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Launch a 6-month live execution trial using internal personal and family capital reserves.</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Deploy automated strategies across 5 individual family account IDs.</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Achieve sustained target yield stability of &gt;₹25,000 INR per month per account (~₹1,25,000 INR/month total) without external capital exposure.</w:t>
      </w:r>
    </w:p>
    <w:p w:rsidR="00000000" w:rsidDel="00000000" w:rsidP="00000000" w:rsidRDefault="00000000" w:rsidRPr="00000000" w14:paraId="00000099">
      <w:pPr>
        <w:numPr>
          <w:ilvl w:val="0"/>
          <w:numId w:val="5"/>
        </w:numPr>
        <w:ind w:left="720" w:hanging="360"/>
        <w:rPr>
          <w:b w:val="1"/>
          <w:bCs w:val="1"/>
        </w:rPr>
      </w:pPr>
      <w:r w:rsidDel="00000000" w:rsidR="00000000" w:rsidRPr="00000000">
        <w:rPr>
          <w:b w:val="1"/>
          <w:bCs w:val="1"/>
          <w:rtl w:val="0"/>
        </w:rPr>
        <w:t xml:space="preserve">Phase 3: Multi-Asset Expansion &amp; Analytics Integration (Medium Term)</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Deploy Crude Oil options time-decay trading strategies targeting mid-month expiry cycles.</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Implement URL path integration for Chartink screening tools and official NSE portal embeds.</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Ingest 10+ years of tick data to begin training the predictive machine learning model pipeline.</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Expand live multi-broker execution wrappers across Zerodha, Dhan, and Firstock accounts.</w:t>
      </w:r>
    </w:p>
    <w:p w:rsidR="00000000" w:rsidDel="00000000" w:rsidP="00000000" w:rsidRDefault="00000000" w:rsidRPr="00000000" w14:paraId="0000009E">
      <w:pPr>
        <w:numPr>
          <w:ilvl w:val="0"/>
          <w:numId w:val="5"/>
        </w:numPr>
        <w:ind w:left="720" w:hanging="360"/>
        <w:rPr>
          <w:b w:val="1"/>
          <w:bCs w:val="1"/>
        </w:rPr>
      </w:pPr>
      <w:r w:rsidDel="00000000" w:rsidR="00000000" w:rsidRPr="00000000">
        <w:rPr>
          <w:b w:val="1"/>
          <w:bCs w:val="1"/>
          <w:rtl w:val="0"/>
        </w:rPr>
        <w:t xml:space="preserve">Phase 4: Commercial Entity Launch &amp; SEBI Registration (2028–2029 Target)</w:t>
      </w:r>
    </w:p>
    <w:p w:rsidR="00000000" w:rsidDel="00000000" w:rsidP="00000000" w:rsidRDefault="00000000" w:rsidRPr="00000000" w14:paraId="0000009F">
      <w:pPr>
        <w:numPr>
          <w:ilvl w:val="0"/>
          <w:numId w:val="5"/>
        </w:numPr>
        <w:ind w:left="720" w:hanging="360"/>
        <w:rPr>
          <w:u w:val="none"/>
        </w:rPr>
      </w:pPr>
      <w:r w:rsidDel="00000000" w:rsidR="00000000" w:rsidRPr="00000000">
        <w:rPr>
          <w:rtl w:val="0"/>
        </w:rPr>
        <w:t xml:space="preserve">Complete team certifications across NISM Series VIII/XV, Research Analyst (RA), NSE, and CMT pathways.</w:t>
      </w:r>
    </w:p>
    <w:p w:rsidR="00000000" w:rsidDel="00000000" w:rsidP="00000000" w:rsidRDefault="00000000" w:rsidRPr="00000000" w14:paraId="000000A0">
      <w:pPr>
        <w:numPr>
          <w:ilvl w:val="0"/>
          <w:numId w:val="5"/>
        </w:numPr>
        <w:ind w:left="720" w:hanging="360"/>
        <w:rPr>
          <w:u w:val="none"/>
        </w:rPr>
      </w:pPr>
      <w:r w:rsidDel="00000000" w:rsidR="00000000" w:rsidRPr="00000000">
        <w:rPr>
          <w:rtl w:val="0"/>
        </w:rPr>
        <w:t xml:space="preserve">Formalize SEBI company registration to legally manage external client capital and operate a commercial FinTech platform.</w:t>
      </w:r>
    </w:p>
    <w:p w:rsidR="00000000" w:rsidDel="00000000" w:rsidP="00000000" w:rsidRDefault="00000000" w:rsidRPr="00000000" w14:paraId="000000A1">
      <w:pPr>
        <w:numPr>
          <w:ilvl w:val="0"/>
          <w:numId w:val="5"/>
        </w:numPr>
        <w:ind w:left="720" w:hanging="360"/>
        <w:rPr>
          <w:u w:val="none"/>
        </w:rPr>
      </w:pPr>
      <w:r w:rsidDel="00000000" w:rsidR="00000000" w:rsidRPr="00000000">
        <w:rPr>
          <w:rtl w:val="0"/>
        </w:rPr>
        <w:t xml:space="preserve">Migrate local containerized microservices to enterprise cloud infrastructure with high-availability process management.</w:t>
      </w:r>
    </w:p>
    <w:p w:rsidR="00000000" w:rsidDel="00000000" w:rsidP="00000000" w:rsidRDefault="00000000" w:rsidRPr="00000000" w14:paraId="000000A2">
      <w:pPr>
        <w:numPr>
          <w:ilvl w:val="0"/>
          <w:numId w:val="5"/>
        </w:numPr>
        <w:ind w:left="720" w:hanging="360"/>
        <w:rPr>
          <w:u w:val="none"/>
        </w:rPr>
      </w:pPr>
      <w:r w:rsidDel="00000000" w:rsidR="00000000" w:rsidRPr="00000000">
        <w:rPr>
          <w:rtl w:val="0"/>
        </w:rPr>
        <w:t xml:space="preserve">Scale operations to manage public client capital utilizing a structured 5%–10% performance-fee revenue model.</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