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Attrition | Case Study</w:t>
      </w:r>
    </w:p>
    <w:p>
      <w:pPr>
        <w:pStyle w:val="Subtitle"/>
      </w:pPr>
      <w:r>
        <w:rPr>
          <w:color w:val="546372"/>
        </w:rPr>
        <w:t>Identifying retention priorities in junior Sales through an interactive Excel dashboard</w:t>
      </w:r>
    </w:p>
    <w:p>
      <w:r>
        <w:rPr>
          <w:color w:val="1A5D96"/>
        </w:rPr>
        <w:t>HR ANALYTICS  /  EXCEL DASHBOARD  /  1,470 EMPLOYEE RECORDS</w:t>
      </w:r>
    </w:p>
    <w:p>
      <w:pPr>
        <w:pStyle w:val="Heading1"/>
      </w:pPr>
      <w:r>
        <w:t>Executive summary</w:t>
      </w:r>
    </w:p>
    <w:p>
      <w:r>
        <w:t>This project analyzes 1,470 employee records to identify where attrition is concentrated and which observable factors warrant HR investigation. Of the 1,470 employees, 237 are flagged as having left (16.12%). Sales has the highest department-level attrition share (20.63%). The most notable subgroup is junior Sales—defined for this analysis as Department = Sales and JobLevel = 1—with 32 departures among 76 employees (42.11%).</w:t>
      </w:r>
    </w:p>
    <w:p>
      <w:r>
        <w:t>Among junior Sales employees, the attrition share is 72.73% for those recorded as working overtime (16 of 22) versus 29.63% for those without overtime (16 of 54), a 43.10-percentage-point difference. This is a strong prioritization signal, not evidence that overtime caused departures.</w:t>
      </w:r>
    </w:p>
    <w:p>
      <w:pPr>
        <w:pStyle w:val="Heading1"/>
      </w:pPr>
      <w:r>
        <w:t>1 | Business context and questions</w:t>
      </w:r>
    </w:p>
    <w:p>
      <w:pPr>
        <w:pStyle w:val="ListBullet"/>
      </w:pPr>
      <w:r>
        <w:t>Which departments and job roles have the highest attrition rates and the greatest numbers of departures?</w:t>
      </w:r>
    </w:p>
    <w:p>
      <w:pPr>
        <w:pStyle w:val="ListBullet"/>
      </w:pPr>
      <w:r>
        <w:t>How does attrition differ between junior Sales and the rest of the workforce?</w:t>
      </w:r>
    </w:p>
    <w:p>
      <w:pPr>
        <w:pStyle w:val="ListBullet"/>
      </w:pPr>
      <w:r>
        <w:t>How are overtime, tenure and job satisfaction associated with junior Sales attrition?</w:t>
      </w:r>
    </w:p>
    <w:p>
      <w:pPr>
        <w:pStyle w:val="ListBullet"/>
      </w:pPr>
      <w:r>
        <w:t>Which retention actions should HR test and measure first?</w:t>
      </w:r>
    </w:p>
    <w:p>
      <w:pPr>
        <w:pStyle w:val="Heading1"/>
      </w:pPr>
      <w:r>
        <w:t>2 | Data and methodology</w:t>
      </w:r>
    </w:p>
    <w:p>
      <w:r>
        <w:t>Source: IBM-style HR employee attrition snapshot (1,470 unique employee identifiers). Analysis performed in Microsoft Excel using Power Query, calculated columns, PivotTables, slicers and dashboard visualizations. Data were checked for missing values and errors; three constant fields (EmployeeCount, Over18 and StandardHours) were removed.</w:t>
      </w:r>
    </w:p>
    <w:tbl>
      <w:tblPr>
        <w:tblStyle w:val="LightShading-Accent1"/>
        <w:tblW w:type="auto" w:w="0"/>
        <w:jc w:val="center"/>
        <w:tblLook w:firstColumn="1" w:firstRow="1" w:lastColumn="0" w:lastRow="0" w:noHBand="0" w:noVBand="1" w:val="04A0"/>
      </w:tblPr>
      <w:tblGrid>
        <w:gridCol w:w="4925"/>
        <w:gridCol w:w="4925"/>
      </w:tblGrid>
      <w:tr>
        <w:tc>
          <w:tcPr>
            <w:tcW w:type="dxa" w:w="4925"/>
            <w:shd w:fill="163653"/>
          </w:tcPr>
          <w:p>
            <w:r>
              <w:rPr>
                <w:sz w:val="16"/>
              </w:rPr>
              <w:t>Derived field</w:t>
            </w:r>
          </w:p>
        </w:tc>
        <w:tc>
          <w:tcPr>
            <w:tcW w:type="dxa" w:w="4925"/>
            <w:shd w:fill="163653"/>
          </w:tcPr>
          <w:p>
            <w:r>
              <w:rPr>
                <w:sz w:val="16"/>
              </w:rPr>
              <w:t>Definition / use</w:t>
            </w:r>
          </w:p>
        </w:tc>
      </w:tr>
      <w:tr>
        <w:tc>
          <w:tcPr>
            <w:tcW w:type="dxa" w:w="4925"/>
            <w:vAlign w:val="center"/>
          </w:tcPr>
          <w:p>
            <w:r>
              <w:rPr>
                <w:sz w:val="16"/>
              </w:rPr>
              <w:t>Attrition_Flag</w:t>
            </w:r>
          </w:p>
        </w:tc>
        <w:tc>
          <w:tcPr>
            <w:tcW w:type="dxa" w:w="4925"/>
            <w:vAlign w:val="center"/>
          </w:tcPr>
          <w:p>
            <w:r>
              <w:rPr>
                <w:sz w:val="16"/>
              </w:rPr>
              <w:t>1 for Attrition = Yes; 0 otherwise. Average gives the share flagged as departed.</w:t>
            </w:r>
          </w:p>
        </w:tc>
      </w:tr>
      <w:tr>
        <w:tc>
          <w:tcPr>
            <w:tcW w:type="dxa" w:w="4925"/>
            <w:vAlign w:val="center"/>
          </w:tcPr>
          <w:p>
            <w:r>
              <w:rPr>
                <w:sz w:val="16"/>
              </w:rPr>
              <w:t>Junior_Sales_Flag</w:t>
            </w:r>
          </w:p>
        </w:tc>
        <w:tc>
          <w:tcPr>
            <w:tcW w:type="dxa" w:w="4925"/>
            <w:vAlign w:val="center"/>
          </w:tcPr>
          <w:p>
            <w:r>
              <w:rPr>
                <w:sz w:val="16"/>
              </w:rPr>
              <w:t>1 when Department = Sales AND JobLevel = 1; an analytical definition.</w:t>
            </w:r>
          </w:p>
        </w:tc>
      </w:tr>
      <w:tr>
        <w:tc>
          <w:tcPr>
            <w:tcW w:type="dxa" w:w="4925"/>
            <w:vAlign w:val="center"/>
          </w:tcPr>
          <w:p>
            <w:r>
              <w:rPr>
                <w:sz w:val="16"/>
              </w:rPr>
              <w:t>Tenure_Group</w:t>
            </w:r>
          </w:p>
        </w:tc>
        <w:tc>
          <w:tcPr>
            <w:tcW w:type="dxa" w:w="4925"/>
            <w:vAlign w:val="center"/>
          </w:tcPr>
          <w:p>
            <w:r>
              <w:rPr>
                <w:sz w:val="16"/>
              </w:rPr>
              <w:t>Less than 1 Year; 1–2; 3–5; 6–10; 11+ completed years.</w:t>
            </w:r>
          </w:p>
        </w:tc>
      </w:tr>
      <w:tr>
        <w:tc>
          <w:tcPr>
            <w:tcW w:type="dxa" w:w="4925"/>
            <w:vAlign w:val="center"/>
          </w:tcPr>
          <w:p>
            <w:r>
              <w:rPr>
                <w:sz w:val="16"/>
              </w:rPr>
              <w:t>Age_Group / Income_Band</w:t>
            </w:r>
          </w:p>
        </w:tc>
        <w:tc>
          <w:tcPr>
            <w:tcW w:type="dxa" w:w="4925"/>
            <w:vAlign w:val="center"/>
          </w:tcPr>
          <w:p>
            <w:r>
              <w:rPr>
                <w:sz w:val="16"/>
              </w:rPr>
              <w:t>Segmentation fields for exploratory analysis; salary currency is unspecified.</w:t>
            </w:r>
          </w:p>
        </w:tc>
      </w:tr>
    </w:tbl>
    <w:p>
      <w:r>
        <w:t>Interpretation rule: “attrition rate” in this report means the proportion flagged Attrition = Yes in this dataset. Without a defined observation period, it must not be presented as annualized employee turnover. The analysis is descriptive and observational.</w:t>
      </w:r>
    </w:p>
    <w:p>
      <w:pPr>
        <w:pStyle w:val="Heading1"/>
      </w:pPr>
      <w:r>
        <w:t>3 | Core findings</w:t>
      </w:r>
    </w:p>
    <w:tbl>
      <w:tblPr>
        <w:tblStyle w:val="LightShading-Accent1"/>
        <w:tblW w:type="auto" w:w="0"/>
        <w:jc w:val="center"/>
        <w:tblLook w:firstColumn="1" w:firstRow="1" w:lastColumn="0" w:lastRow="0" w:noHBand="0" w:noVBand="1" w:val="04A0"/>
      </w:tblPr>
      <w:tblGrid>
        <w:gridCol w:w="4925"/>
        <w:gridCol w:w="4925"/>
      </w:tblGrid>
      <w:tr>
        <w:tc>
          <w:tcPr>
            <w:tcW w:type="dxa" w:w="4925"/>
            <w:shd w:fill="163653"/>
          </w:tcPr>
          <w:p>
            <w:r>
              <w:rPr>
                <w:sz w:val="16"/>
              </w:rPr>
              <w:t>Metric</w:t>
            </w:r>
          </w:p>
        </w:tc>
        <w:tc>
          <w:tcPr>
            <w:tcW w:type="dxa" w:w="4925"/>
            <w:shd w:fill="163653"/>
          </w:tcPr>
          <w:p>
            <w:r>
              <w:rPr>
                <w:sz w:val="16"/>
              </w:rPr>
              <w:t>Result</w:t>
            </w:r>
          </w:p>
        </w:tc>
      </w:tr>
      <w:tr>
        <w:tc>
          <w:tcPr>
            <w:tcW w:type="dxa" w:w="4925"/>
            <w:vAlign w:val="center"/>
          </w:tcPr>
          <w:p>
            <w:r>
              <w:rPr>
                <w:sz w:val="16"/>
              </w:rPr>
              <w:t>Overall</w:t>
            </w:r>
          </w:p>
        </w:tc>
        <w:tc>
          <w:tcPr>
            <w:tcW w:type="dxa" w:w="4925"/>
            <w:vAlign w:val="center"/>
          </w:tcPr>
          <w:p>
            <w:r>
              <w:rPr>
                <w:sz w:val="16"/>
              </w:rPr>
              <w:t>237 / 1,470 = 16.12%</w:t>
            </w:r>
          </w:p>
        </w:tc>
      </w:tr>
      <w:tr>
        <w:tc>
          <w:tcPr>
            <w:tcW w:type="dxa" w:w="4925"/>
            <w:vAlign w:val="center"/>
          </w:tcPr>
          <w:p>
            <w:r>
              <w:rPr>
                <w:sz w:val="16"/>
              </w:rPr>
              <w:t>Sales department</w:t>
            </w:r>
          </w:p>
        </w:tc>
        <w:tc>
          <w:tcPr>
            <w:tcW w:type="dxa" w:w="4925"/>
            <w:vAlign w:val="center"/>
          </w:tcPr>
          <w:p>
            <w:r>
              <w:rPr>
                <w:sz w:val="16"/>
              </w:rPr>
              <w:t>92 / 446 = 20.63%</w:t>
            </w:r>
          </w:p>
        </w:tc>
      </w:tr>
      <w:tr>
        <w:tc>
          <w:tcPr>
            <w:tcW w:type="dxa" w:w="4925"/>
            <w:vAlign w:val="center"/>
          </w:tcPr>
          <w:p>
            <w:r>
              <w:rPr>
                <w:sz w:val="16"/>
              </w:rPr>
              <w:t>Research &amp; Development</w:t>
            </w:r>
          </w:p>
        </w:tc>
        <w:tc>
          <w:tcPr>
            <w:tcW w:type="dxa" w:w="4925"/>
            <w:vAlign w:val="center"/>
          </w:tcPr>
          <w:p>
            <w:r>
              <w:rPr>
                <w:sz w:val="16"/>
              </w:rPr>
              <w:t>133 / 961 = 13.84%</w:t>
            </w:r>
          </w:p>
        </w:tc>
      </w:tr>
      <w:tr>
        <w:tc>
          <w:tcPr>
            <w:tcW w:type="dxa" w:w="4925"/>
            <w:vAlign w:val="center"/>
          </w:tcPr>
          <w:p>
            <w:r>
              <w:rPr>
                <w:sz w:val="16"/>
              </w:rPr>
              <w:t>Human Resources</w:t>
            </w:r>
          </w:p>
        </w:tc>
        <w:tc>
          <w:tcPr>
            <w:tcW w:type="dxa" w:w="4925"/>
            <w:vAlign w:val="center"/>
          </w:tcPr>
          <w:p>
            <w:r>
              <w:rPr>
                <w:sz w:val="16"/>
              </w:rPr>
              <w:t>12 / 63 = 19.05%</w:t>
            </w:r>
          </w:p>
        </w:tc>
      </w:tr>
      <w:tr>
        <w:tc>
          <w:tcPr>
            <w:tcW w:type="dxa" w:w="4925"/>
            <w:vAlign w:val="center"/>
          </w:tcPr>
          <w:p>
            <w:r>
              <w:rPr>
                <w:sz w:val="16"/>
              </w:rPr>
              <w:t>Junior Sales</w:t>
            </w:r>
          </w:p>
        </w:tc>
        <w:tc>
          <w:tcPr>
            <w:tcW w:type="dxa" w:w="4925"/>
            <w:vAlign w:val="center"/>
          </w:tcPr>
          <w:p>
            <w:r>
              <w:rPr>
                <w:sz w:val="16"/>
              </w:rPr>
              <w:t>32 / 76 = 42.11%</w:t>
            </w:r>
          </w:p>
        </w:tc>
      </w:tr>
      <w:tr>
        <w:tc>
          <w:tcPr>
            <w:tcW w:type="dxa" w:w="4925"/>
            <w:vAlign w:val="center"/>
          </w:tcPr>
          <w:p>
            <w:r>
              <w:rPr>
                <w:sz w:val="16"/>
              </w:rPr>
              <w:t>All other employees</w:t>
            </w:r>
          </w:p>
        </w:tc>
        <w:tc>
          <w:tcPr>
            <w:tcW w:type="dxa" w:w="4925"/>
            <w:vAlign w:val="center"/>
          </w:tcPr>
          <w:p>
            <w:r>
              <w:rPr>
                <w:sz w:val="16"/>
              </w:rPr>
              <w:t>205 / 1,394 = 14.71%</w:t>
            </w:r>
          </w:p>
        </w:tc>
      </w:tr>
    </w:tbl>
    <w:p>
      <w:pPr>
        <w:pStyle w:val="Heading2"/>
      </w:pPr>
      <w:r>
        <w:t>Finding A | Junior Sales is a priority segment</w:t>
      </w:r>
    </w:p>
    <w:p>
      <w:r>
        <w:t>Junior Sales represents 76 of 1,470 employees (5.17% of the workforce) but accounts for 32 of 237 departures (13.50%). Its 42.11% attrition share is substantially higher than the 14.71% observed among all other employees. These groups are not adjusted for potentially confounding differences.</w:t>
      </w:r>
    </w:p>
    <w:p>
      <w:pPr>
        <w:pStyle w:val="Heading2"/>
      </w:pPr>
      <w:r>
        <w:t>Finding B | Overtime shows the clearest subgroup contrast</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shd w:fill="163653"/>
          </w:tcPr>
          <w:p>
            <w:r>
              <w:rPr>
                <w:sz w:val="16"/>
              </w:rPr>
              <w:t>Junior Sales overtime</w:t>
            </w:r>
          </w:p>
        </w:tc>
        <w:tc>
          <w:tcPr>
            <w:tcW w:type="dxa" w:w="2462"/>
            <w:shd w:fill="163653"/>
          </w:tcPr>
          <w:p>
            <w:r>
              <w:rPr>
                <w:sz w:val="16"/>
              </w:rPr>
              <w:t>Employees</w:t>
            </w:r>
          </w:p>
        </w:tc>
        <w:tc>
          <w:tcPr>
            <w:tcW w:type="dxa" w:w="2462"/>
            <w:shd w:fill="163653"/>
          </w:tcPr>
          <w:p>
            <w:r>
              <w:rPr>
                <w:sz w:val="16"/>
              </w:rPr>
              <w:t>Departures</w:t>
            </w:r>
          </w:p>
        </w:tc>
        <w:tc>
          <w:tcPr>
            <w:tcW w:type="dxa" w:w="2462"/>
            <w:shd w:fill="163653"/>
          </w:tcPr>
          <w:p>
            <w:r>
              <w:rPr>
                <w:sz w:val="16"/>
              </w:rPr>
              <w:t>Attrition share</w:t>
            </w:r>
          </w:p>
        </w:tc>
      </w:tr>
      <w:tr>
        <w:tc>
          <w:tcPr>
            <w:tcW w:type="dxa" w:w="2462"/>
            <w:vAlign w:val="center"/>
          </w:tcPr>
          <w:p>
            <w:r>
              <w:rPr>
                <w:sz w:val="16"/>
              </w:rPr>
              <w:t>No</w:t>
            </w:r>
          </w:p>
        </w:tc>
        <w:tc>
          <w:tcPr>
            <w:tcW w:type="dxa" w:w="2462"/>
            <w:vAlign w:val="center"/>
          </w:tcPr>
          <w:p>
            <w:r>
              <w:rPr>
                <w:sz w:val="16"/>
              </w:rPr>
              <w:t>54</w:t>
            </w:r>
          </w:p>
        </w:tc>
        <w:tc>
          <w:tcPr>
            <w:tcW w:type="dxa" w:w="2462"/>
            <w:vAlign w:val="center"/>
          </w:tcPr>
          <w:p>
            <w:r>
              <w:rPr>
                <w:sz w:val="16"/>
              </w:rPr>
              <w:t>16</w:t>
            </w:r>
          </w:p>
        </w:tc>
        <w:tc>
          <w:tcPr>
            <w:tcW w:type="dxa" w:w="2462"/>
            <w:vAlign w:val="center"/>
          </w:tcPr>
          <w:p>
            <w:r>
              <w:rPr>
                <w:sz w:val="16"/>
              </w:rPr>
              <w:t>29.63%</w:t>
            </w:r>
          </w:p>
        </w:tc>
      </w:tr>
      <w:tr>
        <w:tc>
          <w:tcPr>
            <w:tcW w:type="dxa" w:w="2462"/>
            <w:vAlign w:val="center"/>
          </w:tcPr>
          <w:p>
            <w:r>
              <w:rPr>
                <w:sz w:val="16"/>
              </w:rPr>
              <w:t>Yes</w:t>
            </w:r>
          </w:p>
        </w:tc>
        <w:tc>
          <w:tcPr>
            <w:tcW w:type="dxa" w:w="2462"/>
            <w:vAlign w:val="center"/>
          </w:tcPr>
          <w:p>
            <w:r>
              <w:rPr>
                <w:sz w:val="16"/>
              </w:rPr>
              <w:t>22</w:t>
            </w:r>
          </w:p>
        </w:tc>
        <w:tc>
          <w:tcPr>
            <w:tcW w:type="dxa" w:w="2462"/>
            <w:vAlign w:val="center"/>
          </w:tcPr>
          <w:p>
            <w:r>
              <w:rPr>
                <w:sz w:val="16"/>
              </w:rPr>
              <w:t>16</w:t>
            </w:r>
          </w:p>
        </w:tc>
        <w:tc>
          <w:tcPr>
            <w:tcW w:type="dxa" w:w="2462"/>
            <w:vAlign w:val="center"/>
          </w:tcPr>
          <w:p>
            <w:r>
              <w:rPr>
                <w:sz w:val="16"/>
              </w:rPr>
              <w:t>72.73%</w:t>
            </w:r>
          </w:p>
        </w:tc>
      </w:tr>
    </w:tbl>
    <w:p>
      <w:r>
        <w:t>The observed difference is +43.10 percentage points. The overtime group contains only 22 employees, so HR should validate workload, role mix and reporting practices before inferring mechanisms.</w:t>
      </w:r>
    </w:p>
    <w:p>
      <w:pPr>
        <w:pStyle w:val="Heading2"/>
      </w:pPr>
      <w:r>
        <w:t>Finding C | Early tenure warrants attention</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shd w:fill="163653"/>
          </w:tcPr>
          <w:p>
            <w:r>
              <w:rPr>
                <w:sz w:val="16"/>
              </w:rPr>
              <w:t>Completed tenure</w:t>
            </w:r>
          </w:p>
        </w:tc>
        <w:tc>
          <w:tcPr>
            <w:tcW w:type="dxa" w:w="2462"/>
            <w:shd w:fill="163653"/>
          </w:tcPr>
          <w:p>
            <w:r>
              <w:rPr>
                <w:sz w:val="16"/>
              </w:rPr>
              <w:t>Employees</w:t>
            </w:r>
          </w:p>
        </w:tc>
        <w:tc>
          <w:tcPr>
            <w:tcW w:type="dxa" w:w="2462"/>
            <w:shd w:fill="163653"/>
          </w:tcPr>
          <w:p>
            <w:r>
              <w:rPr>
                <w:sz w:val="16"/>
              </w:rPr>
              <w:t>Departures</w:t>
            </w:r>
          </w:p>
        </w:tc>
        <w:tc>
          <w:tcPr>
            <w:tcW w:type="dxa" w:w="2462"/>
            <w:shd w:fill="163653"/>
          </w:tcPr>
          <w:p>
            <w:r>
              <w:rPr>
                <w:sz w:val="16"/>
              </w:rPr>
              <w:t>Attrition share</w:t>
            </w:r>
          </w:p>
        </w:tc>
      </w:tr>
      <w:tr>
        <w:tc>
          <w:tcPr>
            <w:tcW w:type="dxa" w:w="2462"/>
            <w:vAlign w:val="center"/>
          </w:tcPr>
          <w:p>
            <w:r>
              <w:rPr>
                <w:sz w:val="16"/>
              </w:rPr>
              <w:t>&lt; 1 year</w:t>
            </w:r>
          </w:p>
        </w:tc>
        <w:tc>
          <w:tcPr>
            <w:tcW w:type="dxa" w:w="2462"/>
            <w:vAlign w:val="center"/>
          </w:tcPr>
          <w:p>
            <w:r>
              <w:rPr>
                <w:sz w:val="16"/>
              </w:rPr>
              <w:t>6</w:t>
            </w:r>
          </w:p>
        </w:tc>
        <w:tc>
          <w:tcPr>
            <w:tcW w:type="dxa" w:w="2462"/>
            <w:vAlign w:val="center"/>
          </w:tcPr>
          <w:p>
            <w:r>
              <w:rPr>
                <w:sz w:val="16"/>
              </w:rPr>
              <w:t>4</w:t>
            </w:r>
          </w:p>
        </w:tc>
        <w:tc>
          <w:tcPr>
            <w:tcW w:type="dxa" w:w="2462"/>
            <w:vAlign w:val="center"/>
          </w:tcPr>
          <w:p>
            <w:r>
              <w:rPr>
                <w:sz w:val="16"/>
              </w:rPr>
              <w:t>66.67%</w:t>
            </w:r>
          </w:p>
        </w:tc>
      </w:tr>
      <w:tr>
        <w:tc>
          <w:tcPr>
            <w:tcW w:type="dxa" w:w="2462"/>
            <w:vAlign w:val="center"/>
          </w:tcPr>
          <w:p>
            <w:r>
              <w:rPr>
                <w:sz w:val="16"/>
              </w:rPr>
              <w:t>1–2 years</w:t>
            </w:r>
          </w:p>
        </w:tc>
        <w:tc>
          <w:tcPr>
            <w:tcW w:type="dxa" w:w="2462"/>
            <w:vAlign w:val="center"/>
          </w:tcPr>
          <w:p>
            <w:r>
              <w:rPr>
                <w:sz w:val="16"/>
              </w:rPr>
              <w:t>40</w:t>
            </w:r>
          </w:p>
        </w:tc>
        <w:tc>
          <w:tcPr>
            <w:tcW w:type="dxa" w:w="2462"/>
            <w:vAlign w:val="center"/>
          </w:tcPr>
          <w:p>
            <w:r>
              <w:rPr>
                <w:sz w:val="16"/>
              </w:rPr>
              <w:t>16</w:t>
            </w:r>
          </w:p>
        </w:tc>
        <w:tc>
          <w:tcPr>
            <w:tcW w:type="dxa" w:w="2462"/>
            <w:vAlign w:val="center"/>
          </w:tcPr>
          <w:p>
            <w:r>
              <w:rPr>
                <w:sz w:val="16"/>
              </w:rPr>
              <w:t>40.00%</w:t>
            </w:r>
          </w:p>
        </w:tc>
      </w:tr>
      <w:tr>
        <w:tc>
          <w:tcPr>
            <w:tcW w:type="dxa" w:w="2462"/>
            <w:vAlign w:val="center"/>
          </w:tcPr>
          <w:p>
            <w:r>
              <w:rPr>
                <w:sz w:val="16"/>
              </w:rPr>
              <w:t>3–5 years</w:t>
            </w:r>
          </w:p>
        </w:tc>
        <w:tc>
          <w:tcPr>
            <w:tcW w:type="dxa" w:w="2462"/>
            <w:vAlign w:val="center"/>
          </w:tcPr>
          <w:p>
            <w:r>
              <w:rPr>
                <w:sz w:val="16"/>
              </w:rPr>
              <w:t>23</w:t>
            </w:r>
          </w:p>
        </w:tc>
        <w:tc>
          <w:tcPr>
            <w:tcW w:type="dxa" w:w="2462"/>
            <w:vAlign w:val="center"/>
          </w:tcPr>
          <w:p>
            <w:r>
              <w:rPr>
                <w:sz w:val="16"/>
              </w:rPr>
              <w:t>11</w:t>
            </w:r>
          </w:p>
        </w:tc>
        <w:tc>
          <w:tcPr>
            <w:tcW w:type="dxa" w:w="2462"/>
            <w:vAlign w:val="center"/>
          </w:tcPr>
          <w:p>
            <w:r>
              <w:rPr>
                <w:sz w:val="16"/>
              </w:rPr>
              <w:t>47.83%</w:t>
            </w:r>
          </w:p>
        </w:tc>
      </w:tr>
      <w:tr>
        <w:tc>
          <w:tcPr>
            <w:tcW w:type="dxa" w:w="2462"/>
            <w:vAlign w:val="center"/>
          </w:tcPr>
          <w:p>
            <w:r>
              <w:rPr>
                <w:sz w:val="16"/>
              </w:rPr>
              <w:t>6–10 years</w:t>
            </w:r>
          </w:p>
        </w:tc>
        <w:tc>
          <w:tcPr>
            <w:tcW w:type="dxa" w:w="2462"/>
            <w:vAlign w:val="center"/>
          </w:tcPr>
          <w:p>
            <w:r>
              <w:rPr>
                <w:sz w:val="16"/>
              </w:rPr>
              <w:t>6</w:t>
            </w:r>
          </w:p>
        </w:tc>
        <w:tc>
          <w:tcPr>
            <w:tcW w:type="dxa" w:w="2462"/>
            <w:vAlign w:val="center"/>
          </w:tcPr>
          <w:p>
            <w:r>
              <w:rPr>
                <w:sz w:val="16"/>
              </w:rPr>
              <w:t>1</w:t>
            </w:r>
          </w:p>
        </w:tc>
        <w:tc>
          <w:tcPr>
            <w:tcW w:type="dxa" w:w="2462"/>
            <w:vAlign w:val="center"/>
          </w:tcPr>
          <w:p>
            <w:r>
              <w:rPr>
                <w:sz w:val="16"/>
              </w:rPr>
              <w:t>16.67%</w:t>
            </w:r>
          </w:p>
        </w:tc>
      </w:tr>
      <w:tr>
        <w:tc>
          <w:tcPr>
            <w:tcW w:type="dxa" w:w="2462"/>
            <w:vAlign w:val="center"/>
          </w:tcPr>
          <w:p>
            <w:r>
              <w:rPr>
                <w:sz w:val="16"/>
              </w:rPr>
              <w:t>11+ years</w:t>
            </w:r>
          </w:p>
        </w:tc>
        <w:tc>
          <w:tcPr>
            <w:tcW w:type="dxa" w:w="2462"/>
            <w:vAlign w:val="center"/>
          </w:tcPr>
          <w:p>
            <w:r>
              <w:rPr>
                <w:sz w:val="16"/>
              </w:rPr>
              <w:t>1</w:t>
            </w:r>
          </w:p>
        </w:tc>
        <w:tc>
          <w:tcPr>
            <w:tcW w:type="dxa" w:w="2462"/>
            <w:vAlign w:val="center"/>
          </w:tcPr>
          <w:p>
            <w:r>
              <w:rPr>
                <w:sz w:val="16"/>
              </w:rPr>
              <w:t>0</w:t>
            </w:r>
          </w:p>
        </w:tc>
        <w:tc>
          <w:tcPr>
            <w:tcW w:type="dxa" w:w="2462"/>
            <w:vAlign w:val="center"/>
          </w:tcPr>
          <w:p>
            <w:r>
              <w:rPr>
                <w:sz w:val="16"/>
              </w:rPr>
              <w:t>0.00%</w:t>
            </w:r>
          </w:p>
        </w:tc>
      </w:tr>
    </w:tbl>
    <w:p>
      <w:r>
        <w:t>31 of 32 junior Sales departures occurred in the groups with five or fewer completed years. However, 69 of 76 junior Sales employees are in those groups; departure concentration alone does not establish disproportionate risk. The &lt;1-year and 11+-year groups are particularly small.</w:t>
      </w:r>
    </w:p>
    <w:p>
      <w:pPr>
        <w:pStyle w:val="Heading2"/>
      </w:pPr>
      <w:r>
        <w:t>Finding D | Satisfaction and overtime merit joint investigation</w:t>
      </w:r>
    </w:p>
    <w:tbl>
      <w:tblPr>
        <w:tblStyle w:val="LightShading-Accent1"/>
        <w:tblW w:type="auto" w:w="0"/>
        <w:jc w:val="center"/>
        <w:tblLook w:firstColumn="1" w:firstRow="1" w:lastColumn="0" w:lastRow="0" w:noHBand="0" w:noVBand="1" w:val="04A0"/>
      </w:tblPr>
      <w:tblGrid>
        <w:gridCol w:w="2462"/>
        <w:gridCol w:w="2462"/>
        <w:gridCol w:w="2462"/>
        <w:gridCol w:w="2462"/>
      </w:tblGrid>
      <w:tr>
        <w:tc>
          <w:tcPr>
            <w:tcW w:type="dxa" w:w="2462"/>
            <w:shd w:fill="163653"/>
          </w:tcPr>
          <w:p>
            <w:r>
              <w:rPr>
                <w:sz w:val="16"/>
              </w:rPr>
              <w:t>Satisfaction</w:t>
            </w:r>
          </w:p>
        </w:tc>
        <w:tc>
          <w:tcPr>
            <w:tcW w:type="dxa" w:w="2462"/>
            <w:shd w:fill="163653"/>
          </w:tcPr>
          <w:p>
            <w:r>
              <w:rPr>
                <w:sz w:val="16"/>
              </w:rPr>
              <w:t>No OT: rate (n)</w:t>
            </w:r>
          </w:p>
        </w:tc>
        <w:tc>
          <w:tcPr>
            <w:tcW w:type="dxa" w:w="2462"/>
            <w:shd w:fill="163653"/>
          </w:tcPr>
          <w:p>
            <w:r>
              <w:rPr>
                <w:sz w:val="16"/>
              </w:rPr>
              <w:t>OT: rate (n)</w:t>
            </w:r>
          </w:p>
        </w:tc>
        <w:tc>
          <w:tcPr>
            <w:tcW w:type="dxa" w:w="2462"/>
            <w:shd w:fill="163653"/>
          </w:tcPr>
          <w:p>
            <w:r>
              <w:rPr>
                <w:sz w:val="16"/>
              </w:rPr>
              <w:t>Overall rate</w:t>
            </w:r>
          </w:p>
        </w:tc>
      </w:tr>
      <w:tr>
        <w:tc>
          <w:tcPr>
            <w:tcW w:type="dxa" w:w="2462"/>
            <w:vAlign w:val="center"/>
          </w:tcPr>
          <w:p>
            <w:r>
              <w:rPr>
                <w:sz w:val="16"/>
              </w:rPr>
              <w:t>1</w:t>
            </w:r>
          </w:p>
        </w:tc>
        <w:tc>
          <w:tcPr>
            <w:tcW w:type="dxa" w:w="2462"/>
            <w:vAlign w:val="center"/>
          </w:tcPr>
          <w:p>
            <w:r>
              <w:rPr>
                <w:sz w:val="16"/>
              </w:rPr>
              <w:t>63.64% (11)</w:t>
            </w:r>
          </w:p>
        </w:tc>
        <w:tc>
          <w:tcPr>
            <w:tcW w:type="dxa" w:w="2462"/>
            <w:vAlign w:val="center"/>
          </w:tcPr>
          <w:p>
            <w:r>
              <w:rPr>
                <w:sz w:val="16"/>
              </w:rPr>
              <w:t>0.00% (1)</w:t>
            </w:r>
          </w:p>
        </w:tc>
        <w:tc>
          <w:tcPr>
            <w:tcW w:type="dxa" w:w="2462"/>
            <w:vAlign w:val="center"/>
          </w:tcPr>
          <w:p>
            <w:r>
              <w:rPr>
                <w:sz w:val="16"/>
              </w:rPr>
              <w:t>58.33%</w:t>
            </w:r>
          </w:p>
        </w:tc>
      </w:tr>
      <w:tr>
        <w:tc>
          <w:tcPr>
            <w:tcW w:type="dxa" w:w="2462"/>
            <w:vAlign w:val="center"/>
          </w:tcPr>
          <w:p>
            <w:r>
              <w:rPr>
                <w:sz w:val="16"/>
              </w:rPr>
              <w:t>2</w:t>
            </w:r>
          </w:p>
        </w:tc>
        <w:tc>
          <w:tcPr>
            <w:tcW w:type="dxa" w:w="2462"/>
            <w:vAlign w:val="center"/>
          </w:tcPr>
          <w:p>
            <w:r>
              <w:rPr>
                <w:sz w:val="16"/>
              </w:rPr>
              <w:t>21.43% (14)</w:t>
            </w:r>
          </w:p>
        </w:tc>
        <w:tc>
          <w:tcPr>
            <w:tcW w:type="dxa" w:w="2462"/>
            <w:vAlign w:val="center"/>
          </w:tcPr>
          <w:p>
            <w:r>
              <w:rPr>
                <w:sz w:val="16"/>
              </w:rPr>
              <w:t>100.00% (7)</w:t>
            </w:r>
          </w:p>
        </w:tc>
        <w:tc>
          <w:tcPr>
            <w:tcW w:type="dxa" w:w="2462"/>
            <w:vAlign w:val="center"/>
          </w:tcPr>
          <w:p>
            <w:r>
              <w:rPr>
                <w:sz w:val="16"/>
              </w:rPr>
              <w:t>47.62%</w:t>
            </w:r>
          </w:p>
        </w:tc>
      </w:tr>
      <w:tr>
        <w:tc>
          <w:tcPr>
            <w:tcW w:type="dxa" w:w="2462"/>
            <w:vAlign w:val="center"/>
          </w:tcPr>
          <w:p>
            <w:r>
              <w:rPr>
                <w:sz w:val="16"/>
              </w:rPr>
              <w:t>3</w:t>
            </w:r>
          </w:p>
        </w:tc>
        <w:tc>
          <w:tcPr>
            <w:tcW w:type="dxa" w:w="2462"/>
            <w:vAlign w:val="center"/>
          </w:tcPr>
          <w:p>
            <w:r>
              <w:rPr>
                <w:sz w:val="16"/>
              </w:rPr>
              <w:t>26.67% (15)</w:t>
            </w:r>
          </w:p>
        </w:tc>
        <w:tc>
          <w:tcPr>
            <w:tcW w:type="dxa" w:w="2462"/>
            <w:vAlign w:val="center"/>
          </w:tcPr>
          <w:p>
            <w:r>
              <w:rPr>
                <w:sz w:val="16"/>
              </w:rPr>
              <w:t>62.50% (8)</w:t>
            </w:r>
          </w:p>
        </w:tc>
        <w:tc>
          <w:tcPr>
            <w:tcW w:type="dxa" w:w="2462"/>
            <w:vAlign w:val="center"/>
          </w:tcPr>
          <w:p>
            <w:r>
              <w:rPr>
                <w:sz w:val="16"/>
              </w:rPr>
              <w:t>39.13%</w:t>
            </w:r>
          </w:p>
        </w:tc>
      </w:tr>
      <w:tr>
        <w:tc>
          <w:tcPr>
            <w:tcW w:type="dxa" w:w="2462"/>
            <w:vAlign w:val="center"/>
          </w:tcPr>
          <w:p>
            <w:r>
              <w:rPr>
                <w:sz w:val="16"/>
              </w:rPr>
              <w:t>4</w:t>
            </w:r>
          </w:p>
        </w:tc>
        <w:tc>
          <w:tcPr>
            <w:tcW w:type="dxa" w:w="2462"/>
            <w:vAlign w:val="center"/>
          </w:tcPr>
          <w:p>
            <w:r>
              <w:rPr>
                <w:sz w:val="16"/>
              </w:rPr>
              <w:t>14.29% (14)</w:t>
            </w:r>
          </w:p>
        </w:tc>
        <w:tc>
          <w:tcPr>
            <w:tcW w:type="dxa" w:w="2462"/>
            <w:vAlign w:val="center"/>
          </w:tcPr>
          <w:p>
            <w:r>
              <w:rPr>
                <w:sz w:val="16"/>
              </w:rPr>
              <w:t>66.67% (6)</w:t>
            </w:r>
          </w:p>
        </w:tc>
        <w:tc>
          <w:tcPr>
            <w:tcW w:type="dxa" w:w="2462"/>
            <w:vAlign w:val="center"/>
          </w:tcPr>
          <w:p>
            <w:r>
              <w:rPr>
                <w:sz w:val="16"/>
              </w:rPr>
              <w:t>30.00%</w:t>
            </w:r>
          </w:p>
        </w:tc>
      </w:tr>
    </w:tbl>
    <w:p>
      <w:r>
        <w:t>Overall junior Sales attrition share declines from 58.33% at satisfaction level 1 to 30.00% at level 4. The overtime-by-satisfaction cells are too small for strong subgroup claims, especially n = 1 at satisfaction level 1 with overtime.</w:t>
      </w:r>
    </w:p>
    <w:p>
      <w:pPr>
        <w:pStyle w:val="Heading2"/>
      </w:pPr>
      <w:r>
        <w:t>Finding E | Rate and volume identify different priorities</w:t>
      </w:r>
    </w:p>
    <w:p>
      <w:r>
        <w:t>Sales Representatives have the highest job-role attrition share (33 of 83; 39.76%). Laboratory Technicians have the largest number of departures (62 of 259; 23.94%). A retention strategy should consider both relative rates and absolute employee losses.</w:t>
      </w:r>
    </w:p>
    <w:p>
      <w:pPr>
        <w:pStyle w:val="Heading1"/>
      </w:pPr>
      <w:r>
        <w:t>4 | Dashboard deliverable</w:t>
      </w:r>
    </w:p>
    <w:p>
      <w:r>
        <w:t>The Excel dashboard contains KPI cards (total employees, departures, overall attrition, junior Sales attrition and overtime attrition); slicers for Department, OverTime and Job Level; a department comparison chart; junior Sales overtime doughnut comparison; junior Sales tenure combo chart; job-role attrition heatmap; junior Sales satisfaction/overtime grouped bars; and a compact junior Sales left-versus-retained doughnut.</w:t>
      </w:r>
    </w:p>
    <w:p>
      <w:r>
        <w:t>Some charts are intentionally fixed to junior Sales or to the full workforce. Slicer/report connections should be documented so viewers know which metrics respond to filters.</w:t>
      </w:r>
    </w:p>
    <w:p>
      <w:pPr>
        <w:pStyle w:val="Heading1"/>
      </w:pPr>
      <w:r>
        <w:t>5 | Limitations and responsible interpretation</w:t>
      </w:r>
    </w:p>
    <w:p>
      <w:pPr>
        <w:pStyle w:val="ListBullet"/>
      </w:pPr>
      <w:r>
        <w:t>Cross-sectional snapshot: no departure dates or defined observation window; percentages are not annualized turnover.</w:t>
      </w:r>
    </w:p>
    <w:p>
      <w:pPr>
        <w:pStyle w:val="ListBullet"/>
      </w:pPr>
      <w:r>
        <w:t>Association is not causation. Overtime, satisfaction and tenure may be correlated with unobserved factors.</w:t>
      </w:r>
    </w:p>
    <w:p>
      <w:pPr>
        <w:pStyle w:val="ListBullet"/>
      </w:pPr>
      <w:r>
        <w:t>Small junior Sales subgroups create unstable percentages; show counts alongside rates.</w:t>
      </w:r>
    </w:p>
    <w:p>
      <w:pPr>
        <w:pStyle w:val="ListBullet"/>
      </w:pPr>
      <w:r>
        <w:t>Junior Sales is defined analytically by Sales + JobLevel 1, not by an official HR job family.</w:t>
      </w:r>
    </w:p>
    <w:p>
      <w:pPr>
        <w:pStyle w:val="ListBullet"/>
      </w:pPr>
      <w:r>
        <w:t>MonthlyIncome currency is unknown. Junior Sales income bands (41.54% below 3K, n=65; 45.45% at 3K–6K, n=11) do not support a clear pay-related conclusion.</w:t>
      </w:r>
    </w:p>
    <w:p>
      <w:pPr>
        <w:pStyle w:val="ListBullet"/>
      </w:pPr>
      <w:r>
        <w:t>The dataset is a practice/portfolio dataset; results are not evidence about an identified real employer.</w:t>
      </w:r>
    </w:p>
    <w:p>
      <w:pPr>
        <w:pStyle w:val="Heading1"/>
      </w:pPr>
      <w:r>
        <w:t>6 | Conclusion</w:t>
      </w:r>
    </w:p>
    <w:p>
      <w:r>
        <w:t>The most defensible next step is a targeted, measured investigation of junior Sales workloads, onboarding and employee experience. HR should pair this snapshot with dated HRIS exits, overtime hours, compensation benchmarks, manager assignments and exit-interview themes, then test interventions with appropriate controls and monitoring.</w:t>
      </w:r>
    </w:p>
    <w:sectPr w:rsidR="00FC693F" w:rsidRPr="0006063C" w:rsidSect="00034616">
      <w:footerReference w:type="default" r:id="rId9"/>
      <w:pgSz w:w="12240" w:h="15840"/>
      <w:pgMar w:top="1037" w:right="1195" w:bottom="936"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372"/>
      </w:rPr>
      <w:t>HR Attrition Analytics  •  Portfolio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5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25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53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