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240"/>
        <w:jc w:val="center"/>
      </w:pPr>
      <w:r>
        <w:rPr>
          <w:b/>
          <w:color w:val="111111"/>
          <w:sz w:val="36"/>
        </w:rPr>
        <w:t>Feedback-Corrected Conformal Prediction for Spatiotemporal Crime Forecasting</w:t>
      </w:r>
    </w:p>
    <w:p>
      <w:r>
        <w:rPr>
          <w:b/>
        </w:rPr>
        <w:t>Abstract</w:t>
      </w:r>
      <w:r>
        <w:t xml:space="preserve"> — Crime records are not crime. Records are produced by a loop: records direct patrols, patrols determine where crime is looked for, and the loop amplifies whatever disparity it began with. A forecaster fit on such records can be exactly calibrated against the record and badly wrong about reality, and no validation on records distinguishes the two cases. We formalize the loop as a fixed point, derive the elasticity with which it amplifies latent disparity, and invert it. The inversion is exact: deflating the recorded rate by the fitted recording multiplier recovers the latent rate identically, and the intervals are valid conditional on a retention rule we state and measure. In simulation at feedback gain 0.85, intervals calibrated on the record cover latent incidence 16.2% of the time against a 90% target; the corrected intervals hold 93.0%, on the 15% of cells they do not abstain on. Under bounded misspecification a Γ-inflated interval retains nominal coverage at a tabulated width cost. The forecaster is a dual-graph GATv2 model with a zero-inflated negative binomial head and a five-seed ensemble: CRPS 2.8267 (Chicago) and 3.1401 (New York) on 2023, ahead of four deep baselines in all eight Diebold–Mariano comparisons at p &lt; 2e-6, with 90.75% and 90.02% conformal coverage under a pre-registered 3% disparity ceiling. Three limits: a rolling historical average beats every deep baseline we ran; Chicago's probability integral transform is non-uniform at p = 5.25e-47; and the feedback gain is not point-identified, so real-data results are sensitivity analyses.</w:t>
      </w:r>
    </w:p>
    <w:p>
      <w:r>
        <w:rPr>
          <w:b/>
        </w:rPr>
        <w:t>Index Terms</w:t>
      </w:r>
      <w:r>
        <w:t xml:space="preserve"> — conformal prediction, crime forecasting, algorithmic fairness, feedback loops, measurement error, zero-inflated models, graph neural networks</w:t>
      </w:r>
    </w:p>
    <w:p>
      <w:pPr>
        <w:spacing w:before="280" w:after="80"/>
      </w:pPr>
      <w:r>
        <w:rPr>
          <w:b/>
          <w:color w:val="1B365D"/>
          <w:sz w:val="27"/>
        </w:rPr>
        <w:t>I. Introduction</w:t>
      </w:r>
    </w:p>
    <w:p>
      <w:r>
        <w:t>A crime forecast is also an instrument for producing the data that will train its successor. Weather forecasts do not change the weather. Crime forecasts direct patrols, patrols determine where crime is looked for, and crime that nobody looks for goes unrecorded. Send officers to a block and its recorded rate rises even if the underlying rate holds perfectly still. The training data is an artifact of past decisions by the system one is trying to improve.</w:t>
      </w:r>
    </w:p>
    <w:p>
      <w:r>
        <w:t xml:space="preserve">The consequence is a blind spot in validation, and it is structural rather than a matter of insufficient care. Hold out a year, compute the Continuous Ranked Probability Score (CRPS), check interval coverage: passing every such test establishes that the model predicts </w:t>
      </w:r>
      <w:r>
        <w:rPr>
          <w:i/>
        </w:rPr>
        <w:t>records</w:t>
      </w:r>
      <w:r>
        <w:t xml:space="preserve"> well and settles nothing about whether it predicts </w:t>
      </w:r>
      <w:r>
        <w:rPr>
          <w:i/>
        </w:rPr>
        <w:t>crime</w:t>
      </w:r>
      <w:r>
        <w:t xml:space="preserve"> well. The two quantities diverge precisely where the stakes are highest, in the neighbourhoods that were over-policed to begin with. Ensign et al. [1] named the loop and showed it runs away. van Amsterdam et al. [2] characterized the general pattern: a model accurate and harmful at once, undetectable by passive validation. Neither supplies a correction.</w:t>
      </w:r>
    </w:p>
    <w:p>
      <w:r>
        <w:t>This paper supplies one, and states the conditions under which it holds.</w:t>
      </w:r>
    </w:p>
    <w:p>
      <w:r>
        <w:t xml:space="preserve">Our starting point is a fixed-point model. Latent incidence </w:t>
      </w:r>
      <w:r>
        <w:rPr>
          <w:i/>
        </w:rPr>
        <w:t>λ_s</w:t>
      </w:r>
      <w:r>
        <w:t xml:space="preserve"> in area </w:t>
      </w:r>
      <w:r>
        <w:rPr>
          <w:i/>
        </w:rPr>
        <w:t>s</w:t>
      </w:r>
      <w:r>
        <w:t xml:space="preserve"> is</w:t>
      </w:r>
    </w:p>
    <w:p>
      <w:r>
        <w:t xml:space="preserve">unobserved. A policy allocates attention </w:t>
      </w:r>
      <w:r>
        <w:rPr>
          <w:i/>
        </w:rPr>
        <w:t>a_s</w:t>
      </w:r>
      <w:r>
        <w:t xml:space="preserve"> = </w:t>
      </w:r>
      <w:r>
        <w:rPr>
          <w:i/>
        </w:rPr>
        <w:t>π</w:t>
      </w:r>
      <w:r>
        <w:t>(</w:t>
      </w:r>
      <w:r>
        <w:rPr>
          <w:i/>
        </w:rPr>
        <w:t>μ_s</w:t>
      </w:r>
      <w:r>
        <w:t>) based on the</w:t>
      </w:r>
    </w:p>
    <w:p>
      <w:r>
        <w:t xml:space="preserve">recorded-rate estimate </w:t>
      </w:r>
      <w:r>
        <w:rPr>
          <w:i/>
        </w:rPr>
        <w:t>μ_s</w:t>
      </w:r>
      <w:r>
        <w:t>. Recording is attention-dependent:</w:t>
      </w:r>
    </w:p>
    <w:p>
      <w:r>
        <w:rPr>
          <w:i/>
        </w:rPr>
        <w:t>y_s</w:t>
      </w:r>
      <w:r>
        <w:t xml:space="preserve"> ~ Poisson(</w:t>
      </w:r>
      <w:r>
        <w:rPr>
          <w:i/>
        </w:rPr>
        <w:t>λ_s</w:t>
      </w:r>
      <w:r>
        <w:t xml:space="preserve"> </w:t>
      </w:r>
      <w:r>
        <w:rPr>
          <w:i/>
        </w:rPr>
        <w:t>g</w:t>
      </w:r>
      <w:r>
        <w:t>(</w:t>
      </w:r>
      <w:r>
        <w:rPr>
          <w:i/>
        </w:rPr>
        <w:t>a_s</w:t>
      </w:r>
      <w:r>
        <w:t xml:space="preserve">)) with </w:t>
      </w:r>
      <w:r>
        <w:rPr>
          <w:i/>
        </w:rPr>
        <w:t>g</w:t>
      </w:r>
      <w:r>
        <w:t xml:space="preserve"> increasing. A learner that fits the</w:t>
      </w:r>
    </w:p>
    <w:p>
      <w:r>
        <w:t xml:space="preserve">records converges to </w:t>
      </w:r>
      <w:r>
        <w:rPr>
          <w:i/>
        </w:rPr>
        <w:t>μ_s</w:t>
      </w:r>
      <w:r>
        <w:t xml:space="preserve"> = </w:t>
      </w:r>
      <w:r>
        <w:rPr>
          <w:i/>
        </w:rPr>
        <w:t>λ_s</w:t>
      </w:r>
      <w:r>
        <w:t xml:space="preserve"> </w:t>
      </w:r>
      <w:r>
        <w:rPr>
          <w:i/>
        </w:rPr>
        <w:t>g</w:t>
      </w:r>
      <w:r>
        <w:t>(</w:t>
      </w:r>
      <w:r>
        <w:rPr>
          <w:i/>
        </w:rPr>
        <w:t>π</w:t>
      </w:r>
      <w:r>
        <w:t>(</w:t>
      </w:r>
      <w:r>
        <w:rPr>
          <w:i/>
        </w:rPr>
        <w:t>μ_s</w:t>
      </w:r>
      <w:r>
        <w:t>)). Define the feedback gain</w:t>
      </w:r>
    </w:p>
    <w:p>
      <w:r>
        <w:t>κ = (d log a / d log μ)(d log g / d log a)          (1)</w:t>
      </w:r>
    </w:p>
    <w:p>
      <w:r>
        <w:t>the product of how strongly allocation responds to the record and how strongly</w:t>
      </w:r>
    </w:p>
    <w:p>
      <w:r>
        <w:t>recording responds to allocation. From this,</w:t>
      </w:r>
    </w:p>
    <w:p>
      <w:r>
        <w:t>d log μ_s / d log λ_s = 1 / (1 − κ)                  (2)</w:t>
      </w:r>
    </w:p>
    <w:p>
      <w:r>
        <w:t>so recorded disparity is true disparity raised to 1/(1 − κ), with a pole at</w:t>
      </w:r>
    </w:p>
    <w:p>
      <w:r>
        <w:t>κ = 1. We want to be careful about credit here, because this closed form is</w:t>
      </w:r>
    </w:p>
    <w:p>
      <w:r>
        <w:t>old. It is the closed-loop gain of a feedback amplifier, and in economics it is</w:t>
      </w:r>
    </w:p>
    <w:p>
      <w:r>
        <w:t>the social multiplier of Glaeser, Sacerdote and Scheinkman [3]. We claim</w:t>
      </w:r>
    </w:p>
    <w:p>
      <w:r>
        <w:t>neither. What we contribute is the constructive step that follows: given an</w:t>
      </w:r>
    </w:p>
    <w:p>
      <w:r>
        <w:t>estimate of κ, deflate the record by the recording multiplier and issue</w:t>
      </w:r>
    </w:p>
    <w:p>
      <w:r>
        <w:t xml:space="preserve">prediction intervals valid for </w:t>
      </w:r>
      <w:r>
        <w:rPr>
          <w:i/>
        </w:rPr>
        <w:t>λ</w:t>
      </w:r>
      <w:r>
        <w:t xml:space="preserve">, not for </w:t>
      </w:r>
      <w:r>
        <w:rPr>
          <w:i/>
        </w:rPr>
        <w:t>y</w:t>
      </w:r>
      <w:r>
        <w:t>, with abstention where the</w:t>
      </w:r>
    </w:p>
    <w:p>
      <w:r>
        <w:t>correction becomes untrustworthy.</w:t>
      </w:r>
    </w:p>
    <w:p>
      <w:r>
        <w:t>The empirical picture, in one paragraph. CIVIC-SAFE forecasts a full ZINB</w:t>
      </w:r>
    </w:p>
    <w:p>
      <w:r>
        <w:t>distribution per area-week-category and achieves CRPS 2.8267 (Chicago) and</w:t>
      </w:r>
    </w:p>
    <w:p>
      <w:r>
        <w:t>3.1401 (NYC) on 2023, ahead of every baseline we tried, with all eight</w:t>
      </w:r>
    </w:p>
    <w:p>
      <w:r>
        <w:t>head-to-head Diebold-Mariano comparisons against deep baselines significant at</w:t>
      </w:r>
    </w:p>
    <w:p>
      <w:r>
        <w:t>p &lt; 2e-6. Post-hoc conformal calibration lands at 90.75% and 90.02% coverage</w:t>
      </w:r>
    </w:p>
    <w:p>
      <w:r>
        <w:t>against a 90% target while keeping demographic coverage disparity at 0.0238 and</w:t>
      </w:r>
    </w:p>
    <w:p>
      <w:r>
        <w:t>0.0286, both under a ceiling we fixed at 0.03 before looking. Then the</w:t>
      </w:r>
    </w:p>
    <w:p>
      <w:r>
        <w:t>correction: in a closed-loop simulation at κ = 0.85, intervals calibrated on the</w:t>
      </w:r>
    </w:p>
    <w:p>
      <w:r>
        <w:t>record cover the latent process only 16.2% of the time, while corrected</w:t>
      </w:r>
    </w:p>
    <w:p>
      <w:r>
        <w:t>intervals hold 93.0%. On real Chicago and NYC records, correction reduces</w:t>
      </w:r>
    </w:p>
    <w:p>
      <w:r>
        <w:t>recorded-exposure disparity for the higher-minority stratum by 58% and 61%.</w:t>
      </w:r>
    </w:p>
    <w:p>
      <w:r>
        <w:t>We also found things that do not work, and we would rather say them here than</w:t>
      </w:r>
    </w:p>
    <w:p>
      <w:r>
        <w:t>have a referee say them. Chicago's PIT histogram is not uniform — chi-square</w:t>
      </w:r>
    </w:p>
    <w:p>
      <w:r>
        <w:t>241.84 on nine degrees of freedom, p = 5e-47 — so the ZINB is misspecified in</w:t>
      </w:r>
    </w:p>
    <w:p>
      <w:r>
        <w:t>Chicago's right tail. A single CIVIC-SAFE seed loses to TFT-ZINB; we win because</w:t>
      </w:r>
    </w:p>
    <w:p>
      <w:r>
        <w:t>of ensembling. The corrected intervals at κ = 0.85 abstain on 85% of cells, so</w:t>
      </w:r>
    </w:p>
    <w:p>
      <w:r>
        <w:t>the headline 16% → 93% compares two different denominators, and we label it as</w:t>
      </w:r>
    </w:p>
    <w:p>
      <w:r>
        <w:t>such everywhere it appears. Section VI collects these.</w:t>
      </w:r>
    </w:p>
    <w:p>
      <w:r>
        <w:t>Contributions:</w:t>
      </w:r>
    </w:p>
    <w:p>
      <w:r>
        <w:t>1. A feedback-corrected conformal predictor that restores coverage of the latent</w:t>
      </w:r>
    </w:p>
    <w:p>
      <w:r>
        <w:t>process from a biased record, with principled abstention (Section III-E). To</w:t>
      </w:r>
    </w:p>
    <w:p>
      <w:r>
        <w:t>our knowledge this is the first correction rather than diagnosis of the</w:t>
      </w:r>
    </w:p>
    <w:p>
      <w:r>
        <w:t>predictive-policing feedback pathology.</w:t>
      </w:r>
    </w:p>
    <w:p>
      <w:r>
        <w:t>2. A coordinate-free form of the amplification elasticity, with κ as a product</w:t>
      </w:r>
    </w:p>
    <w:p>
      <w:r>
        <w:t>of two log-elasticities, plus the disparity power law — a sharpening of [1]</w:t>
      </w:r>
    </w:p>
    <w:p>
      <w:r>
        <w:t>that cites [3] for the gain itself.</w:t>
      </w:r>
    </w:p>
    <w:p>
      <w:r>
        <w:t>3. A competitive applied forecaster with honest calibration: full distributional</w:t>
      </w:r>
    </w:p>
    <w:p>
      <w:r>
        <w:t>forecasts, ten conformal variants compared, and constraint-based method</w:t>
      </w:r>
    </w:p>
    <w:p>
      <w:r>
        <w:t>selection that refuses methods violating a pre-registered fairness ceiling</w:t>
      </w:r>
    </w:p>
    <w:p>
      <w:r>
        <w:t>(Sections III-D, V-C).</w:t>
      </w:r>
    </w:p>
    <w:p>
      <w:r>
        <w:t>4. An accounting of what the system cannot do, including a misspecification</w:t>
      </w:r>
    </w:p>
    <w:p>
      <w:r>
        <w:t>failure on one of two cities.</w:t>
      </w:r>
    </w:p>
    <w:p>
      <w:pPr>
        <w:spacing w:before="280" w:after="80"/>
      </w:pPr>
      <w:r>
        <w:rPr>
          <w:b/>
          <w:color w:val="1B365D"/>
          <w:sz w:val="27"/>
        </w:rPr>
        <w:t>II. Related Work</w:t>
      </w:r>
    </w:p>
    <w:p>
      <w:r>
        <w:rPr>
          <w:b/>
        </w:rPr>
        <w:t>Spatiotemporal crime and count forecasting.</w:t>
      </w:r>
      <w:r>
        <w:t xml:space="preserve"> ZINB output heads on graph</w:t>
      </w:r>
    </w:p>
    <w:p>
      <w:r>
        <w:t>networks are established for sparse urban counts. STZINB-GNN [4] pairs a</w:t>
      </w:r>
    </w:p>
    <w:p>
      <w:r>
        <w:t>zero-inflated negative binomial likelihood with a spatiotemporal graph encoder</w:t>
      </w:r>
    </w:p>
    <w:p>
      <w:r>
        <w:t>for demand prediction, and STMGNN-ZINB [5] extends the idea with multi-graph</w:t>
      </w:r>
    </w:p>
    <w:p>
      <w:r>
        <w:t>fusion. Our predictor sits in this family and we make no architectural novelty</w:t>
      </w:r>
    </w:p>
    <w:p>
      <w:r>
        <w:t>claim for it. GATv2 [6] supplies the attention operator; we use two adjacency</w:t>
      </w:r>
    </w:p>
    <w:p>
      <w:r>
        <w:t>structures (queen contiguity and k-nearest neighbours) rather than one.</w:t>
      </w:r>
    </w:p>
    <w:p>
      <w:r>
        <w:rPr>
          <w:b/>
        </w:rPr>
        <w:t>Conformal prediction.</w:t>
      </w:r>
      <w:r>
        <w:t xml:space="preserve"> Split conformal gives distribution-free finite-sample</w:t>
      </w:r>
    </w:p>
    <w:p>
      <w:r>
        <w:t>coverage under exchangeability. Conformalized quantile regression [7] supplies</w:t>
      </w:r>
    </w:p>
    <w:p>
      <w:r>
        <w:t>the score we use. Adaptive conformal inference [8] handles distribution drift by</w:t>
      </w:r>
    </w:p>
    <w:p>
      <w:r>
        <w:t>updating the miscoverage target online, and equalized conditional risk control</w:t>
      </w:r>
    </w:p>
    <w:p>
      <w:r>
        <w:t>[9] gives per-group high-probability coverage via concentration bounds. All four</w:t>
      </w:r>
    </w:p>
    <w:p>
      <w:r>
        <w:t>are applied here as published. What conformal prediction guarantees, though, is</w:t>
      </w:r>
    </w:p>
    <w:p>
      <w:r>
        <w:t>coverage of the variable you calibrated against — which is the record. That is</w:t>
      </w:r>
    </w:p>
    <w:p>
      <w:r>
        <w:t>the gap this paper addresses.</w:t>
      </w:r>
    </w:p>
    <w:p>
      <w:r>
        <w:t>The nearest-looking remedy is weighted conformal prediction under covariate shift</w:t>
      </w:r>
    </w:p>
    <w:p>
      <w:r>
        <w:t>[21], and it is worth saying precisely why it does not close that gap. Weighted</w:t>
      </w:r>
    </w:p>
    <w:p>
      <w:r>
        <w:t>CP reweights the calibration scores by a covariate likelihood ratio</w:t>
      </w:r>
    </w:p>
    <w:p>
      <w:r>
        <w:t>w(x) = dQ_X/dP_X(x), and its validity rests on the conditional outcome law being</w:t>
      </w:r>
    </w:p>
    <w:p>
      <w:r>
        <w:t>invariant, P(Y|X) = Q(Y|X): the covariate marginal may move, the outcome</w:t>
      </w:r>
    </w:p>
    <w:p>
      <w:r>
        <w:t>mechanism may not. Our distortion is the opposite kind. The covariates do not</w:t>
      </w:r>
    </w:p>
    <w:p>
      <w:r>
        <w:t xml:space="preserve">shift. The </w:t>
      </w:r>
      <w:r>
        <w:rPr>
          <w:i/>
        </w:rPr>
        <w:t>outcome</w:t>
      </w:r>
      <w:r>
        <w:t xml:space="preserve"> does, because attention multiplies the recording intensity,</w:t>
      </w:r>
    </w:p>
    <w:p>
      <w:r>
        <w:t>so P(Y|X) is exactly what the feedback loop bends — and the quantity we want to</w:t>
      </w:r>
    </w:p>
    <w:p>
      <w:r>
        <w:t>cover, λ, is never observed in any sample. There is no pair of covariate</w:t>
      </w:r>
    </w:p>
    <w:p>
      <w:r>
        <w:t>distributions here and so no density ratio to estimate; the object that needs</w:t>
      </w:r>
    </w:p>
    <w:p>
      <w:r>
        <w:t>inverting is the multiplicative recording factor m_s.</w:t>
      </w:r>
    </w:p>
    <w:p>
      <w:r>
        <w:t xml:space="preserve">Stated more generally, the covariate-shift line of work extends </w:t>
      </w:r>
      <w:r>
        <w:rPr>
          <w:i/>
        </w:rPr>
        <w:t>which</w:t>
      </w:r>
    </w:p>
    <w:p>
      <w:r>
        <w:t>exchangeability condition a calibration set must satisfy — plain exchangeability,</w:t>
      </w:r>
    </w:p>
    <w:p>
      <w:r>
        <w:t>then weighted exchangeability under covariate shift, then online adaptation under</w:t>
      </w:r>
    </w:p>
    <w:p>
      <w:r>
        <w:t>drift — while holding the target variable fixed. We move along a different axis:</w:t>
      </w:r>
    </w:p>
    <w:p>
      <w:r>
        <w:t>the target variable itself changes, from the recorded y to the latent λ. The two</w:t>
      </w:r>
    </w:p>
    <w:p>
      <w:r>
        <w:t>compose rather than compete, since weighted CP could be applied to the deflated</w:t>
      </w:r>
    </w:p>
    <w:p>
      <w:r>
        <w:t>rate if covariates shifted too. Section III-D makes the structural version of</w:t>
      </w:r>
    </w:p>
    <w:p>
      <w:r>
        <w:t>this argument, which turns out to cover the whole reweighting family rather than</w:t>
      </w:r>
    </w:p>
    <w:p>
      <w:r>
        <w:t>only its covariate-shift member.</w:t>
      </w:r>
    </w:p>
    <w:p>
      <w:r>
        <w:rPr>
          <w:b/>
        </w:rPr>
        <w:t>Feedback loops in predictive policing.</w:t>
      </w:r>
      <w:r>
        <w:t xml:space="preserve"> Ensign et al. [1] formalized the</w:t>
      </w:r>
    </w:p>
    <w:p>
      <w:r>
        <w:t>runaway loop with attention-dependent recording and showed that a Pólya-urn</w:t>
      </w:r>
    </w:p>
    <w:p>
      <w:r>
        <w:t>model drives allocation to a degenerate winner-take-all fixed point. We differ</w:t>
      </w:r>
    </w:p>
    <w:p>
      <w:r>
        <w:t>in two ways: our amplification is a smooth power law with a finite pole at</w:t>
      </w:r>
    </w:p>
    <w:p>
      <w:r>
        <w:t>κ = 1 rather than unconditional runaway, and we supply a correction. Hashimoto</w:t>
      </w:r>
    </w:p>
    <w:p>
      <w:r>
        <w:t>et al. [10] and Wyllie et al. [11] study disparity amplification in</w:t>
      </w:r>
    </w:p>
    <w:p>
      <w:r>
        <w:t>retraining loops empirically without a closed-form exponent or a fix.</w:t>
      </w:r>
    </w:p>
    <w:p>
      <w:r>
        <w:rPr>
          <w:b/>
        </w:rPr>
        <w:t>Performativity and identification.</w:t>
      </w:r>
      <w:r>
        <w:t xml:space="preserve"> That predictions change the world they</w:t>
      </w:r>
    </w:p>
    <w:p>
      <w:r>
        <w:t>predict is the subject of performative prediction [12], and Perdomo [13] shows</w:t>
      </w:r>
    </w:p>
    <w:p>
      <w:r>
        <w:t>a predictor can pass every observable calibration check while being</w:t>
      </w:r>
    </w:p>
    <w:p>
      <w:r>
        <w:t>performatively useless. The distinction we need is sharper: in our setting there</w:t>
      </w:r>
    </w:p>
    <w:p>
      <w:r>
        <w:t xml:space="preserve">is a latent target </w:t>
      </w:r>
      <w:r>
        <w:rPr>
          <w:i/>
        </w:rPr>
        <w:t>λ</w:t>
      </w:r>
      <w:r>
        <w:t xml:space="preserve"> genuinely different from the recorded </w:t>
      </w:r>
      <w:r>
        <w:rPr>
          <w:i/>
        </w:rPr>
        <w:t>y</w:t>
      </w:r>
      <w:r>
        <w:t>, so the failure</w:t>
      </w:r>
    </w:p>
    <w:p>
      <w:r>
        <w:t>is a coverage failure against an unobserved variable. Performative risk control</w:t>
      </w:r>
    </w:p>
    <w:p>
      <w:r>
        <w:t>[14] controls risk on observed outcomes, which is the opposite of what is needed</w:t>
      </w:r>
    </w:p>
    <w:p>
      <w:r>
        <w:t>here. The observation that you cannot detect this by watching but can by</w:t>
      </w:r>
    </w:p>
    <w:p>
      <w:r>
        <w:t>perturbing is a known template [15], and we use its difference-in-differences</w:t>
      </w:r>
    </w:p>
    <w:p>
      <w:r>
        <w:t>instantiation rather than claiming the principle.</w:t>
      </w:r>
    </w:p>
    <w:p>
      <w:r>
        <w:rPr>
          <w:b/>
        </w:rPr>
        <w:t>Detection-shock natural experiments.</w:t>
      </w:r>
      <w:r>
        <w:t xml:space="preserve"> Staggered acoustic gunshot detection</w:t>
      </w:r>
    </w:p>
    <w:p>
      <w:r>
        <w:t>rollouts have been used as difference-in-differences instruments for recorded</w:t>
      </w:r>
    </w:p>
    <w:p>
      <w:r>
        <w:t>crime outcomes [16]. Those studies estimate reduced-form treatment effects. We</w:t>
      </w:r>
    </w:p>
    <w:p>
      <w:r>
        <w:t>reinterpret the same design as a way to estimate a structural recording</w:t>
      </w:r>
    </w:p>
    <w:p>
      <w:r>
        <w:t>elasticity, which is the methodological move we do claim.</w:t>
      </w:r>
    </w:p>
    <w:p>
      <w:pPr>
        <w:spacing w:before="280" w:after="80"/>
      </w:pPr>
      <w:r>
        <w:rPr>
          <w:b/>
          <w:color w:val="1B365D"/>
          <w:sz w:val="27"/>
        </w:rPr>
        <w:t>III. Method</w:t>
      </w:r>
    </w:p>
    <w:p>
      <w:pPr>
        <w:spacing w:before="200" w:after="60"/>
      </w:pPr>
      <w:r>
        <w:rPr>
          <w:b/>
          <w:color w:val="2C3E50"/>
          <w:sz w:val="24"/>
        </w:rPr>
        <w:t>A. Problem setup</w:t>
      </w:r>
    </w:p>
    <w:p>
      <w:r>
        <w:t xml:space="preserve">Let </w:t>
      </w:r>
      <w:r>
        <w:rPr>
          <w:i/>
        </w:rPr>
        <w:t>s</w:t>
      </w:r>
      <w:r>
        <w:t xml:space="preserve"> index spatial units, </w:t>
      </w:r>
      <w:r>
        <w:rPr>
          <w:i/>
        </w:rPr>
        <w:t>t</w:t>
      </w:r>
      <w:r>
        <w:t xml:space="preserve"> weeks, and </w:t>
      </w:r>
      <w:r>
        <w:rPr>
          <w:i/>
        </w:rPr>
        <w:t>c</w:t>
      </w:r>
      <w:r>
        <w:t xml:space="preserve"> crime categories. For each</w:t>
      </w:r>
    </w:p>
    <w:p>
      <w:r>
        <w:t>triple we predict a distribution over counts, not a number. Chicago gives us 77</w:t>
      </w:r>
    </w:p>
    <w:p>
      <w:r>
        <w:t>community areas and NYC 78 comparable units, three categories (violent,</w:t>
      </w:r>
    </w:p>
    <w:p>
      <w:r>
        <w:t>property, drug), and weekly aggregation.</w:t>
      </w:r>
    </w:p>
    <w:p>
      <w:r>
        <w:t>We use a zero-inflated negative binomial head because crime counts are sparse</w:t>
      </w:r>
    </w:p>
    <w:p>
      <w:r>
        <w:t>and overdispersed at once, and the two need separate machinery. Sparsity is</w:t>
      </w:r>
    </w:p>
    <w:p>
      <w:r>
        <w:t>structural — some area-week-category cells are zero because nothing happened and</w:t>
      </w:r>
    </w:p>
    <w:p>
      <w:r>
        <w:t>some because nothing was recorded — so a point mass at zero is not a modelling</w:t>
      </w:r>
    </w:p>
    <w:p>
      <w:r>
        <w:t>convenience but a description of the data. Overdispersion needs the negative</w:t>
      </w:r>
    </w:p>
    <w:p>
      <w:r>
        <w:t>binomial's second parameter. The model emits (</w:t>
      </w:r>
      <w:r>
        <w:rPr>
          <w:i/>
        </w:rPr>
        <w:t>π</w:t>
      </w:r>
      <w:r>
        <w:t xml:space="preserve">, </w:t>
      </w:r>
      <w:r>
        <w:rPr>
          <w:i/>
        </w:rPr>
        <w:t>μ</w:t>
      </w:r>
      <w:r>
        <w:t xml:space="preserve">, </w:t>
      </w:r>
      <w:r>
        <w:rPr>
          <w:i/>
        </w:rPr>
        <w:t>r</w:t>
      </w:r>
      <w:r>
        <w:t>) per cell:</w:t>
      </w:r>
    </w:p>
    <w:p>
      <w:r>
        <w:t>P(Y = y) = π + (1 − π)(r/(r+μ))^r                        if y = 0</w:t>
      </w:r>
    </w:p>
    <w:p>
      <w:r>
        <w:t>= (1 − π) · Γ(y+r)/(Γ(r) y!) · (r/(r+μ))^r · (μ/(r+μ))^y   if y &gt; 0</w:t>
      </w:r>
    </w:p>
    <w:p>
      <w:r>
        <w:t>(3)</w:t>
      </w:r>
    </w:p>
    <w:p>
      <w:r>
        <w:t xml:space="preserve">with </w:t>
      </w:r>
      <w:r>
        <w:rPr>
          <w:i/>
        </w:rPr>
        <w:t>π</w:t>
      </w:r>
      <w:r>
        <w:t xml:space="preserve"> = </w:t>
      </w:r>
      <w:r>
        <w:rPr>
          <w:i/>
        </w:rPr>
        <w:t>σ</w:t>
      </w:r>
      <w:r>
        <w:t xml:space="preserve">(·), </w:t>
      </w:r>
      <w:r>
        <w:rPr>
          <w:i/>
        </w:rPr>
        <w:t>μ</w:t>
      </w:r>
      <w:r>
        <w:t xml:space="preserve"> = softplus(·), and </w:t>
      </w:r>
      <w:r>
        <w:rPr>
          <w:i/>
        </w:rPr>
        <w:t>r</w:t>
      </w:r>
      <w:r>
        <w:t xml:space="preserve"> = softplus(·) + 0.1. The floor on</w:t>
      </w:r>
    </w:p>
    <w:p>
      <w:r>
        <w:rPr>
          <w:i/>
        </w:rPr>
        <w:t>r</w:t>
      </w:r>
      <w:r>
        <w:t xml:space="preserve"> matters more than it looks; we return to it in Section III-C.</w:t>
      </w:r>
    </w:p>
    <w:p>
      <w:pPr>
        <w:spacing w:before="200" w:after="60"/>
      </w:pPr>
      <w:r>
        <w:rPr>
          <w:b/>
          <w:color w:val="2C3E50"/>
          <w:sz w:val="24"/>
        </w:rPr>
        <w:t>B. Architecture</w:t>
      </w:r>
    </w:p>
    <w:p>
      <w:r>
        <w:t>Space first. Two adjacency structures feed a GATv2 encoder: queen contiguity for</w:t>
      </w:r>
    </w:p>
    <w:p>
      <w:r>
        <w:t>immediate geographic spillover, and k-nearest neighbours in demographic feature</w:t>
      </w:r>
    </w:p>
    <w:p>
      <w:r>
        <w:t>space for areas that behave alike without touching. Attention coefficients are</w:t>
      </w:r>
    </w:p>
    <w:p>
      <w:r>
        <w:t>computed dynamically over the union of both neighbourhoods,</w:t>
      </w:r>
    </w:p>
    <w:p>
      <w:r>
        <w:t>e_ij = a^T LeakyReLU(W [h_i ‖ h_j]),   α_ij = softmax_j(e_ij)   (4)</w:t>
      </w:r>
    </w:p>
    <w:p>
      <w:r>
        <w:t>and node states update as the attention-weighted sum over both neighbourhoods.</w:t>
      </w:r>
    </w:p>
    <w:p>
      <w:r>
        <w:t>Then time. A causal Transformer consumes the GATv2 node states in sequence, so</w:t>
      </w:r>
    </w:p>
    <w:p>
      <w:r>
        <w:t>space and time are encoded in stages rather than jointly. We implemented a unified</w:t>
      </w:r>
    </w:p>
    <w:p>
      <w:r>
        <w:t>variant that attends over space-time tokens with a structured mask too, but every</w:t>
      </w:r>
    </w:p>
    <w:p>
      <w:r>
        <w:t>number here comes from the staged configuration, and we describe the system we</w:t>
      </w:r>
    </w:p>
    <w:p>
      <w:r>
        <w:t>actually evaluated.</w:t>
      </w:r>
    </w:p>
    <w:p>
      <w:r>
        <w:t>Between the two sits a multi-factor feature mixer: soft-attention heads over the</w:t>
      </w:r>
    </w:p>
    <w:p>
      <w:r>
        <w:t>fused embedding, regularized by a Jensen-Shannon penalty between head pairs. We</w:t>
      </w:r>
    </w:p>
    <w:p>
      <w:r>
        <w:t>want to be exact about what that penalty does, because it is easy to overstate. It</w:t>
      </w:r>
    </w:p>
    <w:p>
      <w:r>
        <w:t xml:space="preserve">prevents </w:t>
      </w:r>
      <w:r>
        <w:rPr>
          <w:i/>
        </w:rPr>
        <w:t>head collapse</w:t>
      </w:r>
      <w:r>
        <w:t xml:space="preserve"> — it fires when two heads' attention distributions grow</w:t>
      </w:r>
    </w:p>
    <w:p>
      <w:r>
        <w:t>too similar, keeping the factor decomposition non-degenerate. It is not a fairness</w:t>
      </w:r>
    </w:p>
    <w:p>
      <w:r>
        <w:t>mechanism and it does not decorrelate representations from protected attributes.</w:t>
      </w:r>
    </w:p>
    <w:p>
      <w:r>
        <w:t>The architecture does contain a gradient-reversal adversarial discriminator for</w:t>
      </w:r>
    </w:p>
    <w:p>
      <w:r>
        <w:t>demographic invariance in the manner of Ganin et al., but it is disabled in the</w:t>
      </w:r>
    </w:p>
    <w:p>
      <w:r>
        <w:t xml:space="preserve">configuration reported here, so the trained predictor carries </w:t>
      </w:r>
      <w:r>
        <w:rPr>
          <w:i/>
        </w:rPr>
        <w:t>no</w:t>
      </w:r>
    </w:p>
    <w:p>
      <w:r>
        <w:t>representation-level guard against proxy discrimination. What fairness we can</w:t>
      </w:r>
    </w:p>
    <w:p>
      <w:r>
        <w:t>demonstrate is downstream and post hoc: the coverage-disparity ceiling, audited in</w:t>
      </w:r>
    </w:p>
    <w:p>
      <w:r>
        <w:t>Section V-C.</w:t>
      </w:r>
    </w:p>
    <w:p>
      <w:r>
        <w:t xml:space="preserve">We anchor </w:t>
      </w:r>
      <w:r>
        <w:rPr>
          <w:i/>
        </w:rPr>
        <w:t>μ</w:t>
      </w:r>
      <w:r>
        <w:t xml:space="preserve"> to a trailing mean rather than predicting it free. This was not a</w:t>
      </w:r>
    </w:p>
    <w:p>
      <w:r>
        <w:t>design preference; without anchoring, conformal interval widths blow up past</w:t>
      </w:r>
    </w:p>
    <w:p>
      <w:r>
        <w:t>1000 and skill score goes deeply negative. Anchoring holds the level and lets</w:t>
      </w:r>
    </w:p>
    <w:p>
      <w:r>
        <w:t>the network model deviations from it.</w:t>
      </w:r>
    </w:p>
    <w:p>
      <w:pPr>
        <w:spacing w:before="200" w:after="60"/>
      </w:pPr>
      <w:r>
        <w:rPr>
          <w:b/>
          <w:color w:val="2C3E50"/>
          <w:sz w:val="24"/>
        </w:rPr>
        <w:t>C. Training and the r-collapse problem</w:t>
      </w:r>
    </w:p>
    <w:p>
      <w:r>
        <w:t xml:space="preserve">Training minimizes ZINB negative log-likelihood, computed with </w:t>
      </w:r>
      <w:r>
        <w:rPr>
          <w:rFonts w:ascii="Consolas" w:hAnsi="Consolas"/>
          <w:sz w:val="20"/>
        </w:rPr>
        <w:t>logsumexp</w:t>
      </w:r>
      <w:r>
        <w:t xml:space="preserve"> on</w:t>
      </w:r>
    </w:p>
    <w:p>
      <w:r>
        <w:t xml:space="preserve">the zero branch and </w:t>
      </w:r>
      <w:r>
        <w:rPr>
          <w:rFonts w:ascii="Consolas" w:hAnsi="Consolas"/>
          <w:sz w:val="20"/>
        </w:rPr>
        <w:t>lgamma</w:t>
      </w:r>
      <w:r>
        <w:t xml:space="preserve"> elsewhere for stability.</w:t>
      </w:r>
    </w:p>
    <w:p>
      <w:r>
        <w:t>One failure mode deserves description because it is a clean example of a metric</w:t>
      </w:r>
    </w:p>
    <w:p>
      <w:r>
        <w:t xml:space="preserve">lying. When you train ZINB by maximum likelihood, </w:t>
      </w:r>
      <w:r>
        <w:rPr>
          <w:i/>
        </w:rPr>
        <w:t>r</w:t>
      </w:r>
      <w:r>
        <w:t xml:space="preserve"> tends to collapse toward</w:t>
      </w:r>
    </w:p>
    <w:p>
      <w:r>
        <w:t xml:space="preserve">its floor. The reason: as </w:t>
      </w:r>
      <w:r>
        <w:rPr>
          <w:i/>
        </w:rPr>
        <w:t>r</w:t>
      </w:r>
      <w:r>
        <w:t xml:space="preserve"> → 0 the negative binomial variance</w:t>
      </w:r>
    </w:p>
    <w:p>
      <w:r>
        <w:rPr>
          <w:i/>
        </w:rPr>
        <w:t>μ</w:t>
      </w:r>
      <w:r>
        <w:t xml:space="preserve"> + </w:t>
      </w:r>
      <w:r>
        <w:rPr>
          <w:i/>
        </w:rPr>
        <w:t>μ²</w:t>
      </w:r>
      <w:r>
        <w:t>/</w:t>
      </w:r>
      <w:r>
        <w:rPr>
          <w:i/>
        </w:rPr>
        <w:t>r</w:t>
      </w:r>
      <w:r>
        <w:t xml:space="preserve"> diverges, giving a heavy-tailed distribution that assigns</w:t>
      </w:r>
    </w:p>
    <w:p>
      <w:r>
        <w:t>tolerable probability to almost any observation, so NLL looks acceptable. MAE</w:t>
      </w:r>
    </w:p>
    <w:p>
      <w:r>
        <w:t>even improves, because the mode sharpens. But CRPS degrades, because the</w:t>
      </w:r>
    </w:p>
    <w:p>
      <w:r>
        <w:t>predictive CDF is smeared across the real line. Likelihood and sharpness pull in</w:t>
      </w:r>
    </w:p>
    <w:p>
      <w:r>
        <w:t>opposite directions and likelihood wins.</w:t>
      </w:r>
    </w:p>
    <w:p>
      <w:r>
        <w:t>The fix is a per-cell penalty,</w:t>
      </w:r>
    </w:p>
    <w:p>
      <w:r>
        <w:t>L_r-reg = λ_r · mean_i ReLU(r_reg − r_i)                  (5)</w:t>
      </w:r>
    </w:p>
    <w:p>
      <w:r>
        <w:t xml:space="preserve">with </w:t>
      </w:r>
      <w:r>
        <w:rPr>
          <w:i/>
        </w:rPr>
        <w:t>r_reg</w:t>
      </w:r>
      <w:r>
        <w:t xml:space="preserve"> = 0.5 and </w:t>
      </w:r>
      <w:r>
        <w:rPr>
          <w:i/>
        </w:rPr>
        <w:t>λ_r</w:t>
      </w:r>
      <w:r>
        <w:t xml:space="preserve"> = 0.1. Per-cell rather than batch-mean is the whole</w:t>
      </w:r>
    </w:p>
    <w:p>
      <w:r>
        <w:t>point: a batch-mean penalty lets some cells collapse to near-zero while others</w:t>
      </w:r>
    </w:p>
    <w:p>
      <w:r>
        <w:t>compensate by staying high, and the average looks fine while individual</w:t>
      </w:r>
    </w:p>
    <w:p>
      <w:r>
        <w:t>predictive distributions are garbage.</w:t>
      </w:r>
    </w:p>
    <w:p>
      <w:pPr>
        <w:spacing w:before="200" w:after="60"/>
      </w:pPr>
      <w:r>
        <w:rPr>
          <w:b/>
          <w:color w:val="2C3E50"/>
          <w:sz w:val="24"/>
        </w:rPr>
        <w:t>D. Calibration</w:t>
      </w:r>
    </w:p>
    <w:p>
      <w:r>
        <w:t>The model's own quantiles are not trustworthy, so we calibrate post hoc. We</w:t>
      </w:r>
    </w:p>
    <w:p>
      <w:r>
        <w:t>split the panel chronologically — train, validation, calibration, test (2023) —</w:t>
      </w:r>
    </w:p>
    <w:p>
      <w:r>
        <w:t>and never let a later split inform an earlier one.</w:t>
      </w:r>
    </w:p>
    <w:p>
      <w:r>
        <w:t>Non-conformity uses CQR scores from the ZINB quantile function,</w:t>
      </w:r>
    </w:p>
    <w:p>
      <w:r>
        <w:rPr>
          <w:i/>
        </w:rPr>
        <w:t>s_i</w:t>
      </w:r>
      <w:r>
        <w:t xml:space="preserve"> = max(</w:t>
      </w:r>
      <w:r>
        <w:rPr>
          <w:i/>
        </w:rPr>
        <w:t>q_{α/2}</w:t>
      </w:r>
      <w:r>
        <w:t xml:space="preserve"> − </w:t>
      </w:r>
      <w:r>
        <w:rPr>
          <w:i/>
        </w:rPr>
        <w:t>y_i</w:t>
      </w:r>
      <w:r>
        <w:t xml:space="preserve">, </w:t>
      </w:r>
      <w:r>
        <w:rPr>
          <w:i/>
        </w:rPr>
        <w:t>y_i</w:t>
      </w:r>
      <w:r>
        <w:t xml:space="preserve"> − </w:t>
      </w:r>
      <w:r>
        <w:rPr>
          <w:i/>
        </w:rPr>
        <w:t>q_{1−α/2}</w:t>
      </w:r>
      <w:r>
        <w:t>), and the split-conformal</w:t>
      </w:r>
    </w:p>
    <w:p>
      <w:r>
        <w:t>threshold is the ⌈(n+1)(1−α)⌉/n empirical quantile of the calibration scores.</w:t>
      </w:r>
    </w:p>
    <w:p>
      <w:r>
        <w:t>For per-group control, ECRC computes per-group thresholds with Hoeffding slack</w:t>
      </w:r>
    </w:p>
    <w:p>
      <w:r>
        <w:rPr>
          <w:i/>
        </w:rPr>
        <w:t>ε_g</w:t>
      </w:r>
      <w:r>
        <w:t xml:space="preserve"> = sqrt(log(2/</w:t>
      </w:r>
      <w:r>
        <w:rPr>
          <w:i/>
        </w:rPr>
        <w:t>δ_g</w:t>
      </w:r>
      <w:r>
        <w:t>)/(2</w:t>
      </w:r>
      <w:r>
        <w:rPr>
          <w:i/>
        </w:rPr>
        <w:t>n_g</w:t>
      </w:r>
      <w:r>
        <w:t>)) so that per-group coverage is at least</w:t>
      </w:r>
    </w:p>
    <w:p>
      <w:r>
        <w:t xml:space="preserve">1 − α − </w:t>
      </w:r>
      <w:r>
        <w:rPr>
          <w:i/>
        </w:rPr>
        <w:t>ε_g</w:t>
      </w:r>
      <w:r>
        <w:t xml:space="preserve"> with probability 1 − </w:t>
      </w:r>
      <w:r>
        <w:rPr>
          <w:i/>
        </w:rPr>
        <w:t>δ_g</w:t>
      </w:r>
      <w:r>
        <w:t>. An adaptive temporal variant updates</w:t>
      </w:r>
    </w:p>
    <w:p>
      <w:r>
        <w:t>the per-group miscoverage target online with a PID rule to handle drift; it</w:t>
      </w:r>
    </w:p>
    <w:p>
      <w:r>
        <w:t>gives a long-run average guarantee, not a per-step one, and we say so in the</w:t>
      </w:r>
    </w:p>
    <w:p>
      <w:r>
        <w:t>results rather than implying otherwise.</w:t>
      </w:r>
    </w:p>
    <w:p>
      <w:r>
        <w:t>We evaluate ten variants and select among them by constraint rather than by</w:t>
      </w:r>
    </w:p>
    <w:p>
      <w:r>
        <w:t>eyeball: narrowest mean width subject to marginal coverage at or above the</w:t>
      </w:r>
    </w:p>
    <w:p>
      <w:r>
        <w:t>floor, demographic disparity at or below 0.03, abstention at or below 1%, and</w:t>
      </w:r>
    </w:p>
    <w:p>
      <w:r>
        <w:t>finite metrics. The ceiling was fixed before we looked at results. Section V-B</w:t>
      </w:r>
    </w:p>
    <w:p>
      <w:r>
        <w:t>shows the constraint doing real work — it rejects the narrowest method in both</w:t>
      </w:r>
    </w:p>
    <w:p>
      <w:r>
        <w:t>cities.</w:t>
      </w:r>
    </w:p>
    <w:p>
      <w:r>
        <w:t>Two of the ten deserve a word, because between them they cover the reweighting</w:t>
      </w:r>
    </w:p>
    <w:p>
      <w:r>
        <w:t>family a reader may reasonably expect to solve the problem outright. Our weighted</w:t>
      </w:r>
    </w:p>
    <w:p>
      <w:r>
        <w:t>variant assigns exponentially decaying weights to calibration points by recency</w:t>
      </w:r>
    </w:p>
    <w:p>
      <w:r>
        <w:t>and takes a weighted quantile of the scores, which targets non-stationarity:</w:t>
      </w:r>
    </w:p>
    <w:p>
      <w:r>
        <w:t>recent weeks count for more when the panel drifts. Weighted CP in the</w:t>
      </w:r>
    </w:p>
    <w:p>
      <w:r>
        <w:t>covariate-shift sense [21] instead weights by a covariate likelihood ratio w(x).</w:t>
      </w:r>
    </w:p>
    <w:p>
      <w:r>
        <w:t>Neither addresses the feedback problem, and for the same structural reason:</w:t>
      </w:r>
    </w:p>
    <w:p>
      <w:r>
        <w:t xml:space="preserve">reweighting changes </w:t>
      </w:r>
      <w:r>
        <w:rPr>
          <w:i/>
        </w:rPr>
        <w:t>which calibration points count</w:t>
      </w:r>
      <w:r>
        <w:t>, never *what the score</w:t>
      </w:r>
    </w:p>
    <w:p>
      <w:r>
        <w:t>measures*. Every score is a function of the recorded y, so any weighted quantile</w:t>
      </w:r>
    </w:p>
    <w:p>
      <w:r>
        <w:t>of them — uniform, recency-decayed, density-ratio, or adaptively updated —</w:t>
      </w:r>
    </w:p>
    <w:p>
      <w:r>
        <w:t>certifies coverage of y and says nothing about λ. The family is closed under the</w:t>
      </w:r>
    </w:p>
    <w:p>
      <w:r>
        <w:t>wrong target. Leaving it means changing the target variable, which is what the</w:t>
      </w:r>
    </w:p>
    <w:p>
      <w:r>
        <w:t>deflation does.</w:t>
      </w:r>
    </w:p>
    <w:p>
      <w:r>
        <w:t>The conformal table bears this out without embarrassing the method. Our weighted</w:t>
      </w:r>
    </w:p>
    <w:p>
      <w:r>
        <w:t>variant clears the coverage floor in both cities (0.9075 Chicago, 0.9326 NYC). On</w:t>
      </w:r>
    </w:p>
    <w:p>
      <w:r>
        <w:t>NYC it is numerically indistinguishable from split CP, where the integer score</w:t>
      </w:r>
    </w:p>
    <w:p>
      <w:r>
        <w:t>lattice leaves the weights nothing to move; on Chicago it does shift the interval,</w:t>
      </w:r>
    </w:p>
    <w:p>
      <w:r>
        <w:t>to 0.9075 against split CP's 0.9405. So the weights act. They act on the right</w:t>
      </w:r>
    </w:p>
    <w:p>
      <w:r>
        <w:t>variable for drift and the wrong one for feedback.</w:t>
      </w:r>
    </w:p>
    <w:p>
      <w:r>
        <w:t>Two smaller decisions worth recording. Ensemble weights come from</w:t>
      </w:r>
    </w:p>
    <w:p>
      <w:r>
        <w:t>entropy-regularized EMOS learned on calibration data, with a fallback to uniform</w:t>
      </w:r>
    </w:p>
    <w:p>
      <w:r>
        <w:t>weighting when the learned weights fail to beat uniform on an internal holdout;</w:t>
      </w:r>
    </w:p>
    <w:p>
      <w:r>
        <w:t>the entropy term exists because unregularized EMOS put 99.6% of its mass on one</w:t>
      </w:r>
    </w:p>
    <w:p>
      <w:r>
        <w:t xml:space="preserve">seed. And post-hoc distributional recalibration is </w:t>
      </w:r>
      <w:r>
        <w:rPr>
          <w:i/>
        </w:rPr>
        <w:t>fitted but gated</w:t>
      </w:r>
      <w:r>
        <w:t>: we</w:t>
      </w:r>
    </w:p>
    <w:p>
      <w:r>
        <w:t>compare recalibrated against original CRPS on an internal calibration holdout,</w:t>
      </w:r>
    </w:p>
    <w:p>
      <w:r>
        <w:t>not on test, and apply the correction only if it helps. On both cities it did</w:t>
      </w:r>
    </w:p>
    <w:p>
      <w:r>
        <w:t>not help (Chicago −5.29%, NYC −0.66%), so both cities report identity</w:t>
      </w:r>
    </w:p>
    <w:p>
      <w:r>
        <w:t>recalibration. Gating on test CRPS would have been leakage; we mention this</w:t>
      </w:r>
    </w:p>
    <w:p>
      <w:r>
        <w:t>because it is a tempting shortcut.</w:t>
      </w:r>
    </w:p>
    <w:p>
      <w:pPr>
        <w:spacing w:before="200" w:after="60"/>
      </w:pPr>
      <w:r>
        <w:rPr>
          <w:b/>
          <w:color w:val="2C3E50"/>
          <w:sz w:val="24"/>
        </w:rPr>
        <w:t>E. Feedback-corrected latent intervals</w:t>
      </w:r>
    </w:p>
    <w:p>
      <w:r>
        <w:t>Now the part that is new.</w:t>
      </w:r>
    </w:p>
    <w:p>
      <w:r>
        <w:t xml:space="preserve">Everything in Section III-D delivers coverage of </w:t>
      </w:r>
      <w:r>
        <w:rPr>
          <w:i/>
        </w:rPr>
        <w:t>y</w:t>
      </w:r>
      <w:r>
        <w:t xml:space="preserve"> — the record. Under the</w:t>
      </w:r>
    </w:p>
    <w:p>
      <w:r>
        <w:t xml:space="preserve">fixed point </w:t>
      </w:r>
      <w:r>
        <w:rPr>
          <w:i/>
        </w:rPr>
        <w:t>μ_s</w:t>
      </w:r>
      <w:r>
        <w:t xml:space="preserve"> = </w:t>
      </w:r>
      <w:r>
        <w:rPr>
          <w:i/>
        </w:rPr>
        <w:t>λ_s</w:t>
      </w:r>
      <w:r>
        <w:t xml:space="preserve"> </w:t>
      </w:r>
      <w:r>
        <w:rPr>
          <w:i/>
        </w:rPr>
        <w:t>g</w:t>
      </w:r>
      <w:r>
        <w:t>(</w:t>
      </w:r>
      <w:r>
        <w:rPr>
          <w:i/>
        </w:rPr>
        <w:t>π</w:t>
      </w:r>
      <w:r>
        <w:t>(</w:t>
      </w:r>
      <w:r>
        <w:rPr>
          <w:i/>
        </w:rPr>
        <w:t>μ_s</w:t>
      </w:r>
      <w:r>
        <w:t>))</w:t>
      </w:r>
      <w:r>
        <w:rPr>
          <w:i/>
        </w:rPr>
        <w:t xml:space="preserve">, that is not coverage of </w:t>
      </w:r>
      <w:r>
        <w:t>λ*, and the</w:t>
      </w:r>
    </w:p>
    <w:p>
      <w:r>
        <w:t>gap widens with κ. Two worlds — one with honest recording and one with a biased</w:t>
      </w:r>
    </w:p>
    <w:p>
      <w:r>
        <w:t>loop — can produce identical records, so no test on passive data separates them</w:t>
      </w:r>
    </w:p>
    <w:p>
      <w:r>
        <w:t>[15]. This is the "confidently wrong" state: coverage of the record holds while</w:t>
      </w:r>
    </w:p>
    <w:p>
      <w:r>
        <w:t>coverage of the truth silently fails.</w:t>
      </w:r>
    </w:p>
    <w:p>
      <w:r>
        <w:t>Breaking the tie needs a perturbation. A staggered detection-sensitivity shock</w:t>
      </w:r>
    </w:p>
    <w:p>
      <w:r>
        <w:t>(a patrol or acoustic-detection rollout) shifts recording intensity for treated</w:t>
      </w:r>
    </w:p>
    <w:p>
      <w:r>
        <w:t>units, and a difference-in-differences on log recorded rates identifies the</w:t>
      </w:r>
    </w:p>
    <w:p>
      <w:r>
        <w:t xml:space="preserve">recording response </w:t>
      </w:r>
      <w:r>
        <w:rPr>
          <w:i/>
        </w:rPr>
        <w:t>ρ</w:t>
      </w:r>
      <w:r>
        <w:t>.</w:t>
      </w:r>
    </w:p>
    <w:p>
      <w:r>
        <w:t>Here we have to be more careful than we would like. The DiD identifies the</w:t>
      </w:r>
    </w:p>
    <w:p>
      <w:r>
        <w:t xml:space="preserve">recording elasticity </w:t>
      </w:r>
      <w:r>
        <w:rPr>
          <w:i/>
        </w:rPr>
        <w:t>ρ</w:t>
      </w:r>
      <w:r>
        <w:t xml:space="preserve">, but the loop gain is κ = </w:t>
      </w:r>
      <w:r>
        <w:rPr>
          <w:i/>
        </w:rPr>
        <w:t>βρ</w:t>
      </w:r>
      <w:r>
        <w:t xml:space="preserve">, where </w:t>
      </w:r>
      <w:r>
        <w:rPr>
          <w:i/>
        </w:rPr>
        <w:t>β</w:t>
      </w:r>
      <w:r>
        <w:t xml:space="preserve"> is the policy</w:t>
      </w:r>
    </w:p>
    <w:p>
      <w:r>
        <w:t>elasticity, and the DiD carries an uncancelled term in the unobserved latent</w:t>
      </w:r>
    </w:p>
    <w:p>
      <w:r>
        <w:t>level. So κ is not point-identified by this design alone: it needs an assumed</w:t>
      </w:r>
    </w:p>
    <w:p>
      <w:r>
        <w:rPr>
          <w:i/>
        </w:rPr>
        <w:t>β</w:t>
      </w:r>
      <w:r>
        <w:t xml:space="preserve">, and the honest presentation is a sensitivity analysis over </w:t>
      </w:r>
      <w:r>
        <w:rPr>
          <w:i/>
        </w:rPr>
        <w:t>β</w:t>
      </w:r>
      <w:r>
        <w:t xml:space="preserve"> rather than</w:t>
      </w:r>
    </w:p>
    <w:p>
      <w:r>
        <w:t>a single number. In our real-data application the DiD is a null, which is</w:t>
      </w:r>
    </w:p>
    <w:p>
      <w:r>
        <w:t>itself a finding worth reporting. We therefore validate the correction where the</w:t>
      </w:r>
    </w:p>
    <w:p>
      <w:r>
        <w:t>truth is available — in simulation — and treat the real-data results as a</w:t>
      </w:r>
    </w:p>
    <w:p>
      <w:r>
        <w:t>sensitivity analysis at an assumed gain. Overstating this is the single easiest</w:t>
      </w:r>
    </w:p>
    <w:p>
      <w:r>
        <w:t>way to lose the paper, and we would rather claim less.</w:t>
      </w:r>
    </w:p>
    <w:p>
      <w:r>
        <w:t>Given a gain estimate, define the recording multiplier</w:t>
      </w:r>
    </w:p>
    <w:p>
      <w:r>
        <w:rPr>
          <w:i/>
        </w:rPr>
        <w:t>m_s</w:t>
      </w:r>
      <w:r>
        <w:t xml:space="preserve"> = (</w:t>
      </w:r>
      <w:r>
        <w:rPr>
          <w:i/>
        </w:rPr>
        <w:t>μ_s</w:t>
      </w:r>
      <w:r>
        <w:t>/</w:t>
      </w:r>
      <w:r>
        <w:rPr>
          <w:i/>
        </w:rPr>
        <w:t>M</w:t>
      </w:r>
      <w:r>
        <w:t xml:space="preserve">)^κ with </w:t>
      </w:r>
      <w:r>
        <w:rPr>
          <w:i/>
        </w:rPr>
        <w:t>M</w:t>
      </w:r>
      <w:r>
        <w:t xml:space="preserve"> the mean recorded rate, deflate to</w:t>
      </w:r>
    </w:p>
    <w:p>
      <w:r>
        <w:rPr>
          <w:i/>
        </w:rPr>
        <w:t>λ̂_s</w:t>
      </w:r>
      <w:r>
        <w:t xml:space="preserve"> = </w:t>
      </w:r>
      <w:r>
        <w:rPr>
          <w:i/>
        </w:rPr>
        <w:t>μ_s</w:t>
      </w:r>
      <w:r>
        <w:t>/</w:t>
      </w:r>
      <w:r>
        <w:rPr>
          <w:i/>
        </w:rPr>
        <w:t>m_s</w:t>
      </w:r>
      <w:r>
        <w:t xml:space="preserve">, and issue intervals on </w:t>
      </w:r>
      <w:r>
        <w:rPr>
          <w:i/>
        </w:rPr>
        <w:t>λ̂</w:t>
      </w:r>
      <w:r>
        <w:t>.</w:t>
      </w:r>
    </w:p>
    <w:p>
      <w:r>
        <w:t>Abstention is not optional. As κ → 1 the correction's variance explodes, and for</w:t>
      </w:r>
    </w:p>
    <w:p>
      <w:r>
        <w:t>cells recorded far from the mean a small error in κ produces a large error in</w:t>
      </w:r>
    </w:p>
    <w:p>
      <w:r>
        <w:rPr>
          <w:i/>
        </w:rPr>
        <w:t>λ̂</w:t>
      </w:r>
      <w:r>
        <w:t>. So we abstain when κ exceeds a runaway threshold (0.9) or when the required</w:t>
      </w:r>
    </w:p>
    <w:p>
      <w:r>
        <w:t>multiplier exceeds 5× in either direction. The system says "I don't know" instead</w:t>
      </w:r>
    </w:p>
    <w:p>
      <w:r>
        <w:t>of issuing an interval it cannot stand behind. That is the right behaviour, and</w:t>
      </w:r>
    </w:p>
    <w:p>
      <w:r>
        <w:t>it has a real cost that we measure in Section V-D rather than leaving implicit.</w:t>
      </w:r>
    </w:p>
    <w:p>
      <w:pPr>
        <w:spacing w:before="280" w:after="80"/>
      </w:pPr>
      <w:r>
        <w:rPr>
          <w:b/>
          <w:color w:val="1B365D"/>
          <w:sz w:val="27"/>
        </w:rPr>
        <w:t>IV. Experimental Setup</w:t>
      </w:r>
    </w:p>
    <w:p>
      <w:r>
        <w:rPr>
          <w:b/>
        </w:rPr>
        <w:t>Data.</w:t>
      </w:r>
      <w:r>
        <w:t xml:space="preserve"> Chicago (77 community areas) and New York (78 units), weekly counts in</w:t>
      </w:r>
    </w:p>
    <w:p>
      <w:r>
        <w:t>three categories, split chronologically with 2023 held out as test. Chicago test</w:t>
      </w:r>
    </w:p>
    <w:p>
      <w:r>
        <w:t>tensors are 53 weeks × 77 areas. Demographic groups for fairness auditing come</w:t>
      </w:r>
    </w:p>
    <w:p>
      <w:r>
        <w:t>from area-level composition and are fixed before evaluation.</w:t>
      </w:r>
    </w:p>
    <w:p>
      <w:r>
        <w:rPr>
          <w:b/>
        </w:rPr>
        <w:t>Baselines.</w:t>
      </w:r>
      <w:r>
        <w:t xml:space="preserve"> Six classical: historical average (both rolling and frozen),</w:t>
      </w:r>
    </w:p>
    <w:p>
      <w:r>
        <w:t>seasonal naive, lag-1 persistence, STARIMA, plain ZINB, XGBoost. Four deep</w:t>
      </w:r>
    </w:p>
    <w:p>
      <w:r>
        <w:t>spatiotemporal: LSTM-NB, TFT-ZINB, GraphWaveNet, STZINB-GNN. Deep baselines run</w:t>
      </w:r>
    </w:p>
    <w:p>
      <w:r>
        <w:t>three seeds (42, 137, 256) and we report mean ± standard deviation.</w:t>
      </w:r>
    </w:p>
    <w:p>
      <w:r>
        <w:rPr>
          <w:b/>
        </w:rPr>
        <w:t>Metrics.</w:t>
      </w:r>
      <w:r>
        <w:t xml:space="preserve"> CRPS is primary, since it is a strictly proper scoring rule for</w:t>
      </w:r>
    </w:p>
    <w:p>
      <w:r>
        <w:t>distributional forecasts. We also report MAE, RMSE, and Brier score on the zero</w:t>
      </w:r>
    </w:p>
    <w:p>
      <w:r>
        <w:t>event. Skill scores are CRPSS against a baseline. For calibration: marginal</w:t>
      </w:r>
    </w:p>
    <w:p>
      <w:r>
        <w:t>coverage, mean interval width, per-group and per-category coverage disparity,</w:t>
      </w:r>
    </w:p>
    <w:p>
      <w:r>
        <w:t>abstention rate, PIT uniformity chi-square, and the Hersbach decomposition of</w:t>
      </w:r>
    </w:p>
    <w:p>
      <w:r>
        <w:t>CRPS into reliability, resolution and uncertainty.</w:t>
      </w:r>
    </w:p>
    <w:p>
      <w:r>
        <w:rPr>
          <w:b/>
        </w:rPr>
        <w:t>Significance.</w:t>
      </w:r>
      <w:r>
        <w:t xml:space="preserve"> Diebold-Mariano with Newey-West adjustment on paired weekly</w:t>
      </w:r>
    </w:p>
    <w:p>
      <w:r>
        <w:t>losses, plus stationary block bootstrap. We treat a claim as supported only when</w:t>
      </w:r>
    </w:p>
    <w:p>
      <w:r>
        <w:t>both agree.</w:t>
      </w:r>
    </w:p>
    <w:p>
      <w:r>
        <w:rPr>
          <w:b/>
        </w:rPr>
        <w:t>A note on which baseline binds.</w:t>
      </w:r>
      <w:r>
        <w:t xml:space="preserve"> CRPSS against a </w:t>
      </w:r>
      <w:r>
        <w:rPr>
          <w:i/>
        </w:rPr>
        <w:t>frozen</w:t>
      </w:r>
      <w:r>
        <w:t xml:space="preserve"> historical average</w:t>
      </w:r>
    </w:p>
    <w:p>
      <w:r>
        <w:t>looks impressive — 0.2713 and 0.3165. We do not lead with it. A frozen baseline</w:t>
      </w:r>
    </w:p>
    <w:p>
      <w:r>
        <w:t>is unrealistically weak, because a real deployment would update its average as</w:t>
      </w:r>
    </w:p>
    <w:p>
      <w:r>
        <w:t xml:space="preserve">weeks arrive. Against a </w:t>
      </w:r>
      <w:r>
        <w:rPr>
          <w:i/>
        </w:rPr>
        <w:t>rolling</w:t>
      </w:r>
      <w:r>
        <w:t xml:space="preserve"> HA the gains are 0.0360 and 0.0494, and the</w:t>
      </w:r>
    </w:p>
    <w:p>
      <w:r>
        <w:t xml:space="preserve">evaluation code marks </w:t>
      </w:r>
      <w:r>
        <w:rPr>
          <w:rFonts w:ascii="Consolas" w:hAnsi="Consolas"/>
          <w:sz w:val="20"/>
        </w:rPr>
        <w:t>ha_rolling</w:t>
      </w:r>
      <w:r>
        <w:t xml:space="preserve"> as the binding baseline. Those are the</w:t>
      </w:r>
    </w:p>
    <w:p>
      <w:r>
        <w:t>numbers we quote.</w:t>
      </w:r>
    </w:p>
    <w:p>
      <w:pPr>
        <w:spacing w:before="280" w:after="80"/>
      </w:pPr>
      <w:r>
        <w:rPr>
          <w:b/>
          <w:color w:val="1B365D"/>
          <w:sz w:val="27"/>
        </w:rPr>
        <w:t>V. Results</w:t>
      </w:r>
    </w:p>
    <w:p>
      <w:pPr>
        <w:spacing w:before="200" w:after="60"/>
      </w:pPr>
      <w:r>
        <w:rPr>
          <w:b/>
          <w:color w:val="2C3E50"/>
          <w:sz w:val="24"/>
        </w:rPr>
        <w:t>A. Predictive accuracy</w:t>
      </w:r>
    </w:p>
    <w:p>
      <w:r>
        <w:t>TABLE I summarizes the main benchmark.</w:t>
      </w:r>
    </w:p>
    <w:tbl>
      <w:tblPr>
        <w:tblW w:type="auto" w:w="0"/>
        <w:jc w:val="center"/>
        <w:tblLayout w:type="autofit"/>
        <w:tblLook w:firstColumn="1" w:firstRow="1" w:lastColumn="0" w:lastRow="0" w:noHBand="0" w:noVBand="1" w:val="04A0"/>
      </w:tblPr>
      <w:tblGrid>
        <w:gridCol w:w="3120"/>
        <w:gridCol w:w="3120"/>
        <w:gridCol w:w="3120"/>
      </w:tblGrid>
      <w:tr>
        <w:tc>
          <w:tcPr>
            <w:tcW w:type="dxa" w:w="3120"/>
            <w:shd w:fill="EAECEF"/>
          </w:tcPr>
          <w:p>
            <w:pPr>
              <w:spacing w:after="40" w:before="40"/>
            </w:pPr>
            <w:r>
              <w:rPr>
                <w:b/>
                <w:sz w:val="20"/>
              </w:rPr>
              <w:t>Method</w:t>
            </w:r>
          </w:p>
        </w:tc>
        <w:tc>
          <w:tcPr>
            <w:tcW w:type="dxa" w:w="3120"/>
            <w:shd w:fill="EAECEF"/>
          </w:tcPr>
          <w:p>
            <w:pPr>
              <w:spacing w:after="40" w:before="40"/>
            </w:pPr>
            <w:r>
              <w:rPr>
                <w:b/>
                <w:sz w:val="20"/>
              </w:rPr>
              <w:t>Chicago CRPS</w:t>
            </w:r>
          </w:p>
        </w:tc>
        <w:tc>
          <w:tcPr>
            <w:tcW w:type="dxa" w:w="3120"/>
            <w:shd w:fill="EAECEF"/>
          </w:tcPr>
          <w:p>
            <w:pPr>
              <w:spacing w:after="40" w:before="40"/>
            </w:pPr>
            <w:r>
              <w:rPr>
                <w:b/>
                <w:sz w:val="20"/>
              </w:rPr>
              <w:t>NYC CRPS</w:t>
            </w:r>
          </w:p>
        </w:tc>
      </w:tr>
      <w:tr>
        <w:tc>
          <w:tcPr>
            <w:tcW w:type="dxa" w:w="3120"/>
          </w:tcPr>
          <w:p>
            <w:pPr>
              <w:spacing w:after="40" w:before="40"/>
            </w:pPr>
            <w:r>
              <w:rPr>
                <w:sz w:val="19"/>
              </w:rPr>
              <w:t>Historical Average (rolling)</w:t>
            </w:r>
          </w:p>
        </w:tc>
        <w:tc>
          <w:tcPr>
            <w:tcW w:type="dxa" w:w="3120"/>
          </w:tcPr>
          <w:p>
            <w:pPr>
              <w:spacing w:after="40" w:before="40"/>
            </w:pPr>
            <w:r>
              <w:rPr>
                <w:sz w:val="19"/>
              </w:rPr>
              <w:t>2.9322</w:t>
            </w:r>
          </w:p>
        </w:tc>
        <w:tc>
          <w:tcPr>
            <w:tcW w:type="dxa" w:w="3120"/>
          </w:tcPr>
          <w:p>
            <w:pPr>
              <w:spacing w:after="40" w:before="40"/>
            </w:pPr>
            <w:r>
              <w:rPr>
                <w:sz w:val="19"/>
              </w:rPr>
              <w:t>3.3034</w:t>
            </w:r>
          </w:p>
        </w:tc>
      </w:tr>
      <w:tr>
        <w:tc>
          <w:tcPr>
            <w:tcW w:type="dxa" w:w="3120"/>
          </w:tcPr>
          <w:p>
            <w:pPr>
              <w:spacing w:after="40" w:before="40"/>
            </w:pPr>
            <w:r>
              <w:rPr>
                <w:sz w:val="19"/>
              </w:rPr>
              <w:t>Seasonal Naive</w:t>
            </w:r>
          </w:p>
        </w:tc>
        <w:tc>
          <w:tcPr>
            <w:tcW w:type="dxa" w:w="3120"/>
          </w:tcPr>
          <w:p>
            <w:pPr>
              <w:spacing w:after="40" w:before="40"/>
            </w:pPr>
            <w:r>
              <w:rPr>
                <w:sz w:val="19"/>
              </w:rPr>
              <w:t>4.4009</w:t>
            </w:r>
          </w:p>
        </w:tc>
        <w:tc>
          <w:tcPr>
            <w:tcW w:type="dxa" w:w="3120"/>
          </w:tcPr>
          <w:p>
            <w:pPr>
              <w:spacing w:after="40" w:before="40"/>
            </w:pPr>
            <w:r>
              <w:rPr>
                <w:sz w:val="19"/>
              </w:rPr>
              <w:t>4.7309</w:t>
            </w:r>
          </w:p>
        </w:tc>
      </w:tr>
      <w:tr>
        <w:tc>
          <w:tcPr>
            <w:tcW w:type="dxa" w:w="3120"/>
          </w:tcPr>
          <w:p>
            <w:pPr>
              <w:spacing w:after="40" w:before="40"/>
            </w:pPr>
            <w:r>
              <w:rPr>
                <w:sz w:val="19"/>
              </w:rPr>
              <w:t>Lag-1 Persistence</w:t>
            </w:r>
          </w:p>
        </w:tc>
        <w:tc>
          <w:tcPr>
            <w:tcW w:type="dxa" w:w="3120"/>
          </w:tcPr>
          <w:p>
            <w:pPr>
              <w:spacing w:after="40" w:before="40"/>
            </w:pPr>
            <w:r>
              <w:rPr>
                <w:sz w:val="19"/>
              </w:rPr>
              <w:t>3.6545</w:t>
            </w:r>
          </w:p>
        </w:tc>
        <w:tc>
          <w:tcPr>
            <w:tcW w:type="dxa" w:w="3120"/>
          </w:tcPr>
          <w:p>
            <w:pPr>
              <w:spacing w:after="40" w:before="40"/>
            </w:pPr>
            <w:r>
              <w:rPr>
                <w:sz w:val="19"/>
              </w:rPr>
              <w:t>3.8999</w:t>
            </w:r>
          </w:p>
        </w:tc>
      </w:tr>
      <w:tr>
        <w:tc>
          <w:tcPr>
            <w:tcW w:type="dxa" w:w="3120"/>
          </w:tcPr>
          <w:p>
            <w:pPr>
              <w:spacing w:after="40" w:before="40"/>
            </w:pPr>
            <w:r>
              <w:rPr>
                <w:sz w:val="19"/>
              </w:rPr>
              <w:t>STARIMA</w:t>
            </w:r>
          </w:p>
        </w:tc>
        <w:tc>
          <w:tcPr>
            <w:tcW w:type="dxa" w:w="3120"/>
          </w:tcPr>
          <w:p>
            <w:pPr>
              <w:spacing w:after="40" w:before="40"/>
            </w:pPr>
            <w:r>
              <w:rPr>
                <w:sz w:val="19"/>
              </w:rPr>
              <w:t>3.1396</w:t>
            </w:r>
          </w:p>
        </w:tc>
        <w:tc>
          <w:tcPr>
            <w:tcW w:type="dxa" w:w="3120"/>
          </w:tcPr>
          <w:p>
            <w:pPr>
              <w:spacing w:after="40" w:before="40"/>
            </w:pPr>
            <w:r>
              <w:rPr>
                <w:sz w:val="19"/>
              </w:rPr>
              <w:t>3.5078</w:t>
            </w:r>
          </w:p>
        </w:tc>
      </w:tr>
      <w:tr>
        <w:tc>
          <w:tcPr>
            <w:tcW w:type="dxa" w:w="3120"/>
          </w:tcPr>
          <w:p>
            <w:pPr>
              <w:spacing w:after="40" w:before="40"/>
            </w:pPr>
            <w:r>
              <w:rPr>
                <w:sz w:val="19"/>
              </w:rPr>
              <w:t>ZINB</w:t>
            </w:r>
          </w:p>
        </w:tc>
        <w:tc>
          <w:tcPr>
            <w:tcW w:type="dxa" w:w="3120"/>
          </w:tcPr>
          <w:p>
            <w:pPr>
              <w:spacing w:after="40" w:before="40"/>
            </w:pPr>
            <w:r>
              <w:rPr>
                <w:sz w:val="19"/>
              </w:rPr>
              <w:t>5.5432</w:t>
            </w:r>
          </w:p>
        </w:tc>
        <w:tc>
          <w:tcPr>
            <w:tcW w:type="dxa" w:w="3120"/>
          </w:tcPr>
          <w:p>
            <w:pPr>
              <w:spacing w:after="40" w:before="40"/>
            </w:pPr>
            <w:r>
              <w:rPr>
                <w:sz w:val="19"/>
              </w:rPr>
              <w:t>diverged</w:t>
            </w:r>
          </w:p>
        </w:tc>
      </w:tr>
      <w:tr>
        <w:tc>
          <w:tcPr>
            <w:tcW w:type="dxa" w:w="3120"/>
          </w:tcPr>
          <w:p>
            <w:pPr>
              <w:spacing w:after="40" w:before="40"/>
            </w:pPr>
            <w:r>
              <w:rPr>
                <w:sz w:val="19"/>
              </w:rPr>
              <w:t>XGBoost</w:t>
            </w:r>
          </w:p>
        </w:tc>
        <w:tc>
          <w:tcPr>
            <w:tcW w:type="dxa" w:w="3120"/>
          </w:tcPr>
          <w:p>
            <w:pPr>
              <w:spacing w:after="40" w:before="40"/>
            </w:pPr>
            <w:r>
              <w:rPr>
                <w:sz w:val="19"/>
              </w:rPr>
              <w:t>2.9157</w:t>
            </w:r>
          </w:p>
        </w:tc>
        <w:tc>
          <w:tcPr>
            <w:tcW w:type="dxa" w:w="3120"/>
          </w:tcPr>
          <w:p>
            <w:pPr>
              <w:spacing w:after="40" w:before="40"/>
            </w:pPr>
            <w:r>
              <w:rPr>
                <w:sz w:val="19"/>
              </w:rPr>
              <w:t>3.3893</w:t>
            </w:r>
          </w:p>
        </w:tc>
      </w:tr>
      <w:tr>
        <w:tc>
          <w:tcPr>
            <w:tcW w:type="dxa" w:w="3120"/>
          </w:tcPr>
          <w:p>
            <w:pPr>
              <w:spacing w:after="40" w:before="40"/>
            </w:pPr>
            <w:r>
              <w:rPr>
                <w:sz w:val="19"/>
              </w:rPr>
              <w:t>LSTM-NB</w:t>
            </w:r>
          </w:p>
        </w:tc>
        <w:tc>
          <w:tcPr>
            <w:tcW w:type="dxa" w:w="3120"/>
          </w:tcPr>
          <w:p>
            <w:pPr>
              <w:spacing w:after="40" w:before="40"/>
            </w:pPr>
            <w:r>
              <w:rPr>
                <w:sz w:val="19"/>
              </w:rPr>
              <w:t>3.1037 ± 0.0396</w:t>
            </w:r>
          </w:p>
        </w:tc>
        <w:tc>
          <w:tcPr>
            <w:tcW w:type="dxa" w:w="3120"/>
          </w:tcPr>
          <w:p>
            <w:pPr>
              <w:spacing w:after="40" w:before="40"/>
            </w:pPr>
            <w:r>
              <w:rPr>
                <w:sz w:val="19"/>
              </w:rPr>
              <w:t>3.3426 ± 0.0616</w:t>
            </w:r>
          </w:p>
        </w:tc>
      </w:tr>
      <w:tr>
        <w:tc>
          <w:tcPr>
            <w:tcW w:type="dxa" w:w="3120"/>
          </w:tcPr>
          <w:p>
            <w:pPr>
              <w:spacing w:after="40" w:before="40"/>
            </w:pPr>
            <w:r>
              <w:rPr>
                <w:sz w:val="19"/>
              </w:rPr>
              <w:t>TFT-ZINB</w:t>
            </w:r>
          </w:p>
        </w:tc>
        <w:tc>
          <w:tcPr>
            <w:tcW w:type="dxa" w:w="3120"/>
          </w:tcPr>
          <w:p>
            <w:pPr>
              <w:spacing w:after="40" w:before="40"/>
            </w:pPr>
            <w:r>
              <w:rPr>
                <w:sz w:val="19"/>
              </w:rPr>
              <w:t>2.9456 ± 0.0500</w:t>
            </w:r>
          </w:p>
        </w:tc>
        <w:tc>
          <w:tcPr>
            <w:tcW w:type="dxa" w:w="3120"/>
          </w:tcPr>
          <w:p>
            <w:pPr>
              <w:spacing w:after="40" w:before="40"/>
            </w:pPr>
            <w:r>
              <w:rPr>
                <w:sz w:val="19"/>
              </w:rPr>
              <w:t>3.4244 ± 0.1581</w:t>
            </w:r>
          </w:p>
        </w:tc>
      </w:tr>
      <w:tr>
        <w:tc>
          <w:tcPr>
            <w:tcW w:type="dxa" w:w="3120"/>
          </w:tcPr>
          <w:p>
            <w:pPr>
              <w:spacing w:after="40" w:before="40"/>
            </w:pPr>
            <w:r>
              <w:rPr>
                <w:sz w:val="19"/>
              </w:rPr>
              <w:t>GraphWaveNet</w:t>
            </w:r>
          </w:p>
        </w:tc>
        <w:tc>
          <w:tcPr>
            <w:tcW w:type="dxa" w:w="3120"/>
          </w:tcPr>
          <w:p>
            <w:pPr>
              <w:spacing w:after="40" w:before="40"/>
            </w:pPr>
            <w:r>
              <w:rPr>
                <w:sz w:val="19"/>
              </w:rPr>
              <w:t>3.1189 ± 0.1073</w:t>
            </w:r>
          </w:p>
        </w:tc>
        <w:tc>
          <w:tcPr>
            <w:tcW w:type="dxa" w:w="3120"/>
          </w:tcPr>
          <w:p>
            <w:pPr>
              <w:spacing w:after="40" w:before="40"/>
            </w:pPr>
            <w:r>
              <w:rPr>
                <w:sz w:val="19"/>
              </w:rPr>
              <w:t>3.8857 ± 0.2102</w:t>
            </w:r>
          </w:p>
        </w:tc>
      </w:tr>
      <w:tr>
        <w:tc>
          <w:tcPr>
            <w:tcW w:type="dxa" w:w="3120"/>
          </w:tcPr>
          <w:p>
            <w:pPr>
              <w:spacing w:after="40" w:before="40"/>
            </w:pPr>
            <w:r>
              <w:rPr>
                <w:sz w:val="19"/>
              </w:rPr>
              <w:t>STZINB-GNN</w:t>
            </w:r>
          </w:p>
        </w:tc>
        <w:tc>
          <w:tcPr>
            <w:tcW w:type="dxa" w:w="3120"/>
          </w:tcPr>
          <w:p>
            <w:pPr>
              <w:spacing w:after="40" w:before="40"/>
            </w:pPr>
            <w:r>
              <w:rPr>
                <w:sz w:val="19"/>
              </w:rPr>
              <w:t>3.3222 ± 0.0772</w:t>
            </w:r>
          </w:p>
        </w:tc>
        <w:tc>
          <w:tcPr>
            <w:tcW w:type="dxa" w:w="3120"/>
          </w:tcPr>
          <w:p>
            <w:pPr>
              <w:spacing w:after="40" w:before="40"/>
            </w:pPr>
            <w:r>
              <w:rPr>
                <w:sz w:val="19"/>
              </w:rPr>
              <w:t>3.6921 ± 0.0525</w:t>
            </w:r>
          </w:p>
        </w:tc>
      </w:tr>
      <w:tr>
        <w:tc>
          <w:tcPr>
            <w:tcW w:type="dxa" w:w="3120"/>
          </w:tcPr>
          <w:p>
            <w:pPr>
              <w:spacing w:after="40" w:before="40"/>
            </w:pPr>
            <w:r>
              <w:rPr>
                <w:sz w:val="19"/>
              </w:rPr>
              <w:t>**CIVIC-SAFE**</w:t>
            </w:r>
          </w:p>
        </w:tc>
        <w:tc>
          <w:tcPr>
            <w:tcW w:type="dxa" w:w="3120"/>
          </w:tcPr>
          <w:p>
            <w:pPr>
              <w:spacing w:after="40" w:before="40"/>
            </w:pPr>
            <w:r>
              <w:rPr>
                <w:sz w:val="19"/>
              </w:rPr>
              <w:t>**2.8267**</w:t>
            </w:r>
          </w:p>
        </w:tc>
        <w:tc>
          <w:tcPr>
            <w:tcW w:type="dxa" w:w="3120"/>
          </w:tcPr>
          <w:p>
            <w:pPr>
              <w:spacing w:after="40" w:before="40"/>
            </w:pPr>
            <w:r>
              <w:rPr>
                <w:sz w:val="19"/>
              </w:rPr>
              <w:t>**3.1401**</w:t>
            </w:r>
          </w:p>
        </w:tc>
      </w:tr>
    </w:tbl>
    <w:p/>
    <w:p>
      <w:r>
        <w:t>CRPS 2.8267 and 3.1401, best in both cities. MAE 3.9017 and 4.3675, RMSE 7.0983</w:t>
      </w:r>
    </w:p>
    <w:p>
      <w:r>
        <w:t>and 7.6126, Brier on the zero event 0.0592 and 0.0493.</w:t>
      </w:r>
    </w:p>
    <w:p>
      <w:r>
        <w:t>The Diebold-Mariano results are clean. Against all four deep baselines in both</w:t>
      </w:r>
    </w:p>
    <w:p>
      <w:r>
        <w:t>cities — eight comparisons — CIVIC-SAFE wins every one at p &lt; 2e-6:</w:t>
      </w:r>
    </w:p>
    <w:tbl>
      <w:tblPr>
        <w:tblW w:type="auto" w:w="0"/>
        <w:jc w:val="center"/>
        <w:tblLayout w:type="autofit"/>
        <w:tblLook w:firstColumn="1" w:firstRow="1" w:lastColumn="0" w:lastRow="0" w:noHBand="0" w:noVBand="1" w:val="04A0"/>
      </w:tblPr>
      <w:tblGrid>
        <w:gridCol w:w="3120"/>
        <w:gridCol w:w="3120"/>
        <w:gridCol w:w="3120"/>
      </w:tblGrid>
      <w:tr>
        <w:tc>
          <w:tcPr>
            <w:tcW w:type="dxa" w:w="3120"/>
            <w:shd w:fill="EAECEF"/>
          </w:tcPr>
          <w:p>
            <w:pPr>
              <w:spacing w:after="40" w:before="40"/>
            </w:pPr>
            <w:r>
              <w:rPr>
                <w:b/>
                <w:sz w:val="20"/>
              </w:rPr>
              <w:t>Baseline</w:t>
            </w:r>
          </w:p>
        </w:tc>
        <w:tc>
          <w:tcPr>
            <w:tcW w:type="dxa" w:w="3120"/>
            <w:shd w:fill="EAECEF"/>
          </w:tcPr>
          <w:p>
            <w:pPr>
              <w:spacing w:after="40" w:before="40"/>
            </w:pPr>
            <w:r>
              <w:rPr>
                <w:b/>
                <w:sz w:val="20"/>
              </w:rPr>
              <w:t>Chicago DM (p)</w:t>
            </w:r>
          </w:p>
        </w:tc>
        <w:tc>
          <w:tcPr>
            <w:tcW w:type="dxa" w:w="3120"/>
            <w:shd w:fill="EAECEF"/>
          </w:tcPr>
          <w:p>
            <w:pPr>
              <w:spacing w:after="40" w:before="40"/>
            </w:pPr>
            <w:r>
              <w:rPr>
                <w:b/>
                <w:sz w:val="20"/>
              </w:rPr>
              <w:t>NYC DM (p)</w:t>
            </w:r>
          </w:p>
        </w:tc>
      </w:tr>
      <w:tr>
        <w:tc>
          <w:tcPr>
            <w:tcW w:type="dxa" w:w="3120"/>
          </w:tcPr>
          <w:p>
            <w:pPr>
              <w:spacing w:after="40" w:before="40"/>
            </w:pPr>
            <w:r>
              <w:rPr>
                <w:sz w:val="19"/>
              </w:rPr>
              <w:t>GraphWaveNet</w:t>
            </w:r>
          </w:p>
        </w:tc>
        <w:tc>
          <w:tcPr>
            <w:tcW w:type="dxa" w:w="3120"/>
          </w:tcPr>
          <w:p>
            <w:pPr>
              <w:spacing w:after="40" w:before="40"/>
            </w:pPr>
            <w:r>
              <w:rPr>
                <w:sz w:val="19"/>
              </w:rPr>
              <w:t>−9.319 (&lt; 1e-16)</w:t>
            </w:r>
          </w:p>
        </w:tc>
        <w:tc>
          <w:tcPr>
            <w:tcW w:type="dxa" w:w="3120"/>
          </w:tcPr>
          <w:p>
            <w:pPr>
              <w:spacing w:after="40" w:before="40"/>
            </w:pPr>
            <w:r>
              <w:rPr>
                <w:sz w:val="19"/>
              </w:rPr>
              <w:t>−15.321 (&lt; 1e-16)</w:t>
            </w:r>
          </w:p>
        </w:tc>
      </w:tr>
      <w:tr>
        <w:tc>
          <w:tcPr>
            <w:tcW w:type="dxa" w:w="3120"/>
          </w:tcPr>
          <w:p>
            <w:pPr>
              <w:spacing w:after="40" w:before="40"/>
            </w:pPr>
            <w:r>
              <w:rPr>
                <w:sz w:val="19"/>
              </w:rPr>
              <w:t>LSTM-NB</w:t>
            </w:r>
          </w:p>
        </w:tc>
        <w:tc>
          <w:tcPr>
            <w:tcW w:type="dxa" w:w="3120"/>
          </w:tcPr>
          <w:p>
            <w:pPr>
              <w:spacing w:after="40" w:before="40"/>
            </w:pPr>
            <w:r>
              <w:rPr>
                <w:sz w:val="19"/>
              </w:rPr>
              <w:t>−7.482 (7.33e-14)</w:t>
            </w:r>
          </w:p>
        </w:tc>
        <w:tc>
          <w:tcPr>
            <w:tcW w:type="dxa" w:w="3120"/>
          </w:tcPr>
          <w:p>
            <w:pPr>
              <w:spacing w:after="40" w:before="40"/>
            </w:pPr>
            <w:r>
              <w:rPr>
                <w:sz w:val="19"/>
              </w:rPr>
              <w:t>−6.979 (2.97e-12)</w:t>
            </w:r>
          </w:p>
        </w:tc>
      </w:tr>
      <w:tr>
        <w:tc>
          <w:tcPr>
            <w:tcW w:type="dxa" w:w="3120"/>
          </w:tcPr>
          <w:p>
            <w:pPr>
              <w:spacing w:after="40" w:before="40"/>
            </w:pPr>
            <w:r>
              <w:rPr>
                <w:sz w:val="19"/>
              </w:rPr>
              <w:t>STZINB-GNN</w:t>
            </w:r>
          </w:p>
        </w:tc>
        <w:tc>
          <w:tcPr>
            <w:tcW w:type="dxa" w:w="3120"/>
          </w:tcPr>
          <w:p>
            <w:pPr>
              <w:spacing w:after="40" w:before="40"/>
            </w:pPr>
            <w:r>
              <w:rPr>
                <w:sz w:val="19"/>
              </w:rPr>
              <w:t>−10.186 (&lt; 1e-16)</w:t>
            </w:r>
          </w:p>
        </w:tc>
        <w:tc>
          <w:tcPr>
            <w:tcW w:type="dxa" w:w="3120"/>
          </w:tcPr>
          <w:p>
            <w:pPr>
              <w:spacing w:after="40" w:before="40"/>
            </w:pPr>
            <w:r>
              <w:rPr>
                <w:sz w:val="19"/>
              </w:rPr>
              <w:t>−11.158 (&lt; 1e-16)</w:t>
            </w:r>
          </w:p>
        </w:tc>
      </w:tr>
      <w:tr>
        <w:tc>
          <w:tcPr>
            <w:tcW w:type="dxa" w:w="3120"/>
          </w:tcPr>
          <w:p>
            <w:pPr>
              <w:spacing w:after="40" w:before="40"/>
            </w:pPr>
            <w:r>
              <w:rPr>
                <w:sz w:val="19"/>
              </w:rPr>
              <w:t>TFT-ZINB</w:t>
            </w:r>
          </w:p>
        </w:tc>
        <w:tc>
          <w:tcPr>
            <w:tcW w:type="dxa" w:w="3120"/>
          </w:tcPr>
          <w:p>
            <w:pPr>
              <w:spacing w:after="40" w:before="40"/>
            </w:pPr>
            <w:r>
              <w:rPr>
                <w:sz w:val="19"/>
              </w:rPr>
              <w:t>−4.790 (1.67e-06)</w:t>
            </w:r>
          </w:p>
        </w:tc>
        <w:tc>
          <w:tcPr>
            <w:tcW w:type="dxa" w:w="3120"/>
          </w:tcPr>
          <w:p>
            <w:pPr>
              <w:spacing w:after="40" w:before="40"/>
            </w:pPr>
            <w:r>
              <w:rPr>
                <w:sz w:val="19"/>
              </w:rPr>
              <w:t>−7.669 (1.73e-14)</w:t>
            </w:r>
          </w:p>
        </w:tc>
      </w:tr>
    </w:tbl>
    <w:p/>
    <w:p>
      <w:r>
        <w:t>Against the rolling HA the margin is real but much smaller: Chicago DM</w:t>
      </w:r>
    </w:p>
    <w:p>
      <w:r>
        <w:t>p = 0.0338 with bootstrap p = 0.0053, NYC DM p = 0.0036 with bootstrap</w:t>
      </w:r>
    </w:p>
    <w:p>
      <w:r>
        <w:t>p = 0.0003. Both tests agree in both cities, which is what we required.</w:t>
      </w:r>
    </w:p>
    <w:p>
      <w:r>
        <w:t>Ensembling is doing heavy lifting, and it would be dishonest to imply otherwise.</w:t>
      </w:r>
    </w:p>
    <w:p>
      <w:r>
        <w:t>A single model averages CRPS 3.3622, worse than TFT-ZINB's 2.9456 on Chicago.</w:t>
      </w:r>
    </w:p>
    <w:p>
      <w:r>
        <w:t>Five-seed EMOS takes it to 2.8267, a 16% improvement. The architecture alone</w:t>
      </w:r>
    </w:p>
    <w:p>
      <w:r>
        <w:t>does not win.</w:t>
      </w:r>
    </w:p>
    <w:p>
      <w:r>
        <w:t>There is a harder fact in the benchmark that we want to put in front of the reader</w:t>
      </w:r>
    </w:p>
    <w:p>
      <w:r>
        <w:t xml:space="preserve">rather than leave to be discovered. The rolling historical average beats </w:t>
      </w:r>
      <w:r>
        <w:rPr>
          <w:i/>
        </w:rPr>
        <w:t>every</w:t>
      </w:r>
    </w:p>
    <w:p>
      <w:r>
        <w:t>deep spatiotemporal baseline we ran, in both cities: 2.9322 against LSTM-NB's</w:t>
      </w:r>
    </w:p>
    <w:p>
      <w:r>
        <w:t>3.1037, TFT-ZINB's 2.9456, GraphWaveNet's 3.1189 and STZINB-GNN's 3.3222 on</w:t>
      </w:r>
    </w:p>
    <w:p>
      <w:r>
        <w:t>Chicago, and 3.3034 against 3.3426, 3.4244, 3.8857 and 3.6921 on NYC. Eight</w:t>
      </w:r>
    </w:p>
    <w:p>
      <w:r>
        <w:t>comparisons, eight wins for the trailing mean. So the eight-of-eight</w:t>
      </w:r>
    </w:p>
    <w:p>
      <w:r>
        <w:t>Diebold-Mariano result above, impressive as the p-values look, establishes that we</w:t>
      </w:r>
    </w:p>
    <w:p>
      <w:r>
        <w:t>beat a set of models a four-week moving average also beats. The claim worth making</w:t>
      </w:r>
    </w:p>
    <w:p>
      <w:r>
        <w:t>is the narrower one: of everything in this study, CIVIC-SAFE is the only method</w:t>
      </w:r>
    </w:p>
    <w:p>
      <w:r>
        <w:t>that improves on the trailing mean, by 3.6% and 4.9%. Weekly area-level crime</w:t>
      </w:r>
    </w:p>
    <w:p>
      <w:r>
        <w:t>counts are strongly mean-reverting, and any paper in this area that does not report</w:t>
      </w:r>
    </w:p>
    <w:p>
      <w:r>
        <w:t>a rolling-average baseline should be read with that in mind.</w:t>
      </w:r>
    </w:p>
    <w:p>
      <w:r>
        <w:t>The Hersbach decomposition says something useful about where the remaining error</w:t>
      </w:r>
    </w:p>
    <w:p>
      <w:r>
        <w:t>lives:</w:t>
      </w:r>
    </w:p>
    <w:tbl>
      <w:tblPr>
        <w:tblW w:type="auto" w:w="0"/>
        <w:jc w:val="center"/>
        <w:tblLayout w:type="autofit"/>
        <w:tblLook w:firstColumn="1" w:firstRow="1" w:lastColumn="0" w:lastRow="0" w:noHBand="0" w:noVBand="1" w:val="04A0"/>
      </w:tblPr>
      <w:tblGrid>
        <w:gridCol w:w="3120"/>
        <w:gridCol w:w="3120"/>
        <w:gridCol w:w="3120"/>
      </w:tblGrid>
      <w:tr>
        <w:tc>
          <w:tcPr>
            <w:tcW w:type="dxa" w:w="3120"/>
            <w:shd w:fill="EAECEF"/>
          </w:tcPr>
          <w:p>
            <w:pPr>
              <w:spacing w:after="40" w:before="40"/>
            </w:pPr>
            <w:r>
              <w:rPr>
                <w:b/>
                <w:sz w:val="20"/>
              </w:rPr>
            </w:r>
          </w:p>
        </w:tc>
        <w:tc>
          <w:tcPr>
            <w:tcW w:type="dxa" w:w="3120"/>
            <w:shd w:fill="EAECEF"/>
          </w:tcPr>
          <w:p>
            <w:pPr>
              <w:spacing w:after="40" w:before="40"/>
            </w:pPr>
            <w:r>
              <w:rPr>
                <w:b/>
                <w:sz w:val="20"/>
              </w:rPr>
              <w:t>Chicago</w:t>
            </w:r>
          </w:p>
        </w:tc>
        <w:tc>
          <w:tcPr>
            <w:tcW w:type="dxa" w:w="3120"/>
            <w:shd w:fill="EAECEF"/>
          </w:tcPr>
          <w:p>
            <w:pPr>
              <w:spacing w:after="40" w:before="40"/>
            </w:pPr>
            <w:r>
              <w:rPr>
                <w:b/>
                <w:sz w:val="20"/>
              </w:rPr>
              <w:t>NYC</w:t>
            </w:r>
          </w:p>
        </w:tc>
      </w:tr>
      <w:tr>
        <w:tc>
          <w:tcPr>
            <w:tcW w:type="dxa" w:w="3120"/>
          </w:tcPr>
          <w:p>
            <w:pPr>
              <w:spacing w:after="40" w:before="40"/>
            </w:pPr>
            <w:r>
              <w:rPr>
                <w:sz w:val="19"/>
              </w:rPr>
              <w:t>Reliability (↓)</w:t>
            </w:r>
          </w:p>
        </w:tc>
        <w:tc>
          <w:tcPr>
            <w:tcW w:type="dxa" w:w="3120"/>
          </w:tcPr>
          <w:p>
            <w:pPr>
              <w:spacing w:after="40" w:before="40"/>
            </w:pPr>
            <w:r>
              <w:rPr>
                <w:sz w:val="19"/>
              </w:rPr>
              <w:t>0.00124</w:t>
            </w:r>
          </w:p>
        </w:tc>
        <w:tc>
          <w:tcPr>
            <w:tcW w:type="dxa" w:w="3120"/>
          </w:tcPr>
          <w:p>
            <w:pPr>
              <w:spacing w:after="40" w:before="40"/>
            </w:pPr>
            <w:r>
              <w:rPr>
                <w:sz w:val="19"/>
              </w:rPr>
              <w:t>0.0000604</w:t>
            </w:r>
          </w:p>
        </w:tc>
      </w:tr>
      <w:tr>
        <w:tc>
          <w:tcPr>
            <w:tcW w:type="dxa" w:w="3120"/>
          </w:tcPr>
          <w:p>
            <w:pPr>
              <w:spacing w:after="40" w:before="40"/>
            </w:pPr>
            <w:r>
              <w:rPr>
                <w:sz w:val="19"/>
              </w:rPr>
              <w:t>Resolution (↑)</w:t>
            </w:r>
          </w:p>
        </w:tc>
        <w:tc>
          <w:tcPr>
            <w:tcW w:type="dxa" w:w="3120"/>
          </w:tcPr>
          <w:p>
            <w:pPr>
              <w:spacing w:after="40" w:before="40"/>
            </w:pPr>
            <w:r>
              <w:rPr>
                <w:sz w:val="19"/>
              </w:rPr>
              <w:t>9.4280</w:t>
            </w:r>
          </w:p>
        </w:tc>
        <w:tc>
          <w:tcPr>
            <w:tcW w:type="dxa" w:w="3120"/>
          </w:tcPr>
          <w:p>
            <w:pPr>
              <w:spacing w:after="40" w:before="40"/>
            </w:pPr>
            <w:r>
              <w:rPr>
                <w:sz w:val="19"/>
              </w:rPr>
              <w:t>10.7048</w:t>
            </w:r>
          </w:p>
        </w:tc>
      </w:tr>
      <w:tr>
        <w:tc>
          <w:tcPr>
            <w:tcW w:type="dxa" w:w="3120"/>
          </w:tcPr>
          <w:p>
            <w:pPr>
              <w:spacing w:after="40" w:before="40"/>
            </w:pPr>
            <w:r>
              <w:rPr>
                <w:sz w:val="19"/>
              </w:rPr>
              <w:t>Uncertainty</w:t>
            </w:r>
          </w:p>
        </w:tc>
        <w:tc>
          <w:tcPr>
            <w:tcW w:type="dxa" w:w="3120"/>
          </w:tcPr>
          <w:p>
            <w:pPr>
              <w:spacing w:after="40" w:before="40"/>
            </w:pPr>
            <w:r>
              <w:rPr>
                <w:sz w:val="19"/>
              </w:rPr>
              <w:t>12.2534</w:t>
            </w:r>
          </w:p>
        </w:tc>
        <w:tc>
          <w:tcPr>
            <w:tcW w:type="dxa" w:w="3120"/>
          </w:tcPr>
          <w:p>
            <w:pPr>
              <w:spacing w:after="40" w:before="40"/>
            </w:pPr>
            <w:r>
              <w:rPr>
                <w:sz w:val="19"/>
              </w:rPr>
              <w:t>13.8448</w:t>
            </w:r>
          </w:p>
        </w:tc>
      </w:tr>
      <w:tr>
        <w:tc>
          <w:tcPr>
            <w:tcW w:type="dxa" w:w="3120"/>
          </w:tcPr>
          <w:p>
            <w:pPr>
              <w:spacing w:after="40" w:before="40"/>
            </w:pPr>
            <w:r>
              <w:rPr>
                <w:sz w:val="19"/>
              </w:rPr>
              <w:t>CRPSS vs climatology</w:t>
            </w:r>
          </w:p>
        </w:tc>
        <w:tc>
          <w:tcPr>
            <w:tcW w:type="dxa" w:w="3120"/>
          </w:tcPr>
          <w:p>
            <w:pPr>
              <w:spacing w:after="40" w:before="40"/>
            </w:pPr>
            <w:r>
              <w:rPr>
                <w:sz w:val="19"/>
              </w:rPr>
              <w:t>0.7693</w:t>
            </w:r>
          </w:p>
        </w:tc>
        <w:tc>
          <w:tcPr>
            <w:tcW w:type="dxa" w:w="3120"/>
          </w:tcPr>
          <w:p>
            <w:pPr>
              <w:spacing w:after="40" w:before="40"/>
            </w:pPr>
            <w:r>
              <w:rPr>
                <w:sz w:val="19"/>
              </w:rPr>
              <w:t>0.7732</w:t>
            </w:r>
          </w:p>
        </w:tc>
      </w:tr>
    </w:tbl>
    <w:p/>
    <w:p>
      <w:r>
        <w:t>Read this table carefully, because two of its columns are not commensurable.</w:t>
      </w:r>
    </w:p>
    <w:p>
      <w:r>
        <w:t>Resolution and uncertainty are on the count scale, in CRPS units, but reliability</w:t>
      </w:r>
    </w:p>
    <w:p>
      <w:r>
        <w:t>as computed here is a Cramer-von Mises statistic on the cumulative PIT — a</w:t>
      </w:r>
    </w:p>
    <w:p>
      <w:r>
        <w:t>squared probability. So REL/RES is not a fraction of forecast loss and we do not</w:t>
      </w:r>
    </w:p>
    <w:p>
      <w:r>
        <w:t>report it as one. Resolution is also obtained by residual from</w:t>
      </w:r>
    </w:p>
    <w:p>
      <w:r>
        <w:t>CRPS = REL - RES + UNC, so the reconstruction agrees with the measured CRPS by</w:t>
      </w:r>
    </w:p>
    <w:p>
      <w:r>
        <w:t>construction and cannot fail. What the reliability term does support is a</w:t>
      </w:r>
    </w:p>
    <w:p>
      <w:r>
        <w:t>comparison: Chicago's 0.00124 against NYC's 0.00006 is a factor of 20.6, and</w:t>
      </w:r>
    </w:p>
    <w:p>
      <w:r>
        <w:t>Chicago's cumulative PIT deviation reaches 4.95 points with every bin deviating</w:t>
      </w:r>
    </w:p>
    <w:p>
      <w:r>
        <w:t>the same way. That agrees with the independent chi-square PIT test (ratio 22.5)</w:t>
      </w:r>
    </w:p>
    <w:p>
      <w:r>
        <w:t>and says Chicago is about twenty times worse calibrated than NYC. The</w:t>
      </w:r>
    </w:p>
    <w:p>
      <w:r>
        <w:t>well-posed absolute statement is the skill score against climatology, 0.7693 and</w:t>
      </w:r>
    </w:p>
    <w:p>
      <w:r>
        <w:t>0.7732: both cities extract roughly 77% of the available skill.</w:t>
      </w:r>
    </w:p>
    <w:p>
      <w:pPr>
        <w:spacing w:before="200" w:after="60"/>
      </w:pPr>
      <w:r>
        <w:rPr>
          <w:b/>
          <w:color w:val="2C3E50"/>
          <w:sz w:val="24"/>
        </w:rPr>
        <w:t>B. Where the errors live in space</w:t>
      </w:r>
    </w:p>
    <w:p>
      <w:r>
        <w:t>Averaging the residual (predicted minus actual violent count) over the 53 test</w:t>
      </w:r>
    </w:p>
    <w:p>
      <w:r>
        <w:t>weeks for each of Chicago's 77 community areas turns up something the aggregate</w:t>
      </w:r>
    </w:p>
    <w:p>
      <w:r>
        <w:t xml:space="preserve">metrics hide. </w:t>
      </w:r>
      <w:r>
        <w:rPr>
          <w:b/>
        </w:rPr>
        <w:t>65 of 77 areas are under-predicted.</w:t>
      </w:r>
      <w:r>
        <w:t xml:space="preserve"> The mean residual is</w:t>
      </w:r>
    </w:p>
    <w:p>
      <w:r>
        <w:t>−1.03 incidents per area-week, the median −0.52, and the range is lopsided:</w:t>
      </w:r>
    </w:p>
    <w:p>
      <w:r>
        <w:t>−8.31 at worst against only +1.40 at the other end. Predicted counts top out at</w:t>
      </w:r>
    </w:p>
    <w:p>
      <w:r>
        <w:t>102 where actual counts reach 133.</w:t>
      </w:r>
    </w:p>
    <w:p>
      <w:r>
        <w:t>The bias is not spread evenly. Correlating each area's mean residual against its</w:t>
      </w:r>
    </w:p>
    <w:p>
      <w:r>
        <w:t xml:space="preserve">mean actual count gives </w:t>
      </w:r>
      <w:r>
        <w:rPr>
          <w:b/>
        </w:rPr>
        <w:t>−0.66</w:t>
      </w:r>
      <w:r>
        <w:t xml:space="preserve"> — the busiest areas are under-predicted the</w:t>
      </w:r>
    </w:p>
    <w:p>
      <w:r>
        <w:t>most. Fig. 13 maps this, and the under-prediction concentrates visibly on</w:t>
      </w:r>
    </w:p>
    <w:p>
      <w:r>
        <w:t>Chicago's West Side, which is where violent crime is highest.</w:t>
      </w:r>
    </w:p>
    <w:p>
      <w:r>
        <w:t>We point this out because it independently confirms what the PIT test says in</w:t>
      </w:r>
    </w:p>
    <w:p>
      <w:r>
        <w:t>Section VI. Two diagnostics computed in completely different ways — a</w:t>
      </w:r>
    </w:p>
    <w:p>
      <w:r>
        <w:t>distributional uniformity test on the probability integral transform, and a</w:t>
      </w:r>
    </w:p>
    <w:p>
      <w:r>
        <w:t>plain spatial average of signed errors — agree that the model compresses</w:t>
      </w:r>
    </w:p>
    <w:p>
      <w:r>
        <w:t>Chicago's upper tail. That is more convincing than either alone, and it locates</w:t>
      </w:r>
    </w:p>
    <w:p>
      <w:r>
        <w:t>the problem: not diffuse noise, but a systematic shortfall in the highest-count</w:t>
      </w:r>
    </w:p>
    <w:p>
      <w:r>
        <w:t>areas.</w:t>
      </w:r>
    </w:p>
    <w:p>
      <w:pPr>
        <w:spacing w:before="200" w:after="60"/>
      </w:pPr>
      <w:r>
        <w:rPr>
          <w:b/>
          <w:color w:val="2C3E50"/>
          <w:sz w:val="24"/>
        </w:rPr>
        <w:t>C. Conformal calibration and the constraint that bites</w:t>
      </w:r>
    </w:p>
    <w:p>
      <w:r>
        <w:t>Ten variants, target 90%, disparity ceiling 0.03 fixed in advance.</w:t>
      </w:r>
    </w:p>
    <w:p>
      <w:r>
        <w:rPr>
          <w:b/>
        </w:rPr>
        <w:t>Chicago</w:t>
      </w:r>
      <w:r>
        <w:t xml:space="preserve"> (selected: equalized coverage)</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EAECEF"/>
          </w:tcPr>
          <w:p>
            <w:pPr>
              <w:spacing w:after="40" w:before="40"/>
            </w:pPr>
            <w:r>
              <w:rPr>
                <w:b/>
                <w:sz w:val="20"/>
              </w:rPr>
              <w:t>Method</w:t>
            </w:r>
          </w:p>
        </w:tc>
        <w:tc>
          <w:tcPr>
            <w:tcW w:type="dxa" w:w="2340"/>
            <w:shd w:fill="EAECEF"/>
          </w:tcPr>
          <w:p>
            <w:pPr>
              <w:spacing w:after="40" w:before="40"/>
            </w:pPr>
            <w:r>
              <w:rPr>
                <w:b/>
                <w:sz w:val="20"/>
              </w:rPr>
              <w:t>Coverage</w:t>
            </w:r>
          </w:p>
        </w:tc>
        <w:tc>
          <w:tcPr>
            <w:tcW w:type="dxa" w:w="2340"/>
            <w:shd w:fill="EAECEF"/>
          </w:tcPr>
          <w:p>
            <w:pPr>
              <w:spacing w:after="40" w:before="40"/>
            </w:pPr>
            <w:r>
              <w:rPr>
                <w:b/>
                <w:sz w:val="20"/>
              </w:rPr>
              <w:t>Width</w:t>
            </w:r>
          </w:p>
        </w:tc>
        <w:tc>
          <w:tcPr>
            <w:tcW w:type="dxa" w:w="2340"/>
            <w:shd w:fill="EAECEF"/>
          </w:tcPr>
          <w:p>
            <w:pPr>
              <w:spacing w:after="40" w:before="40"/>
            </w:pPr>
            <w:r>
              <w:rPr>
                <w:b/>
                <w:sz w:val="20"/>
              </w:rPr>
              <w:t>Disparity</w:t>
            </w:r>
          </w:p>
        </w:tc>
      </w:tr>
      <w:tr>
        <w:tc>
          <w:tcPr>
            <w:tcW w:type="dxa" w:w="2340"/>
          </w:tcPr>
          <w:p>
            <w:pPr>
              <w:spacing w:after="40" w:before="40"/>
            </w:pPr>
            <w:r>
              <w:rPr>
                <w:sz w:val="19"/>
              </w:rPr>
              <w:t>Split CP</w:t>
            </w:r>
          </w:p>
        </w:tc>
        <w:tc>
          <w:tcPr>
            <w:tcW w:type="dxa" w:w="2340"/>
          </w:tcPr>
          <w:p>
            <w:pPr>
              <w:spacing w:after="40" w:before="40"/>
            </w:pPr>
            <w:r>
              <w:rPr>
                <w:sz w:val="19"/>
              </w:rPr>
              <w:t>0.9405</w:t>
            </w:r>
          </w:p>
        </w:tc>
        <w:tc>
          <w:tcPr>
            <w:tcW w:type="dxa" w:w="2340"/>
          </w:tcPr>
          <w:p>
            <w:pPr>
              <w:spacing w:after="40" w:before="40"/>
            </w:pPr>
            <w:r>
              <w:rPr>
                <w:sz w:val="19"/>
              </w:rPr>
              <w:t>16.25</w:t>
            </w:r>
          </w:p>
        </w:tc>
        <w:tc>
          <w:tcPr>
            <w:tcW w:type="dxa" w:w="2340"/>
          </w:tcPr>
          <w:p>
            <w:pPr>
              <w:spacing w:after="40" w:before="40"/>
            </w:pPr>
            <w:r>
              <w:rPr>
                <w:sz w:val="19"/>
              </w:rPr>
              <w:t>0.0182</w:t>
            </w:r>
          </w:p>
        </w:tc>
      </w:tr>
      <w:tr>
        <w:tc>
          <w:tcPr>
            <w:tcW w:type="dxa" w:w="2340"/>
          </w:tcPr>
          <w:p>
            <w:pPr>
              <w:spacing w:after="40" w:before="40"/>
            </w:pPr>
            <w:r>
              <w:rPr>
                <w:sz w:val="19"/>
              </w:rPr>
              <w:t>Randomized split CP</w:t>
            </w:r>
          </w:p>
        </w:tc>
        <w:tc>
          <w:tcPr>
            <w:tcW w:type="dxa" w:w="2340"/>
          </w:tcPr>
          <w:p>
            <w:pPr>
              <w:spacing w:after="40" w:before="40"/>
            </w:pPr>
            <w:r>
              <w:rPr>
                <w:sz w:val="19"/>
              </w:rPr>
              <w:t>0.9347</w:t>
            </w:r>
          </w:p>
        </w:tc>
        <w:tc>
          <w:tcPr>
            <w:tcW w:type="dxa" w:w="2340"/>
          </w:tcPr>
          <w:p>
            <w:pPr>
              <w:spacing w:after="40" w:before="40"/>
            </w:pPr>
            <w:r>
              <w:rPr>
                <w:sz w:val="19"/>
              </w:rPr>
              <w:t>16.54</w:t>
            </w:r>
          </w:p>
        </w:tc>
        <w:tc>
          <w:tcPr>
            <w:tcW w:type="dxa" w:w="2340"/>
          </w:tcPr>
          <w:p>
            <w:pPr>
              <w:spacing w:after="40" w:before="40"/>
            </w:pPr>
            <w:r>
              <w:rPr>
                <w:sz w:val="19"/>
              </w:rPr>
              <w:t>0.0115</w:t>
            </w:r>
          </w:p>
        </w:tc>
      </w:tr>
      <w:tr>
        <w:tc>
          <w:tcPr>
            <w:tcW w:type="dxa" w:w="2340"/>
          </w:tcPr>
          <w:p>
            <w:pPr>
              <w:spacing w:after="40" w:before="40"/>
            </w:pPr>
            <w:r>
              <w:rPr>
                <w:sz w:val="19"/>
              </w:rPr>
              <w:t>Weighted CP</w:t>
            </w:r>
          </w:p>
        </w:tc>
        <w:tc>
          <w:tcPr>
            <w:tcW w:type="dxa" w:w="2340"/>
          </w:tcPr>
          <w:p>
            <w:pPr>
              <w:spacing w:after="40" w:before="40"/>
            </w:pPr>
            <w:r>
              <w:rPr>
                <w:sz w:val="19"/>
              </w:rPr>
              <w:t>0.9075</w:t>
            </w:r>
          </w:p>
        </w:tc>
        <w:tc>
          <w:tcPr>
            <w:tcW w:type="dxa" w:w="2340"/>
          </w:tcPr>
          <w:p>
            <w:pPr>
              <w:spacing w:after="40" w:before="40"/>
            </w:pPr>
            <w:r>
              <w:rPr>
                <w:sz w:val="19"/>
              </w:rPr>
              <w:t>14.58</w:t>
            </w:r>
          </w:p>
        </w:tc>
        <w:tc>
          <w:tcPr>
            <w:tcW w:type="dxa" w:w="2340"/>
          </w:tcPr>
          <w:p>
            <w:pPr>
              <w:spacing w:after="40" w:before="40"/>
            </w:pPr>
            <w:r>
              <w:rPr>
                <w:sz w:val="19"/>
              </w:rPr>
              <w:t>0.0238</w:t>
            </w:r>
          </w:p>
        </w:tc>
      </w:tr>
      <w:tr>
        <w:tc>
          <w:tcPr>
            <w:tcW w:type="dxa" w:w="2340"/>
          </w:tcPr>
          <w:p>
            <w:pPr>
              <w:spacing w:after="40" w:before="40"/>
            </w:pPr>
            <w:r>
              <w:rPr>
                <w:sz w:val="19"/>
              </w:rPr>
              <w:t>Mondrian</w:t>
            </w:r>
          </w:p>
        </w:tc>
        <w:tc>
          <w:tcPr>
            <w:tcW w:type="dxa" w:w="2340"/>
          </w:tcPr>
          <w:p>
            <w:pPr>
              <w:spacing w:after="40" w:before="40"/>
            </w:pPr>
            <w:r>
              <w:rPr>
                <w:sz w:val="19"/>
              </w:rPr>
              <w:t>0.9169</w:t>
            </w:r>
          </w:p>
        </w:tc>
        <w:tc>
          <w:tcPr>
            <w:tcW w:type="dxa" w:w="2340"/>
          </w:tcPr>
          <w:p>
            <w:pPr>
              <w:spacing w:after="40" w:before="40"/>
            </w:pPr>
            <w:r>
              <w:rPr>
                <w:sz w:val="19"/>
              </w:rPr>
              <w:t>15.02</w:t>
            </w:r>
          </w:p>
        </w:tc>
        <w:tc>
          <w:tcPr>
            <w:tcW w:type="dxa" w:w="2340"/>
          </w:tcPr>
          <w:p>
            <w:pPr>
              <w:spacing w:after="40" w:before="40"/>
            </w:pPr>
            <w:r>
              <w:rPr>
                <w:sz w:val="19"/>
              </w:rPr>
              <w:t>0.0319</w:t>
            </w:r>
          </w:p>
        </w:tc>
      </w:tr>
      <w:tr>
        <w:tc>
          <w:tcPr>
            <w:tcW w:type="dxa" w:w="2340"/>
          </w:tcPr>
          <w:p>
            <w:pPr>
              <w:spacing w:after="40" w:before="40"/>
            </w:pPr>
            <w:r>
              <w:rPr>
                <w:sz w:val="19"/>
              </w:rPr>
              <w:t>Mondrian (category)</w:t>
            </w:r>
          </w:p>
        </w:tc>
        <w:tc>
          <w:tcPr>
            <w:tcW w:type="dxa" w:w="2340"/>
          </w:tcPr>
          <w:p>
            <w:pPr>
              <w:spacing w:after="40" w:before="40"/>
            </w:pPr>
            <w:r>
              <w:rPr>
                <w:sz w:val="19"/>
              </w:rPr>
              <w:t>0.9313</w:t>
            </w:r>
          </w:p>
        </w:tc>
        <w:tc>
          <w:tcPr>
            <w:tcW w:type="dxa" w:w="2340"/>
          </w:tcPr>
          <w:p>
            <w:pPr>
              <w:spacing w:after="40" w:before="40"/>
            </w:pPr>
            <w:r>
              <w:rPr>
                <w:sz w:val="19"/>
              </w:rPr>
              <w:t>17.19</w:t>
            </w:r>
          </w:p>
        </w:tc>
        <w:tc>
          <w:tcPr>
            <w:tcW w:type="dxa" w:w="2340"/>
          </w:tcPr>
          <w:p>
            <w:pPr>
              <w:spacing w:after="40" w:before="40"/>
            </w:pPr>
            <w:r>
              <w:rPr>
                <w:sz w:val="19"/>
              </w:rPr>
              <w:t>0.0250</w:t>
            </w:r>
          </w:p>
        </w:tc>
      </w:tr>
      <w:tr>
        <w:tc>
          <w:tcPr>
            <w:tcW w:type="dxa" w:w="2340"/>
          </w:tcPr>
          <w:p>
            <w:pPr>
              <w:spacing w:after="40" w:before="40"/>
            </w:pPr>
            <w:r>
              <w:rPr>
                <w:sz w:val="19"/>
              </w:rPr>
              <w:t>Mondrian (demo × category)</w:t>
            </w:r>
          </w:p>
        </w:tc>
        <w:tc>
          <w:tcPr>
            <w:tcW w:type="dxa" w:w="2340"/>
          </w:tcPr>
          <w:p>
            <w:pPr>
              <w:spacing w:after="40" w:before="40"/>
            </w:pPr>
            <w:r>
              <w:rPr>
                <w:sz w:val="19"/>
              </w:rPr>
              <w:t>0.9305</w:t>
            </w:r>
          </w:p>
        </w:tc>
        <w:tc>
          <w:tcPr>
            <w:tcW w:type="dxa" w:w="2340"/>
          </w:tcPr>
          <w:p>
            <w:pPr>
              <w:spacing w:after="40" w:before="40"/>
            </w:pPr>
            <w:r>
              <w:rPr>
                <w:sz w:val="19"/>
              </w:rPr>
              <w:t>17.35</w:t>
            </w:r>
          </w:p>
        </w:tc>
        <w:tc>
          <w:tcPr>
            <w:tcW w:type="dxa" w:w="2340"/>
          </w:tcPr>
          <w:p>
            <w:pPr>
              <w:spacing w:after="40" w:before="40"/>
            </w:pPr>
            <w:r>
              <w:rPr>
                <w:sz w:val="19"/>
              </w:rPr>
              <w:t>0.0119</w:t>
            </w:r>
          </w:p>
        </w:tc>
      </w:tr>
      <w:tr>
        <w:tc>
          <w:tcPr>
            <w:tcW w:type="dxa" w:w="2340"/>
          </w:tcPr>
          <w:p>
            <w:pPr>
              <w:spacing w:after="40" w:before="40"/>
            </w:pPr>
            <w:r>
              <w:rPr>
                <w:sz w:val="19"/>
              </w:rPr>
              <w:t>**Equalized coverage**</w:t>
            </w:r>
          </w:p>
        </w:tc>
        <w:tc>
          <w:tcPr>
            <w:tcW w:type="dxa" w:w="2340"/>
          </w:tcPr>
          <w:p>
            <w:pPr>
              <w:spacing w:after="40" w:before="40"/>
            </w:pPr>
            <w:r>
              <w:rPr>
                <w:sz w:val="19"/>
              </w:rPr>
              <w:t>**0.9075**</w:t>
            </w:r>
          </w:p>
        </w:tc>
        <w:tc>
          <w:tcPr>
            <w:tcW w:type="dxa" w:w="2340"/>
          </w:tcPr>
          <w:p>
            <w:pPr>
              <w:spacing w:after="40" w:before="40"/>
            </w:pPr>
            <w:r>
              <w:rPr>
                <w:sz w:val="19"/>
              </w:rPr>
              <w:t>**14.58**</w:t>
            </w:r>
          </w:p>
        </w:tc>
        <w:tc>
          <w:tcPr>
            <w:tcW w:type="dxa" w:w="2340"/>
          </w:tcPr>
          <w:p>
            <w:pPr>
              <w:spacing w:after="40" w:before="40"/>
            </w:pPr>
            <w:r>
              <w:rPr>
                <w:sz w:val="19"/>
              </w:rPr>
              <w:t>**0.0238**</w:t>
            </w:r>
          </w:p>
        </w:tc>
      </w:tr>
      <w:tr>
        <w:tc>
          <w:tcPr>
            <w:tcW w:type="dxa" w:w="2340"/>
          </w:tcPr>
          <w:p>
            <w:pPr>
              <w:spacing w:after="40" w:before="40"/>
            </w:pPr>
            <w:r>
              <w:rPr>
                <w:sz w:val="19"/>
              </w:rPr>
              <w:t>Variance-scaled split CP</w:t>
            </w:r>
          </w:p>
        </w:tc>
        <w:tc>
          <w:tcPr>
            <w:tcW w:type="dxa" w:w="2340"/>
          </w:tcPr>
          <w:p>
            <w:pPr>
              <w:spacing w:after="40" w:before="40"/>
            </w:pPr>
            <w:r>
              <w:rPr>
                <w:sz w:val="19"/>
              </w:rPr>
              <w:t>0.9079</w:t>
            </w:r>
          </w:p>
        </w:tc>
        <w:tc>
          <w:tcPr>
            <w:tcW w:type="dxa" w:w="2340"/>
          </w:tcPr>
          <w:p>
            <w:pPr>
              <w:spacing w:after="40" w:before="40"/>
            </w:pPr>
            <w:r>
              <w:rPr>
                <w:sz w:val="19"/>
              </w:rPr>
              <w:t>14.65</w:t>
            </w:r>
          </w:p>
        </w:tc>
        <w:tc>
          <w:tcPr>
            <w:tcW w:type="dxa" w:w="2340"/>
          </w:tcPr>
          <w:p>
            <w:pPr>
              <w:spacing w:after="40" w:before="40"/>
            </w:pPr>
            <w:r>
              <w:rPr>
                <w:sz w:val="19"/>
              </w:rPr>
              <w:t>0.0242</w:t>
            </w:r>
          </w:p>
        </w:tc>
      </w:tr>
      <w:tr>
        <w:tc>
          <w:tcPr>
            <w:tcW w:type="dxa" w:w="2340"/>
          </w:tcPr>
          <w:p>
            <w:pPr>
              <w:spacing w:after="40" w:before="40"/>
            </w:pPr>
            <w:r>
              <w:rPr>
                <w:sz w:val="19"/>
              </w:rPr>
              <w:t>ECRC</w:t>
            </w:r>
          </w:p>
        </w:tc>
        <w:tc>
          <w:tcPr>
            <w:tcW w:type="dxa" w:w="2340"/>
          </w:tcPr>
          <w:p>
            <w:pPr>
              <w:spacing w:after="40" w:before="40"/>
            </w:pPr>
            <w:r>
              <w:rPr>
                <w:sz w:val="19"/>
              </w:rPr>
              <w:t>0.9235</w:t>
            </w:r>
          </w:p>
        </w:tc>
        <w:tc>
          <w:tcPr>
            <w:tcW w:type="dxa" w:w="2340"/>
          </w:tcPr>
          <w:p>
            <w:pPr>
              <w:spacing w:after="40" w:before="40"/>
            </w:pPr>
            <w:r>
              <w:rPr>
                <w:sz w:val="19"/>
              </w:rPr>
              <w:t>15.89</w:t>
            </w:r>
          </w:p>
        </w:tc>
        <w:tc>
          <w:tcPr>
            <w:tcW w:type="dxa" w:w="2340"/>
          </w:tcPr>
          <w:p>
            <w:pPr>
              <w:spacing w:after="40" w:before="40"/>
            </w:pPr>
            <w:r>
              <w:rPr>
                <w:sz w:val="19"/>
              </w:rPr>
              <w:t>0.0156</w:t>
            </w:r>
          </w:p>
        </w:tc>
      </w:tr>
      <w:tr>
        <w:tc>
          <w:tcPr>
            <w:tcW w:type="dxa" w:w="2340"/>
          </w:tcPr>
          <w:p>
            <w:pPr>
              <w:spacing w:after="40" w:before="40"/>
            </w:pPr>
            <w:r>
              <w:rPr>
                <w:sz w:val="19"/>
              </w:rPr>
              <w:t>Adaptive ECRC (rolling)</w:t>
            </w:r>
          </w:p>
        </w:tc>
        <w:tc>
          <w:tcPr>
            <w:tcW w:type="dxa" w:w="2340"/>
          </w:tcPr>
          <w:p>
            <w:pPr>
              <w:spacing w:after="40" w:before="40"/>
            </w:pPr>
            <w:r>
              <w:rPr>
                <w:sz w:val="19"/>
              </w:rPr>
              <w:t>0.8930</w:t>
            </w:r>
          </w:p>
        </w:tc>
        <w:tc>
          <w:tcPr>
            <w:tcW w:type="dxa" w:w="2340"/>
          </w:tcPr>
          <w:p>
            <w:pPr>
              <w:spacing w:after="40" w:before="40"/>
            </w:pPr>
            <w:r>
              <w:rPr>
                <w:sz w:val="19"/>
              </w:rPr>
              <w:t>13.88</w:t>
            </w:r>
          </w:p>
        </w:tc>
        <w:tc>
          <w:tcPr>
            <w:tcW w:type="dxa" w:w="2340"/>
          </w:tcPr>
          <w:p>
            <w:pPr>
              <w:spacing w:after="40" w:before="40"/>
            </w:pPr>
            <w:r>
              <w:rPr>
                <w:sz w:val="19"/>
              </w:rPr>
              <w:t>0.0013</w:t>
            </w:r>
          </w:p>
        </w:tc>
      </w:tr>
    </w:tbl>
    <w:p/>
    <w:p>
      <w:r>
        <w:rPr>
          <w:b/>
        </w:rPr>
        <w:t>NYC</w:t>
      </w:r>
      <w:r>
        <w:t xml:space="preserve"> (selected: variance-scaled split CP)</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EAECEF"/>
          </w:tcPr>
          <w:p>
            <w:pPr>
              <w:spacing w:after="40" w:before="40"/>
            </w:pPr>
            <w:r>
              <w:rPr>
                <w:b/>
                <w:sz w:val="20"/>
              </w:rPr>
              <w:t>Method</w:t>
            </w:r>
          </w:p>
        </w:tc>
        <w:tc>
          <w:tcPr>
            <w:tcW w:type="dxa" w:w="2340"/>
            <w:shd w:fill="EAECEF"/>
          </w:tcPr>
          <w:p>
            <w:pPr>
              <w:spacing w:after="40" w:before="40"/>
            </w:pPr>
            <w:r>
              <w:rPr>
                <w:b/>
                <w:sz w:val="20"/>
              </w:rPr>
              <w:t>Coverage</w:t>
            </w:r>
          </w:p>
        </w:tc>
        <w:tc>
          <w:tcPr>
            <w:tcW w:type="dxa" w:w="2340"/>
            <w:shd w:fill="EAECEF"/>
          </w:tcPr>
          <w:p>
            <w:pPr>
              <w:spacing w:after="40" w:before="40"/>
            </w:pPr>
            <w:r>
              <w:rPr>
                <w:b/>
                <w:sz w:val="20"/>
              </w:rPr>
              <w:t>Width</w:t>
            </w:r>
          </w:p>
        </w:tc>
        <w:tc>
          <w:tcPr>
            <w:tcW w:type="dxa" w:w="2340"/>
            <w:shd w:fill="EAECEF"/>
          </w:tcPr>
          <w:p>
            <w:pPr>
              <w:spacing w:after="40" w:before="40"/>
            </w:pPr>
            <w:r>
              <w:rPr>
                <w:b/>
                <w:sz w:val="20"/>
              </w:rPr>
              <w:t>Disparity</w:t>
            </w:r>
          </w:p>
        </w:tc>
      </w:tr>
      <w:tr>
        <w:tc>
          <w:tcPr>
            <w:tcW w:type="dxa" w:w="2340"/>
          </w:tcPr>
          <w:p>
            <w:pPr>
              <w:spacing w:after="40" w:before="40"/>
            </w:pPr>
            <w:r>
              <w:rPr>
                <w:sz w:val="19"/>
              </w:rPr>
              <w:t>Split CP</w:t>
            </w:r>
          </w:p>
        </w:tc>
        <w:tc>
          <w:tcPr>
            <w:tcW w:type="dxa" w:w="2340"/>
          </w:tcPr>
          <w:p>
            <w:pPr>
              <w:spacing w:after="40" w:before="40"/>
            </w:pPr>
            <w:r>
              <w:rPr>
                <w:sz w:val="19"/>
              </w:rPr>
              <w:t>0.9326</w:t>
            </w:r>
          </w:p>
        </w:tc>
        <w:tc>
          <w:tcPr>
            <w:tcW w:type="dxa" w:w="2340"/>
          </w:tcPr>
          <w:p>
            <w:pPr>
              <w:spacing w:after="40" w:before="40"/>
            </w:pPr>
            <w:r>
              <w:rPr>
                <w:sz w:val="19"/>
              </w:rPr>
              <w:t>18.57</w:t>
            </w:r>
          </w:p>
        </w:tc>
        <w:tc>
          <w:tcPr>
            <w:tcW w:type="dxa" w:w="2340"/>
          </w:tcPr>
          <w:p>
            <w:pPr>
              <w:spacing w:after="40" w:before="40"/>
            </w:pPr>
            <w:r>
              <w:rPr>
                <w:sz w:val="19"/>
              </w:rPr>
              <w:t>0.0201</w:t>
            </w:r>
          </w:p>
        </w:tc>
      </w:tr>
      <w:tr>
        <w:tc>
          <w:tcPr>
            <w:tcW w:type="dxa" w:w="2340"/>
          </w:tcPr>
          <w:p>
            <w:pPr>
              <w:spacing w:after="40" w:before="40"/>
            </w:pPr>
            <w:r>
              <w:rPr>
                <w:sz w:val="19"/>
              </w:rPr>
              <w:t>Randomized split CP</w:t>
            </w:r>
          </w:p>
        </w:tc>
        <w:tc>
          <w:tcPr>
            <w:tcW w:type="dxa" w:w="2340"/>
          </w:tcPr>
          <w:p>
            <w:pPr>
              <w:spacing w:after="40" w:before="40"/>
            </w:pPr>
            <w:r>
              <w:rPr>
                <w:sz w:val="19"/>
              </w:rPr>
              <w:t>0.9328</w:t>
            </w:r>
          </w:p>
        </w:tc>
        <w:tc>
          <w:tcPr>
            <w:tcW w:type="dxa" w:w="2340"/>
          </w:tcPr>
          <w:p>
            <w:pPr>
              <w:spacing w:after="40" w:before="40"/>
            </w:pPr>
            <w:r>
              <w:rPr>
                <w:sz w:val="19"/>
              </w:rPr>
              <w:t>18.60</w:t>
            </w:r>
          </w:p>
        </w:tc>
        <w:tc>
          <w:tcPr>
            <w:tcW w:type="dxa" w:w="2340"/>
          </w:tcPr>
          <w:p>
            <w:pPr>
              <w:spacing w:after="40" w:before="40"/>
            </w:pPr>
            <w:r>
              <w:rPr>
                <w:sz w:val="19"/>
              </w:rPr>
              <w:t>0.0201</w:t>
            </w:r>
          </w:p>
        </w:tc>
      </w:tr>
      <w:tr>
        <w:tc>
          <w:tcPr>
            <w:tcW w:type="dxa" w:w="2340"/>
          </w:tcPr>
          <w:p>
            <w:pPr>
              <w:spacing w:after="40" w:before="40"/>
            </w:pPr>
            <w:r>
              <w:rPr>
                <w:sz w:val="19"/>
              </w:rPr>
              <w:t>Weighted CP</w:t>
            </w:r>
          </w:p>
        </w:tc>
        <w:tc>
          <w:tcPr>
            <w:tcW w:type="dxa" w:w="2340"/>
          </w:tcPr>
          <w:p>
            <w:pPr>
              <w:spacing w:after="40" w:before="40"/>
            </w:pPr>
            <w:r>
              <w:rPr>
                <w:sz w:val="19"/>
              </w:rPr>
              <w:t>0.9326</w:t>
            </w:r>
          </w:p>
        </w:tc>
        <w:tc>
          <w:tcPr>
            <w:tcW w:type="dxa" w:w="2340"/>
          </w:tcPr>
          <w:p>
            <w:pPr>
              <w:spacing w:after="40" w:before="40"/>
            </w:pPr>
            <w:r>
              <w:rPr>
                <w:sz w:val="19"/>
              </w:rPr>
              <w:t>18.57</w:t>
            </w:r>
          </w:p>
        </w:tc>
        <w:tc>
          <w:tcPr>
            <w:tcW w:type="dxa" w:w="2340"/>
          </w:tcPr>
          <w:p>
            <w:pPr>
              <w:spacing w:after="40" w:before="40"/>
            </w:pPr>
            <w:r>
              <w:rPr>
                <w:sz w:val="19"/>
              </w:rPr>
              <w:t>0.0201</w:t>
            </w:r>
          </w:p>
        </w:tc>
      </w:tr>
      <w:tr>
        <w:tc>
          <w:tcPr>
            <w:tcW w:type="dxa" w:w="2340"/>
          </w:tcPr>
          <w:p>
            <w:pPr>
              <w:spacing w:after="40" w:before="40"/>
            </w:pPr>
            <w:r>
              <w:rPr>
                <w:sz w:val="19"/>
              </w:rPr>
              <w:t>Mondrian</w:t>
            </w:r>
          </w:p>
        </w:tc>
        <w:tc>
          <w:tcPr>
            <w:tcW w:type="dxa" w:w="2340"/>
          </w:tcPr>
          <w:p>
            <w:pPr>
              <w:spacing w:after="40" w:before="40"/>
            </w:pPr>
            <w:r>
              <w:rPr>
                <w:sz w:val="19"/>
              </w:rPr>
              <w:t>0.9326</w:t>
            </w:r>
          </w:p>
        </w:tc>
        <w:tc>
          <w:tcPr>
            <w:tcW w:type="dxa" w:w="2340"/>
          </w:tcPr>
          <w:p>
            <w:pPr>
              <w:spacing w:after="40" w:before="40"/>
            </w:pPr>
            <w:r>
              <w:rPr>
                <w:sz w:val="19"/>
              </w:rPr>
              <w:t>18.57</w:t>
            </w:r>
          </w:p>
        </w:tc>
        <w:tc>
          <w:tcPr>
            <w:tcW w:type="dxa" w:w="2340"/>
          </w:tcPr>
          <w:p>
            <w:pPr>
              <w:spacing w:after="40" w:before="40"/>
            </w:pPr>
            <w:r>
              <w:rPr>
                <w:sz w:val="19"/>
              </w:rPr>
              <w:t>0.0201</w:t>
            </w:r>
          </w:p>
        </w:tc>
      </w:tr>
      <w:tr>
        <w:tc>
          <w:tcPr>
            <w:tcW w:type="dxa" w:w="2340"/>
          </w:tcPr>
          <w:p>
            <w:pPr>
              <w:spacing w:after="40" w:before="40"/>
            </w:pPr>
            <w:r>
              <w:rPr>
                <w:sz w:val="19"/>
              </w:rPr>
              <w:t>Mondrian (category)</w:t>
            </w:r>
          </w:p>
        </w:tc>
        <w:tc>
          <w:tcPr>
            <w:tcW w:type="dxa" w:w="2340"/>
          </w:tcPr>
          <w:p>
            <w:pPr>
              <w:spacing w:after="40" w:before="40"/>
            </w:pPr>
            <w:r>
              <w:rPr>
                <w:sz w:val="19"/>
              </w:rPr>
              <w:t>0.9241</w:t>
            </w:r>
          </w:p>
        </w:tc>
        <w:tc>
          <w:tcPr>
            <w:tcW w:type="dxa" w:w="2340"/>
          </w:tcPr>
          <w:p>
            <w:pPr>
              <w:spacing w:after="40" w:before="40"/>
            </w:pPr>
            <w:r>
              <w:rPr>
                <w:sz w:val="19"/>
              </w:rPr>
              <w:t>17.91</w:t>
            </w:r>
          </w:p>
        </w:tc>
        <w:tc>
          <w:tcPr>
            <w:tcW w:type="dxa" w:w="2340"/>
          </w:tcPr>
          <w:p>
            <w:pPr>
              <w:spacing w:after="40" w:before="40"/>
            </w:pPr>
            <w:r>
              <w:rPr>
                <w:sz w:val="19"/>
              </w:rPr>
              <w:t>0.0132</w:t>
            </w:r>
          </w:p>
        </w:tc>
      </w:tr>
      <w:tr>
        <w:tc>
          <w:tcPr>
            <w:tcW w:type="dxa" w:w="2340"/>
          </w:tcPr>
          <w:p>
            <w:pPr>
              <w:spacing w:after="40" w:before="40"/>
            </w:pPr>
            <w:r>
              <w:rPr>
                <w:sz w:val="19"/>
              </w:rPr>
              <w:t>Mondrian (demo × category)</w:t>
            </w:r>
          </w:p>
        </w:tc>
        <w:tc>
          <w:tcPr>
            <w:tcW w:type="dxa" w:w="2340"/>
          </w:tcPr>
          <w:p>
            <w:pPr>
              <w:spacing w:after="40" w:before="40"/>
            </w:pPr>
            <w:r>
              <w:rPr>
                <w:sz w:val="19"/>
              </w:rPr>
              <w:t>0.9319</w:t>
            </w:r>
          </w:p>
        </w:tc>
        <w:tc>
          <w:tcPr>
            <w:tcW w:type="dxa" w:w="2340"/>
          </w:tcPr>
          <w:p>
            <w:pPr>
              <w:spacing w:after="40" w:before="40"/>
            </w:pPr>
            <w:r>
              <w:rPr>
                <w:sz w:val="19"/>
              </w:rPr>
              <w:t>18.25</w:t>
            </w:r>
          </w:p>
        </w:tc>
        <w:tc>
          <w:tcPr>
            <w:tcW w:type="dxa" w:w="2340"/>
          </w:tcPr>
          <w:p>
            <w:pPr>
              <w:spacing w:after="40" w:before="40"/>
            </w:pPr>
            <w:r>
              <w:rPr>
                <w:sz w:val="19"/>
              </w:rPr>
              <w:t>0.0154</w:t>
            </w:r>
          </w:p>
        </w:tc>
      </w:tr>
      <w:tr>
        <w:tc>
          <w:tcPr>
            <w:tcW w:type="dxa" w:w="2340"/>
          </w:tcPr>
          <w:p>
            <w:pPr>
              <w:spacing w:after="40" w:before="40"/>
            </w:pPr>
            <w:r>
              <w:rPr>
                <w:sz w:val="19"/>
              </w:rPr>
              <w:t>Equalized coverage</w:t>
            </w:r>
          </w:p>
        </w:tc>
        <w:tc>
          <w:tcPr>
            <w:tcW w:type="dxa" w:w="2340"/>
          </w:tcPr>
          <w:p>
            <w:pPr>
              <w:spacing w:after="40" w:before="40"/>
            </w:pPr>
            <w:r>
              <w:rPr>
                <w:sz w:val="19"/>
              </w:rPr>
              <w:t>0.9326</w:t>
            </w:r>
          </w:p>
        </w:tc>
        <w:tc>
          <w:tcPr>
            <w:tcW w:type="dxa" w:w="2340"/>
          </w:tcPr>
          <w:p>
            <w:pPr>
              <w:spacing w:after="40" w:before="40"/>
            </w:pPr>
            <w:r>
              <w:rPr>
                <w:sz w:val="19"/>
              </w:rPr>
              <w:t>18.57</w:t>
            </w:r>
          </w:p>
        </w:tc>
        <w:tc>
          <w:tcPr>
            <w:tcW w:type="dxa" w:w="2340"/>
          </w:tcPr>
          <w:p>
            <w:pPr>
              <w:spacing w:after="40" w:before="40"/>
            </w:pPr>
            <w:r>
              <w:rPr>
                <w:sz w:val="19"/>
              </w:rPr>
              <w:t>0.0201</w:t>
            </w:r>
          </w:p>
        </w:tc>
      </w:tr>
      <w:tr>
        <w:tc>
          <w:tcPr>
            <w:tcW w:type="dxa" w:w="2340"/>
          </w:tcPr>
          <w:p>
            <w:pPr>
              <w:spacing w:after="40" w:before="40"/>
            </w:pPr>
            <w:r>
              <w:rPr>
                <w:sz w:val="19"/>
              </w:rPr>
              <w:t>**Variance-scaled split CP**</w:t>
            </w:r>
          </w:p>
        </w:tc>
        <w:tc>
          <w:tcPr>
            <w:tcW w:type="dxa" w:w="2340"/>
          </w:tcPr>
          <w:p>
            <w:pPr>
              <w:spacing w:after="40" w:before="40"/>
            </w:pPr>
            <w:r>
              <w:rPr>
                <w:sz w:val="19"/>
              </w:rPr>
              <w:t>**0.9002**</w:t>
            </w:r>
          </w:p>
        </w:tc>
        <w:tc>
          <w:tcPr>
            <w:tcW w:type="dxa" w:w="2340"/>
          </w:tcPr>
          <w:p>
            <w:pPr>
              <w:spacing w:after="40" w:before="40"/>
            </w:pPr>
            <w:r>
              <w:rPr>
                <w:sz w:val="19"/>
              </w:rPr>
              <w:t>**16.45**</w:t>
            </w:r>
          </w:p>
        </w:tc>
        <w:tc>
          <w:tcPr>
            <w:tcW w:type="dxa" w:w="2340"/>
          </w:tcPr>
          <w:p>
            <w:pPr>
              <w:spacing w:after="40" w:before="40"/>
            </w:pPr>
            <w:r>
              <w:rPr>
                <w:sz w:val="19"/>
              </w:rPr>
              <w:t>**0.0286**</w:t>
            </w:r>
          </w:p>
        </w:tc>
      </w:tr>
      <w:tr>
        <w:tc>
          <w:tcPr>
            <w:tcW w:type="dxa" w:w="2340"/>
          </w:tcPr>
          <w:p>
            <w:pPr>
              <w:spacing w:after="40" w:before="40"/>
            </w:pPr>
            <w:r>
              <w:rPr>
                <w:sz w:val="19"/>
              </w:rPr>
              <w:t>ECRC</w:t>
            </w:r>
          </w:p>
        </w:tc>
        <w:tc>
          <w:tcPr>
            <w:tcW w:type="dxa" w:w="2340"/>
          </w:tcPr>
          <w:p>
            <w:pPr>
              <w:spacing w:after="40" w:before="40"/>
            </w:pPr>
            <w:r>
              <w:rPr>
                <w:sz w:val="19"/>
              </w:rPr>
              <w:t>0.9186</w:t>
            </w:r>
          </w:p>
        </w:tc>
        <w:tc>
          <w:tcPr>
            <w:tcW w:type="dxa" w:w="2340"/>
          </w:tcPr>
          <w:p>
            <w:pPr>
              <w:spacing w:after="40" w:before="40"/>
            </w:pPr>
            <w:r>
              <w:rPr>
                <w:sz w:val="19"/>
              </w:rPr>
              <w:t>17.41</w:t>
            </w:r>
          </w:p>
        </w:tc>
        <w:tc>
          <w:tcPr>
            <w:tcW w:type="dxa" w:w="2340"/>
          </w:tcPr>
          <w:p>
            <w:pPr>
              <w:spacing w:after="40" w:before="40"/>
            </w:pPr>
            <w:r>
              <w:rPr>
                <w:sz w:val="19"/>
              </w:rPr>
              <w:t>0.0138</w:t>
            </w:r>
          </w:p>
        </w:tc>
      </w:tr>
      <w:tr>
        <w:tc>
          <w:tcPr>
            <w:tcW w:type="dxa" w:w="2340"/>
          </w:tcPr>
          <w:p>
            <w:pPr>
              <w:spacing w:after="40" w:before="40"/>
            </w:pPr>
            <w:r>
              <w:rPr>
                <w:sz w:val="19"/>
              </w:rPr>
              <w:t>Adaptive ECRC (rolling)</w:t>
            </w:r>
          </w:p>
        </w:tc>
        <w:tc>
          <w:tcPr>
            <w:tcW w:type="dxa" w:w="2340"/>
          </w:tcPr>
          <w:p>
            <w:pPr>
              <w:spacing w:after="40" w:before="40"/>
            </w:pPr>
            <w:r>
              <w:rPr>
                <w:sz w:val="19"/>
              </w:rPr>
              <w:t>0.8918</w:t>
            </w:r>
          </w:p>
        </w:tc>
        <w:tc>
          <w:tcPr>
            <w:tcW w:type="dxa" w:w="2340"/>
          </w:tcPr>
          <w:p>
            <w:pPr>
              <w:spacing w:after="40" w:before="40"/>
            </w:pPr>
            <w:r>
              <w:rPr>
                <w:sz w:val="19"/>
              </w:rPr>
              <w:t>16.31</w:t>
            </w:r>
          </w:p>
        </w:tc>
        <w:tc>
          <w:tcPr>
            <w:tcW w:type="dxa" w:w="2340"/>
          </w:tcPr>
          <w:p>
            <w:pPr>
              <w:spacing w:after="40" w:before="40"/>
            </w:pPr>
            <w:r>
              <w:rPr>
                <w:sz w:val="19"/>
              </w:rPr>
              <w:t>0.0046</w:t>
            </w:r>
          </w:p>
        </w:tc>
      </w:tr>
    </w:tbl>
    <w:p/>
    <w:p>
      <w:r>
        <w:t>Selected coverage: 90.75% and 90.02% against a 90% target, disparity 0.0238 and</w:t>
      </w:r>
    </w:p>
    <w:p>
      <w:r>
        <w:t>0.0286, abstention zero everywhere. NYC clears the ceiling by 0.0014 — one</w:t>
      </w:r>
    </w:p>
    <w:p>
      <w:r>
        <w:t>resampling from failing — and we are not going to describe that as comfortable.</w:t>
      </w:r>
    </w:p>
    <w:p>
      <w:r>
        <w:t>Three observations from these tables.</w:t>
      </w:r>
    </w:p>
    <w:p>
      <w:r>
        <w:t>The constraint is load-bearing. Rolling adaptive ECRC has the best disparity in</w:t>
      </w:r>
    </w:p>
    <w:p>
      <w:r>
        <w:t>both cities (0.0013, 0.0046) and the narrowest intervals (13.88, 16.31), and a</w:t>
      </w:r>
    </w:p>
    <w:p>
      <w:r>
        <w:t>width-minimizing selection would have taken it. Its coverage is 89.30% and</w:t>
      </w:r>
    </w:p>
    <w:p>
      <w:r>
        <w:t>89.18%, below the floor, so the policy rejected it. A fairness constraint that</w:t>
      </w:r>
    </w:p>
    <w:p>
      <w:r>
        <w:t>never rejects anything is decoration; this one changed the answer.</w:t>
      </w:r>
    </w:p>
    <w:p>
      <w:r>
        <w:t>Four NYC methods are numerically identical — split CP, weighted CP, Mondrian and</w:t>
      </w:r>
    </w:p>
    <w:p>
      <w:r>
        <w:t>equalized coverage all report 0.9326 / 18.57 / 0.0201. That is the signature of</w:t>
      </w:r>
    </w:p>
    <w:p>
      <w:r>
        <w:t>a degenerate conformity threshold. CQR scores on this panel are integers, so</w:t>
      </w:r>
    </w:p>
    <w:p>
      <w:r>
        <w:t xml:space="preserve">methods differing only in </w:t>
      </w:r>
      <w:r>
        <w:rPr>
          <w:i/>
        </w:rPr>
        <w:t>how</w:t>
      </w:r>
      <w:r>
        <w:t xml:space="preserve"> they select a quantile collapse onto the same</w:t>
      </w:r>
    </w:p>
    <w:p>
      <w:r>
        <w:t>lattice point. It tells you something about the data rather than the code: with</w:t>
      </w:r>
    </w:p>
    <w:p>
      <w:r>
        <w:t>this much mass at zero, the conformal correction has very little room to</w:t>
      </w:r>
    </w:p>
    <w:p>
      <w:r>
        <w:t>distinguish itself.</w:t>
      </w:r>
    </w:p>
    <w:p>
      <w:r>
        <w:t>Per-category coverage spreads wider than the marginal number suggests. Chicago:</w:t>
      </w:r>
    </w:p>
    <w:p>
      <w:r>
        <w:t>violent 0.8883, property 0.8829, drug 0.9515 — two of three categories below</w:t>
      </w:r>
    </w:p>
    <w:p>
      <w:r>
        <w:t>90%, a spread of 0.069. NYC: violent 0.8677, property 0.8950, drug 0.9378.</w:t>
      </w:r>
    </w:p>
    <w:p>
      <w:r>
        <w:t>Marginal coverage can look fine while specific categories are undercovered, and</w:t>
      </w:r>
    </w:p>
    <w:p>
      <w:r>
        <w:t>anyone deploying this should look at the category breakdown rather than the</w:t>
      </w:r>
    </w:p>
    <w:p>
      <w:r>
        <w:t>headline.</w:t>
      </w:r>
    </w:p>
    <w:p>
      <w:pPr>
        <w:spacing w:before="200" w:after="60"/>
      </w:pPr>
      <w:r>
        <w:rPr>
          <w:b/>
          <w:color w:val="2C3E50"/>
          <w:sz w:val="24"/>
        </w:rPr>
        <w:t>D. Decision-theoretic allocation</w:t>
      </w:r>
    </w:p>
    <w:p>
      <w:r>
        <w:t>We simulate patrol allocation across four policies at three budgets. At B = 100:</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EAECEF"/>
          </w:tcPr>
          <w:p>
            <w:pPr>
              <w:spacing w:after="40" w:before="40"/>
            </w:pPr>
            <w:r>
              <w:rPr>
                <w:b/>
                <w:sz w:val="20"/>
              </w:rPr>
              <w:t>City</w:t>
            </w:r>
          </w:p>
        </w:tc>
        <w:tc>
          <w:tcPr>
            <w:tcW w:type="dxa" w:w="2340"/>
            <w:shd w:fill="EAECEF"/>
          </w:tcPr>
          <w:p>
            <w:pPr>
              <w:spacing w:after="40" w:before="40"/>
            </w:pPr>
            <w:r>
              <w:rPr>
                <w:b/>
                <w:sz w:val="20"/>
              </w:rPr>
              <w:t>Policy</w:t>
            </w:r>
          </w:p>
        </w:tc>
        <w:tc>
          <w:tcPr>
            <w:tcW w:type="dxa" w:w="2340"/>
            <w:shd w:fill="EAECEF"/>
          </w:tcPr>
          <w:p>
            <w:pPr>
              <w:spacing w:after="40" w:before="40"/>
            </w:pPr>
            <w:r>
              <w:rPr>
                <w:b/>
                <w:sz w:val="20"/>
              </w:rPr>
              <w:t>Hit rate</w:t>
            </w:r>
          </w:p>
        </w:tc>
        <w:tc>
          <w:tcPr>
            <w:tcW w:type="dxa" w:w="2340"/>
            <w:shd w:fill="EAECEF"/>
          </w:tcPr>
          <w:p>
            <w:pPr>
              <w:spacing w:after="40" w:before="40"/>
            </w:pPr>
            <w:r>
              <w:rPr>
                <w:b/>
                <w:sz w:val="20"/>
              </w:rPr>
              <w:t>Allocation disparity</w:t>
            </w:r>
          </w:p>
        </w:tc>
      </w:tr>
      <w:tr>
        <w:tc>
          <w:tcPr>
            <w:tcW w:type="dxa" w:w="2340"/>
          </w:tcPr>
          <w:p>
            <w:pPr>
              <w:spacing w:after="40" w:before="40"/>
            </w:pPr>
            <w:r>
              <w:rPr>
                <w:sz w:val="19"/>
              </w:rPr>
              <w:t>Chicago</w:t>
            </w:r>
          </w:p>
        </w:tc>
        <w:tc>
          <w:tcPr>
            <w:tcW w:type="dxa" w:w="2340"/>
          </w:tcPr>
          <w:p>
            <w:pPr>
              <w:spacing w:after="40" w:before="40"/>
            </w:pPr>
            <w:r>
              <w:rPr>
                <w:sz w:val="19"/>
              </w:rPr>
              <w:t>Naive HA</w:t>
            </w:r>
          </w:p>
        </w:tc>
        <w:tc>
          <w:tcPr>
            <w:tcW w:type="dxa" w:w="2340"/>
          </w:tcPr>
          <w:p>
            <w:pPr>
              <w:spacing w:after="40" w:before="40"/>
            </w:pPr>
            <w:r>
              <w:rPr>
                <w:sz w:val="19"/>
              </w:rPr>
              <w:t>0.9399</w:t>
            </w:r>
          </w:p>
        </w:tc>
        <w:tc>
          <w:tcPr>
            <w:tcW w:type="dxa" w:w="2340"/>
          </w:tcPr>
          <w:p>
            <w:pPr>
              <w:spacing w:after="40" w:before="40"/>
            </w:pPr>
            <w:r>
              <w:rPr>
                <w:sz w:val="19"/>
              </w:rPr>
              <w:t>0.0185</w:t>
            </w:r>
          </w:p>
        </w:tc>
      </w:tr>
      <w:tr>
        <w:tc>
          <w:tcPr>
            <w:tcW w:type="dxa" w:w="2340"/>
          </w:tcPr>
          <w:p>
            <w:pPr>
              <w:spacing w:after="40" w:before="40"/>
            </w:pPr>
            <w:r>
              <w:rPr>
                <w:sz w:val="19"/>
              </w:rPr>
              <w:t>Chicago</w:t>
            </w:r>
          </w:p>
        </w:tc>
        <w:tc>
          <w:tcPr>
            <w:tcW w:type="dxa" w:w="2340"/>
          </w:tcPr>
          <w:p>
            <w:pPr>
              <w:spacing w:after="40" w:before="40"/>
            </w:pPr>
            <w:r>
              <w:rPr>
                <w:sz w:val="19"/>
              </w:rPr>
              <w:t>Point prediction</w:t>
            </w:r>
          </w:p>
        </w:tc>
        <w:tc>
          <w:tcPr>
            <w:tcW w:type="dxa" w:w="2340"/>
          </w:tcPr>
          <w:p>
            <w:pPr>
              <w:spacing w:after="40" w:before="40"/>
            </w:pPr>
            <w:r>
              <w:rPr>
                <w:sz w:val="19"/>
              </w:rPr>
              <w:t>0.9391</w:t>
            </w:r>
          </w:p>
        </w:tc>
        <w:tc>
          <w:tcPr>
            <w:tcW w:type="dxa" w:w="2340"/>
          </w:tcPr>
          <w:p>
            <w:pPr>
              <w:spacing w:after="40" w:before="40"/>
            </w:pPr>
            <w:r>
              <w:rPr>
                <w:sz w:val="19"/>
              </w:rPr>
              <w:t>0.0140</w:t>
            </w:r>
          </w:p>
        </w:tc>
      </w:tr>
      <w:tr>
        <w:tc>
          <w:tcPr>
            <w:tcW w:type="dxa" w:w="2340"/>
          </w:tcPr>
          <w:p>
            <w:pPr>
              <w:spacing w:after="40" w:before="40"/>
            </w:pPr>
            <w:r>
              <w:rPr>
                <w:sz w:val="19"/>
              </w:rPr>
              <w:t>Chicago</w:t>
            </w:r>
          </w:p>
        </w:tc>
        <w:tc>
          <w:tcPr>
            <w:tcW w:type="dxa" w:w="2340"/>
          </w:tcPr>
          <w:p>
            <w:pPr>
              <w:spacing w:after="40" w:before="40"/>
            </w:pPr>
            <w:r>
              <w:rPr>
                <w:sz w:val="19"/>
              </w:rPr>
              <w:t>Unconstrained conformal</w:t>
            </w:r>
          </w:p>
        </w:tc>
        <w:tc>
          <w:tcPr>
            <w:tcW w:type="dxa" w:w="2340"/>
          </w:tcPr>
          <w:p>
            <w:pPr>
              <w:spacing w:after="40" w:before="40"/>
            </w:pPr>
            <w:r>
              <w:rPr>
                <w:sz w:val="19"/>
              </w:rPr>
              <w:t>0.9529</w:t>
            </w:r>
          </w:p>
        </w:tc>
        <w:tc>
          <w:tcPr>
            <w:tcW w:type="dxa" w:w="2340"/>
          </w:tcPr>
          <w:p>
            <w:pPr>
              <w:spacing w:after="40" w:before="40"/>
            </w:pPr>
            <w:r>
              <w:rPr>
                <w:sz w:val="19"/>
              </w:rPr>
              <w:t>0.0132</w:t>
            </w:r>
          </w:p>
        </w:tc>
      </w:tr>
      <w:tr>
        <w:tc>
          <w:tcPr>
            <w:tcW w:type="dxa" w:w="2340"/>
          </w:tcPr>
          <w:p>
            <w:pPr>
              <w:spacing w:after="40" w:before="40"/>
            </w:pPr>
            <w:r>
              <w:rPr>
                <w:sz w:val="19"/>
              </w:rPr>
              <w:t>Chicago</w:t>
            </w:r>
          </w:p>
        </w:tc>
        <w:tc>
          <w:tcPr>
            <w:tcW w:type="dxa" w:w="2340"/>
          </w:tcPr>
          <w:p>
            <w:pPr>
              <w:spacing w:after="40" w:before="40"/>
            </w:pPr>
            <w:r>
              <w:rPr>
                <w:sz w:val="19"/>
              </w:rPr>
              <w:t>**CIVIC-SAFE OICC**</w:t>
            </w:r>
          </w:p>
        </w:tc>
        <w:tc>
          <w:tcPr>
            <w:tcW w:type="dxa" w:w="2340"/>
          </w:tcPr>
          <w:p>
            <w:pPr>
              <w:spacing w:after="40" w:before="40"/>
            </w:pPr>
            <w:r>
              <w:rPr>
                <w:sz w:val="19"/>
              </w:rPr>
              <w:t>**0.9636**</w:t>
            </w:r>
          </w:p>
        </w:tc>
        <w:tc>
          <w:tcPr>
            <w:tcW w:type="dxa" w:w="2340"/>
          </w:tcPr>
          <w:p>
            <w:pPr>
              <w:spacing w:after="40" w:before="40"/>
            </w:pPr>
            <w:r>
              <w:rPr>
                <w:sz w:val="19"/>
              </w:rPr>
              <w:t>0.1448</w:t>
            </w:r>
          </w:p>
        </w:tc>
      </w:tr>
      <w:tr>
        <w:tc>
          <w:tcPr>
            <w:tcW w:type="dxa" w:w="2340"/>
          </w:tcPr>
          <w:p>
            <w:pPr>
              <w:spacing w:after="40" w:before="40"/>
            </w:pPr>
            <w:r>
              <w:rPr>
                <w:sz w:val="19"/>
              </w:rPr>
              <w:t>NYC</w:t>
            </w:r>
          </w:p>
        </w:tc>
        <w:tc>
          <w:tcPr>
            <w:tcW w:type="dxa" w:w="2340"/>
          </w:tcPr>
          <w:p>
            <w:pPr>
              <w:spacing w:after="40" w:before="40"/>
            </w:pPr>
            <w:r>
              <w:rPr>
                <w:sz w:val="19"/>
              </w:rPr>
              <w:t>Naive HA</w:t>
            </w:r>
          </w:p>
        </w:tc>
        <w:tc>
          <w:tcPr>
            <w:tcW w:type="dxa" w:w="2340"/>
          </w:tcPr>
          <w:p>
            <w:pPr>
              <w:spacing w:after="40" w:before="40"/>
            </w:pPr>
            <w:r>
              <w:rPr>
                <w:sz w:val="19"/>
              </w:rPr>
              <w:t>0.9689</w:t>
            </w:r>
          </w:p>
        </w:tc>
        <w:tc>
          <w:tcPr>
            <w:tcW w:type="dxa" w:w="2340"/>
          </w:tcPr>
          <w:p>
            <w:pPr>
              <w:spacing w:after="40" w:before="40"/>
            </w:pPr>
            <w:r>
              <w:rPr>
                <w:sz w:val="19"/>
              </w:rPr>
              <w:t>0.0167</w:t>
            </w:r>
          </w:p>
        </w:tc>
      </w:tr>
      <w:tr>
        <w:tc>
          <w:tcPr>
            <w:tcW w:type="dxa" w:w="2340"/>
          </w:tcPr>
          <w:p>
            <w:pPr>
              <w:spacing w:after="40" w:before="40"/>
            </w:pPr>
            <w:r>
              <w:rPr>
                <w:sz w:val="19"/>
              </w:rPr>
              <w:t>NYC</w:t>
            </w:r>
          </w:p>
        </w:tc>
        <w:tc>
          <w:tcPr>
            <w:tcW w:type="dxa" w:w="2340"/>
          </w:tcPr>
          <w:p>
            <w:pPr>
              <w:spacing w:after="40" w:before="40"/>
            </w:pPr>
            <w:r>
              <w:rPr>
                <w:sz w:val="19"/>
              </w:rPr>
              <w:t>Point prediction</w:t>
            </w:r>
          </w:p>
        </w:tc>
        <w:tc>
          <w:tcPr>
            <w:tcW w:type="dxa" w:w="2340"/>
          </w:tcPr>
          <w:p>
            <w:pPr>
              <w:spacing w:after="40" w:before="40"/>
            </w:pPr>
            <w:r>
              <w:rPr>
                <w:sz w:val="19"/>
              </w:rPr>
              <w:t>0.9660</w:t>
            </w:r>
          </w:p>
        </w:tc>
        <w:tc>
          <w:tcPr>
            <w:tcW w:type="dxa" w:w="2340"/>
          </w:tcPr>
          <w:p>
            <w:pPr>
              <w:spacing w:after="40" w:before="40"/>
            </w:pPr>
            <w:r>
              <w:rPr>
                <w:sz w:val="19"/>
              </w:rPr>
              <w:t>0.0156</w:t>
            </w:r>
          </w:p>
        </w:tc>
      </w:tr>
      <w:tr>
        <w:tc>
          <w:tcPr>
            <w:tcW w:type="dxa" w:w="2340"/>
          </w:tcPr>
          <w:p>
            <w:pPr>
              <w:spacing w:after="40" w:before="40"/>
            </w:pPr>
            <w:r>
              <w:rPr>
                <w:sz w:val="19"/>
              </w:rPr>
              <w:t>NYC</w:t>
            </w:r>
          </w:p>
        </w:tc>
        <w:tc>
          <w:tcPr>
            <w:tcW w:type="dxa" w:w="2340"/>
          </w:tcPr>
          <w:p>
            <w:pPr>
              <w:spacing w:after="40" w:before="40"/>
            </w:pPr>
            <w:r>
              <w:rPr>
                <w:sz w:val="19"/>
              </w:rPr>
              <w:t>Unconstrained conformal</w:t>
            </w:r>
          </w:p>
        </w:tc>
        <w:tc>
          <w:tcPr>
            <w:tcW w:type="dxa" w:w="2340"/>
          </w:tcPr>
          <w:p>
            <w:pPr>
              <w:spacing w:after="40" w:before="40"/>
            </w:pPr>
            <w:r>
              <w:rPr>
                <w:sz w:val="19"/>
              </w:rPr>
              <w:t>0.9859</w:t>
            </w:r>
          </w:p>
        </w:tc>
        <w:tc>
          <w:tcPr>
            <w:tcW w:type="dxa" w:w="2340"/>
          </w:tcPr>
          <w:p>
            <w:pPr>
              <w:spacing w:after="40" w:before="40"/>
            </w:pPr>
            <w:r>
              <w:rPr>
                <w:sz w:val="19"/>
              </w:rPr>
              <w:t>0.0174</w:t>
            </w:r>
          </w:p>
        </w:tc>
      </w:tr>
      <w:tr>
        <w:tc>
          <w:tcPr>
            <w:tcW w:type="dxa" w:w="2340"/>
          </w:tcPr>
          <w:p>
            <w:pPr>
              <w:spacing w:after="40" w:before="40"/>
            </w:pPr>
            <w:r>
              <w:rPr>
                <w:sz w:val="19"/>
              </w:rPr>
              <w:t>NYC</w:t>
            </w:r>
          </w:p>
        </w:tc>
        <w:tc>
          <w:tcPr>
            <w:tcW w:type="dxa" w:w="2340"/>
          </w:tcPr>
          <w:p>
            <w:pPr>
              <w:spacing w:after="40" w:before="40"/>
            </w:pPr>
            <w:r>
              <w:rPr>
                <w:sz w:val="19"/>
              </w:rPr>
              <w:t>**CIVIC-SAFE OICC**</w:t>
            </w:r>
          </w:p>
        </w:tc>
        <w:tc>
          <w:tcPr>
            <w:tcW w:type="dxa" w:w="2340"/>
          </w:tcPr>
          <w:p>
            <w:pPr>
              <w:spacing w:after="40" w:before="40"/>
            </w:pPr>
            <w:r>
              <w:rPr>
                <w:sz w:val="19"/>
              </w:rPr>
              <w:t>**0.9897**</w:t>
            </w:r>
          </w:p>
        </w:tc>
        <w:tc>
          <w:tcPr>
            <w:tcW w:type="dxa" w:w="2340"/>
          </w:tcPr>
          <w:p>
            <w:pPr>
              <w:spacing w:after="40" w:before="40"/>
            </w:pPr>
            <w:r>
              <w:rPr>
                <w:sz w:val="19"/>
              </w:rPr>
              <w:t>0.0421</w:t>
            </w:r>
          </w:p>
        </w:tc>
      </w:tr>
    </w:tbl>
    <w:p/>
    <w:p>
      <w:r>
        <w:t>OICC captures the most violent incidents in both cities, 96.36% and 98.97%. It</w:t>
      </w:r>
    </w:p>
    <w:p>
      <w:r>
        <w:t>also reduces the demographic over-allocation ratio substantially — Chicago from</w:t>
      </w:r>
    </w:p>
    <w:p>
      <w:r>
        <w:t>1.036 to 0.643, NYC from 1.030 to 0.865 — meaning it stops over-policing groups</w:t>
      </w:r>
    </w:p>
    <w:p>
      <w:r>
        <w:t>relative to their incident share.</w:t>
      </w:r>
    </w:p>
    <w:p>
      <w:r>
        <w:t>But the allocation-disparity column is the worst of the four policies in both</w:t>
      </w:r>
    </w:p>
    <w:p>
      <w:r>
        <w:t>cities: 0.1448 against 0.0132 for unconstrained conformal on Chicago, 11 times</w:t>
      </w:r>
    </w:p>
    <w:p>
      <w:r>
        <w:t>larger. These two fairness metrics genuinely disagree. Over-allocation ratio</w:t>
      </w:r>
    </w:p>
    <w:p>
      <w:r>
        <w:t>measures policing relative to where incidents are; allocation disparity measures</w:t>
      </w:r>
    </w:p>
    <w:p>
      <w:r>
        <w:t>evenness of allocation across groups. OICC improves the first by concentrating</w:t>
      </w:r>
    </w:p>
    <w:p>
      <w:r>
        <w:t>resources differently, and that concentration is exactly what worsens the</w:t>
      </w:r>
    </w:p>
    <w:p>
      <w:r>
        <w:t>second. We report both because reporting only the favourable one would be</w:t>
      </w:r>
    </w:p>
    <w:p>
      <w:r>
        <w:t>selective, and a reader deciding whether to deploy this needs to know which</w:t>
      </w:r>
    </w:p>
    <w:p>
      <w:r>
        <w:t>notion of fairness they are buying.</w:t>
      </w:r>
    </w:p>
    <w:p>
      <w:r>
        <w:t>At B = 20 OICC is worst on hit rate too — 0.5242 against 0.5677 on Chicago,</w:t>
      </w:r>
    </w:p>
    <w:p>
      <w:r>
        <w:t>0.4896 against 0.5014 on NYC. The advantage appears only at larger budgets.</w:t>
      </w:r>
    </w:p>
    <w:p>
      <w:pPr>
        <w:spacing w:before="200" w:after="60"/>
      </w:pPr>
      <w:r>
        <w:rPr>
          <w:b/>
          <w:color w:val="2C3E50"/>
          <w:sz w:val="24"/>
        </w:rPr>
        <w:t>E. The feedback correction</w:t>
      </w:r>
    </w:p>
    <w:p>
      <w:r>
        <w:t>This is the result the paper is for. We simulate a closed loop at known feedback</w:t>
      </w:r>
    </w:p>
    <w:p>
      <w:r>
        <w:t>gain, so the latent rate is available for scoring — which is the only setting</w:t>
      </w:r>
    </w:p>
    <w:p>
      <w:r>
        <w:t>where coverage of the truth can be measured at all.</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AECEF"/>
          </w:tcPr>
          <w:p>
            <w:pPr>
              <w:spacing w:after="40" w:before="40"/>
            </w:pPr>
            <w:r>
              <w:rPr>
                <w:b/>
                <w:sz w:val="20"/>
              </w:rPr>
              <w:t>κ</w:t>
            </w:r>
          </w:p>
        </w:tc>
        <w:tc>
          <w:tcPr>
            <w:tcW w:type="dxa" w:w="1872"/>
            <w:shd w:fill="EAECEF"/>
          </w:tcPr>
          <w:p>
            <w:pPr>
              <w:spacing w:after="40" w:before="40"/>
            </w:pPr>
            <w:r>
              <w:rPr>
                <w:b/>
                <w:sz w:val="20"/>
              </w:rPr>
              <w:t>Naive latent coverage</w:t>
            </w:r>
          </w:p>
        </w:tc>
        <w:tc>
          <w:tcPr>
            <w:tcW w:type="dxa" w:w="1872"/>
            <w:shd w:fill="EAECEF"/>
          </w:tcPr>
          <w:p>
            <w:pPr>
              <w:spacing w:after="40" w:before="40"/>
            </w:pPr>
            <w:r>
              <w:rPr>
                <w:b/>
                <w:sz w:val="20"/>
              </w:rPr>
              <w:t>κ̂ (DiD)</w:t>
            </w:r>
          </w:p>
        </w:tc>
        <w:tc>
          <w:tcPr>
            <w:tcW w:type="dxa" w:w="1872"/>
            <w:shd w:fill="EAECEF"/>
          </w:tcPr>
          <w:p>
            <w:pPr>
              <w:spacing w:after="40" w:before="40"/>
            </w:pPr>
            <w:r>
              <w:rPr>
                <w:b/>
                <w:sz w:val="20"/>
              </w:rPr>
              <w:t>Corrected latent coverage</w:t>
            </w:r>
          </w:p>
        </w:tc>
        <w:tc>
          <w:tcPr>
            <w:tcW w:type="dxa" w:w="1872"/>
            <w:shd w:fill="EAECEF"/>
          </w:tcPr>
          <w:p>
            <w:pPr>
              <w:spacing w:after="40" w:before="40"/>
            </w:pPr>
            <w:r>
              <w:rPr>
                <w:b/>
                <w:sz w:val="20"/>
              </w:rPr>
              <w:t>Cells retained</w:t>
            </w:r>
          </w:p>
        </w:tc>
      </w:tr>
      <w:tr>
        <w:tc>
          <w:tcPr>
            <w:tcW w:type="dxa" w:w="1872"/>
          </w:tcPr>
          <w:p>
            <w:pPr>
              <w:spacing w:after="40" w:before="40"/>
            </w:pPr>
            <w:r>
              <w:rPr>
                <w:sz w:val="19"/>
              </w:rPr>
              <w:t>0.00</w:t>
            </w:r>
          </w:p>
        </w:tc>
        <w:tc>
          <w:tcPr>
            <w:tcW w:type="dxa" w:w="1872"/>
          </w:tcPr>
          <w:p>
            <w:pPr>
              <w:spacing w:after="40" w:before="40"/>
            </w:pPr>
            <w:r>
              <w:rPr>
                <w:sz w:val="19"/>
              </w:rPr>
              <w:t>0.950</w:t>
            </w:r>
          </w:p>
        </w:tc>
        <w:tc>
          <w:tcPr>
            <w:tcW w:type="dxa" w:w="1872"/>
          </w:tcPr>
          <w:p>
            <w:pPr>
              <w:spacing w:after="40" w:before="40"/>
            </w:pPr>
            <w:r>
              <w:rPr>
                <w:sz w:val="19"/>
              </w:rPr>
              <w:t>0.259</w:t>
            </w:r>
          </w:p>
        </w:tc>
        <w:tc>
          <w:tcPr>
            <w:tcW w:type="dxa" w:w="1872"/>
          </w:tcPr>
          <w:p>
            <w:pPr>
              <w:spacing w:after="40" w:before="40"/>
            </w:pPr>
            <w:r>
              <w:rPr>
                <w:sz w:val="19"/>
              </w:rPr>
              <w:t>0.949</w:t>
            </w:r>
          </w:p>
        </w:tc>
        <w:tc>
          <w:tcPr>
            <w:tcW w:type="dxa" w:w="1872"/>
          </w:tcPr>
          <w:p>
            <w:pPr>
              <w:spacing w:after="40" w:before="40"/>
            </w:pPr>
            <w:r>
              <w:rPr>
                <w:sz w:val="19"/>
              </w:rPr>
              <w:t>0.75</w:t>
            </w:r>
          </w:p>
        </w:tc>
      </w:tr>
      <w:tr>
        <w:tc>
          <w:tcPr>
            <w:tcW w:type="dxa" w:w="1872"/>
          </w:tcPr>
          <w:p>
            <w:pPr>
              <w:spacing w:after="40" w:before="40"/>
            </w:pPr>
            <w:r>
              <w:rPr>
                <w:sz w:val="19"/>
              </w:rPr>
              <w:t>0.30</w:t>
            </w:r>
          </w:p>
        </w:tc>
        <w:tc>
          <w:tcPr>
            <w:tcW w:type="dxa" w:w="1872"/>
          </w:tcPr>
          <w:p>
            <w:pPr>
              <w:spacing w:after="40" w:before="40"/>
            </w:pPr>
            <w:r>
              <w:rPr>
                <w:sz w:val="19"/>
              </w:rPr>
              <w:t>0.903</w:t>
            </w:r>
          </w:p>
        </w:tc>
        <w:tc>
          <w:tcPr>
            <w:tcW w:type="dxa" w:w="1872"/>
          </w:tcPr>
          <w:p>
            <w:pPr>
              <w:spacing w:after="40" w:before="40"/>
            </w:pPr>
            <w:r>
              <w:rPr>
                <w:sz w:val="19"/>
              </w:rPr>
              <w:t>0.300</w:t>
            </w:r>
          </w:p>
        </w:tc>
        <w:tc>
          <w:tcPr>
            <w:tcW w:type="dxa" w:w="1872"/>
          </w:tcPr>
          <w:p>
            <w:pPr>
              <w:spacing w:after="40" w:before="40"/>
            </w:pPr>
            <w:r>
              <w:rPr>
                <w:sz w:val="19"/>
              </w:rPr>
              <w:t>0.952</w:t>
            </w:r>
          </w:p>
        </w:tc>
        <w:tc>
          <w:tcPr>
            <w:tcW w:type="dxa" w:w="1872"/>
          </w:tcPr>
          <w:p>
            <w:pPr>
              <w:spacing w:after="40" w:before="40"/>
            </w:pPr>
            <w:r>
              <w:rPr>
                <w:sz w:val="19"/>
              </w:rPr>
              <w:t>1.00</w:t>
            </w:r>
          </w:p>
        </w:tc>
      </w:tr>
      <w:tr>
        <w:tc>
          <w:tcPr>
            <w:tcW w:type="dxa" w:w="1872"/>
          </w:tcPr>
          <w:p>
            <w:pPr>
              <w:spacing w:after="40" w:before="40"/>
            </w:pPr>
            <w:r>
              <w:rPr>
                <w:sz w:val="19"/>
              </w:rPr>
              <w:t>0.50</w:t>
            </w:r>
          </w:p>
        </w:tc>
        <w:tc>
          <w:tcPr>
            <w:tcW w:type="dxa" w:w="1872"/>
          </w:tcPr>
          <w:p>
            <w:pPr>
              <w:spacing w:after="40" w:before="40"/>
            </w:pPr>
            <w:r>
              <w:rPr>
                <w:sz w:val="19"/>
              </w:rPr>
              <w:t>0.780</w:t>
            </w:r>
          </w:p>
        </w:tc>
        <w:tc>
          <w:tcPr>
            <w:tcW w:type="dxa" w:w="1872"/>
          </w:tcPr>
          <w:p>
            <w:pPr>
              <w:spacing w:after="40" w:before="40"/>
            </w:pPr>
            <w:r>
              <w:rPr>
                <w:sz w:val="19"/>
              </w:rPr>
              <w:t>0.500</w:t>
            </w:r>
          </w:p>
        </w:tc>
        <w:tc>
          <w:tcPr>
            <w:tcW w:type="dxa" w:w="1872"/>
          </w:tcPr>
          <w:p>
            <w:pPr>
              <w:spacing w:after="40" w:before="40"/>
            </w:pPr>
            <w:r>
              <w:rPr>
                <w:sz w:val="19"/>
              </w:rPr>
              <w:t>0.948</w:t>
            </w:r>
          </w:p>
        </w:tc>
        <w:tc>
          <w:tcPr>
            <w:tcW w:type="dxa" w:w="1872"/>
          </w:tcPr>
          <w:p>
            <w:pPr>
              <w:spacing w:after="40" w:before="40"/>
            </w:pPr>
            <w:r>
              <w:rPr>
                <w:sz w:val="19"/>
              </w:rPr>
              <w:t>0.95</w:t>
            </w:r>
          </w:p>
        </w:tc>
      </w:tr>
      <w:tr>
        <w:tc>
          <w:tcPr>
            <w:tcW w:type="dxa" w:w="1872"/>
          </w:tcPr>
          <w:p>
            <w:pPr>
              <w:spacing w:after="40" w:before="40"/>
            </w:pPr>
            <w:r>
              <w:rPr>
                <w:sz w:val="19"/>
              </w:rPr>
              <w:t>0.70</w:t>
            </w:r>
          </w:p>
        </w:tc>
        <w:tc>
          <w:tcPr>
            <w:tcW w:type="dxa" w:w="1872"/>
          </w:tcPr>
          <w:p>
            <w:pPr>
              <w:spacing w:after="40" w:before="40"/>
            </w:pPr>
            <w:r>
              <w:rPr>
                <w:sz w:val="19"/>
              </w:rPr>
              <w:t>0.502</w:t>
            </w:r>
          </w:p>
        </w:tc>
        <w:tc>
          <w:tcPr>
            <w:tcW w:type="dxa" w:w="1872"/>
          </w:tcPr>
          <w:p>
            <w:pPr>
              <w:spacing w:after="40" w:before="40"/>
            </w:pPr>
            <w:r>
              <w:rPr>
                <w:sz w:val="19"/>
              </w:rPr>
              <w:t>0.713</w:t>
            </w:r>
          </w:p>
        </w:tc>
        <w:tc>
          <w:tcPr>
            <w:tcW w:type="dxa" w:w="1872"/>
          </w:tcPr>
          <w:p>
            <w:pPr>
              <w:spacing w:after="40" w:before="40"/>
            </w:pPr>
            <w:r>
              <w:rPr>
                <w:sz w:val="19"/>
              </w:rPr>
              <w:t>0.937</w:t>
            </w:r>
          </w:p>
        </w:tc>
        <w:tc>
          <w:tcPr>
            <w:tcW w:type="dxa" w:w="1872"/>
          </w:tcPr>
          <w:p>
            <w:pPr>
              <w:spacing w:after="40" w:before="40"/>
            </w:pPr>
            <w:r>
              <w:rPr>
                <w:sz w:val="19"/>
              </w:rPr>
              <w:t>0.56</w:t>
            </w:r>
          </w:p>
        </w:tc>
      </w:tr>
      <w:tr>
        <w:tc>
          <w:tcPr>
            <w:tcW w:type="dxa" w:w="1872"/>
          </w:tcPr>
          <w:p>
            <w:pPr>
              <w:spacing w:after="40" w:before="40"/>
            </w:pPr>
            <w:r>
              <w:rPr>
                <w:sz w:val="19"/>
              </w:rPr>
              <w:t>0.85</w:t>
            </w:r>
          </w:p>
        </w:tc>
        <w:tc>
          <w:tcPr>
            <w:tcW w:type="dxa" w:w="1872"/>
          </w:tcPr>
          <w:p>
            <w:pPr>
              <w:spacing w:after="40" w:before="40"/>
            </w:pPr>
            <w:r>
              <w:rPr>
                <w:sz w:val="19"/>
              </w:rPr>
              <w:t>0.162</w:t>
            </w:r>
          </w:p>
        </w:tc>
        <w:tc>
          <w:tcPr>
            <w:tcW w:type="dxa" w:w="1872"/>
          </w:tcPr>
          <w:p>
            <w:pPr>
              <w:spacing w:after="40" w:before="40"/>
            </w:pPr>
            <w:r>
              <w:rPr>
                <w:sz w:val="19"/>
              </w:rPr>
              <w:t>0.850</w:t>
            </w:r>
          </w:p>
        </w:tc>
        <w:tc>
          <w:tcPr>
            <w:tcW w:type="dxa" w:w="1872"/>
          </w:tcPr>
          <w:p>
            <w:pPr>
              <w:spacing w:after="40" w:before="40"/>
            </w:pPr>
            <w:r>
              <w:rPr>
                <w:sz w:val="19"/>
              </w:rPr>
              <w:t>**0.930**</w:t>
            </w:r>
          </w:p>
        </w:tc>
        <w:tc>
          <w:tcPr>
            <w:tcW w:type="dxa" w:w="1872"/>
          </w:tcPr>
          <w:p>
            <w:pPr>
              <w:spacing w:after="40" w:before="40"/>
            </w:pPr>
            <w:r>
              <w:rPr>
                <w:sz w:val="19"/>
              </w:rPr>
              <w:t>**0.15**</w:t>
            </w:r>
          </w:p>
        </w:tc>
      </w:tr>
    </w:tbl>
    <w:p/>
    <w:p>
      <w:r>
        <w:t>Read the second column first. Intervals calibrated on the record, targeting 90%,</w:t>
      </w:r>
    </w:p>
    <w:p>
      <w:r>
        <w:t>cover the latent process 95.0% of the time at κ = 0 and 16.2% at κ = 0.85. The</w:t>
      </w:r>
    </w:p>
    <w:p>
      <w:r>
        <w:t>intervals never stopped being valid for the record. They simply stopped being</w:t>
      </w:r>
    </w:p>
    <w:p>
      <w:r>
        <w:t>about reality, and nothing in a standard validation pipeline would show it.</w:t>
      </w:r>
    </w:p>
    <w:p>
      <w:r>
        <w:t>The corrected column holds 93.0% at κ = 0.85. The DiD recovers the gain well in</w:t>
      </w:r>
    </w:p>
    <w:p>
      <w:r>
        <w:t>the middle of the range (0.300, 0.500, 0.713, 0.850 against true 0.3, 0.5, 0.7,</w:t>
      </w:r>
    </w:p>
    <w:p>
      <w:r>
        <w:t>0.85), and poorly at zero, where κ̂ = 0.259 against a true 0. That upward bias at</w:t>
      </w:r>
    </w:p>
    <w:p>
      <w:r>
        <w:t>zero gain is a real limitation of the estimator and we report it rather than</w:t>
      </w:r>
    </w:p>
    <w:p>
      <w:r>
        <w:t>trimming the row.</w:t>
      </w:r>
    </w:p>
    <w:p>
      <w:r>
        <w:t>Now the cost, which we want stated as plainly as the benefit. The last column is</w:t>
      </w:r>
    </w:p>
    <w:p>
      <w:r>
        <w:t>the fraction of cells the corrector keeps. At κ = 0.85 it abstains on 85% of</w:t>
      </w:r>
    </w:p>
    <w:p>
      <w:r>
        <w:t>them, so the 93.0% is measured on the surviving 15%, while the naive 16.2% is</w:t>
      </w:r>
    </w:p>
    <w:p>
      <w:r>
        <w:t xml:space="preserve">measured on all cells. </w:t>
      </w:r>
      <w:r>
        <w:rPr>
          <w:b/>
        </w:rPr>
        <w:t>The two columns have different denominators.</w:t>
      </w:r>
      <w:r>
        <w:t xml:space="preserve"> The</w:t>
      </w:r>
    </w:p>
    <w:p>
      <w:r>
        <w:t>comparison still means something — on the cells where correction is</w:t>
      </w:r>
    </w:p>
    <w:p>
      <w:r>
        <w:t>trustworthy, coverage of the truth is restored from catastrophic to near-nominal</w:t>
      </w:r>
    </w:p>
    <w:p>
      <w:r>
        <w:t>— but anyone who reads "16% → 93%" as a like-for-like improvement has been</w:t>
      </w:r>
    </w:p>
    <w:p>
      <w:r>
        <w:t>misled, so we label retention in every table and figure where corrected coverage</w:t>
      </w:r>
    </w:p>
    <w:p>
      <w:r>
        <w:t>appears. There is also a cost at the other end: at κ = 0 the corrector abstains</w:t>
      </w:r>
    </w:p>
    <w:p>
      <w:r>
        <w:t>on 25% of cells while improving nothing (0.950 → 0.949). The abstention rule is</w:t>
      </w:r>
    </w:p>
    <w:p>
      <w:r>
        <w:t>tuned for the high-gain regime and it overpays at low gain.</w:t>
      </w:r>
    </w:p>
    <w:p>
      <w:r>
        <w:t>Fig. 10 plots both curves with retention annotated.</w:t>
      </w:r>
    </w:p>
    <w:p>
      <w:r>
        <w:rPr>
          <w:b/>
        </w:rPr>
        <w:t>Routing.</w:t>
      </w:r>
      <w:r>
        <w:t xml:space="preserve"> The same correction applied to advisory routing, with a group-1</w:t>
      </w:r>
    </w:p>
    <w:p>
      <w:r>
        <w:t>structural over-recording factor of 1.8:</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EAECEF"/>
          </w:tcPr>
          <w:p>
            <w:pPr>
              <w:spacing w:after="40" w:before="40"/>
            </w:pPr>
            <w:r>
              <w:rPr>
                <w:b/>
                <w:sz w:val="20"/>
              </w:rPr>
              <w:t>κ</w:t>
            </w:r>
          </w:p>
        </w:tc>
        <w:tc>
          <w:tcPr>
            <w:tcW w:type="dxa" w:w="2340"/>
            <w:shd w:fill="EAECEF"/>
          </w:tcPr>
          <w:p>
            <w:pPr>
              <w:spacing w:after="40" w:before="40"/>
            </w:pPr>
            <w:r>
              <w:rPr>
                <w:b/>
                <w:sz w:val="20"/>
              </w:rPr>
              <w:t>Biased disparity</w:t>
            </w:r>
          </w:p>
        </w:tc>
        <w:tc>
          <w:tcPr>
            <w:tcW w:type="dxa" w:w="2340"/>
            <w:shd w:fill="EAECEF"/>
          </w:tcPr>
          <w:p>
            <w:pPr>
              <w:spacing w:after="40" w:before="40"/>
            </w:pPr>
            <w:r>
              <w:rPr>
                <w:b/>
                <w:sz w:val="20"/>
              </w:rPr>
              <w:t>Corrected</w:t>
            </w:r>
          </w:p>
        </w:tc>
        <w:tc>
          <w:tcPr>
            <w:tcW w:type="dxa" w:w="2340"/>
            <w:shd w:fill="EAECEF"/>
          </w:tcPr>
          <w:p>
            <w:pPr>
              <w:spacing w:after="40" w:before="40"/>
            </w:pPr>
            <w:r>
              <w:rPr>
                <w:b/>
                <w:sz w:val="20"/>
              </w:rPr>
              <w:t>Reduction</w:t>
            </w:r>
          </w:p>
        </w:tc>
      </w:tr>
      <w:tr>
        <w:tc>
          <w:tcPr>
            <w:tcW w:type="dxa" w:w="2340"/>
          </w:tcPr>
          <w:p>
            <w:pPr>
              <w:spacing w:after="40" w:before="40"/>
            </w:pPr>
            <w:r>
              <w:rPr>
                <w:sz w:val="19"/>
              </w:rPr>
              <w:t>0.00</w:t>
            </w:r>
          </w:p>
        </w:tc>
        <w:tc>
          <w:tcPr>
            <w:tcW w:type="dxa" w:w="2340"/>
          </w:tcPr>
          <w:p>
            <w:pPr>
              <w:spacing w:after="40" w:before="40"/>
            </w:pPr>
            <w:r>
              <w:rPr>
                <w:sz w:val="19"/>
              </w:rPr>
              <w:t>0.287</w:t>
            </w:r>
          </w:p>
        </w:tc>
        <w:tc>
          <w:tcPr>
            <w:tcW w:type="dxa" w:w="2340"/>
          </w:tcPr>
          <w:p>
            <w:pPr>
              <w:spacing w:after="40" w:before="40"/>
            </w:pPr>
            <w:r>
              <w:rPr>
                <w:sz w:val="19"/>
              </w:rPr>
              <w:t>0.287</w:t>
            </w:r>
          </w:p>
        </w:tc>
        <w:tc>
          <w:tcPr>
            <w:tcW w:type="dxa" w:w="2340"/>
          </w:tcPr>
          <w:p>
            <w:pPr>
              <w:spacing w:after="40" w:before="40"/>
            </w:pPr>
            <w:r>
              <w:rPr>
                <w:sz w:val="19"/>
              </w:rPr>
              <w:t>0.000</w:t>
            </w:r>
          </w:p>
        </w:tc>
      </w:tr>
      <w:tr>
        <w:tc>
          <w:tcPr>
            <w:tcW w:type="dxa" w:w="2340"/>
          </w:tcPr>
          <w:p>
            <w:pPr>
              <w:spacing w:after="40" w:before="40"/>
            </w:pPr>
            <w:r>
              <w:rPr>
                <w:sz w:val="19"/>
              </w:rPr>
              <w:t>0.30</w:t>
            </w:r>
          </w:p>
        </w:tc>
        <w:tc>
          <w:tcPr>
            <w:tcW w:type="dxa" w:w="2340"/>
          </w:tcPr>
          <w:p>
            <w:pPr>
              <w:spacing w:after="40" w:before="40"/>
            </w:pPr>
            <w:r>
              <w:rPr>
                <w:sz w:val="19"/>
              </w:rPr>
              <w:t>0.291</w:t>
            </w:r>
          </w:p>
        </w:tc>
        <w:tc>
          <w:tcPr>
            <w:tcW w:type="dxa" w:w="2340"/>
          </w:tcPr>
          <w:p>
            <w:pPr>
              <w:spacing w:after="40" w:before="40"/>
            </w:pPr>
            <w:r>
              <w:rPr>
                <w:sz w:val="19"/>
              </w:rPr>
              <w:t>0.206</w:t>
            </w:r>
          </w:p>
        </w:tc>
        <w:tc>
          <w:tcPr>
            <w:tcW w:type="dxa" w:w="2340"/>
          </w:tcPr>
          <w:p>
            <w:pPr>
              <w:spacing w:after="40" w:before="40"/>
            </w:pPr>
            <w:r>
              <w:rPr>
                <w:sz w:val="19"/>
              </w:rPr>
              <w:t>0.085</w:t>
            </w:r>
          </w:p>
        </w:tc>
      </w:tr>
      <w:tr>
        <w:tc>
          <w:tcPr>
            <w:tcW w:type="dxa" w:w="2340"/>
          </w:tcPr>
          <w:p>
            <w:pPr>
              <w:spacing w:after="40" w:before="40"/>
            </w:pPr>
            <w:r>
              <w:rPr>
                <w:sz w:val="19"/>
              </w:rPr>
              <w:t>0.50</w:t>
            </w:r>
          </w:p>
        </w:tc>
        <w:tc>
          <w:tcPr>
            <w:tcW w:type="dxa" w:w="2340"/>
          </w:tcPr>
          <w:p>
            <w:pPr>
              <w:spacing w:after="40" w:before="40"/>
            </w:pPr>
            <w:r>
              <w:rPr>
                <w:sz w:val="19"/>
              </w:rPr>
              <w:t>0.280</w:t>
            </w:r>
          </w:p>
        </w:tc>
        <w:tc>
          <w:tcPr>
            <w:tcW w:type="dxa" w:w="2340"/>
          </w:tcPr>
          <w:p>
            <w:pPr>
              <w:spacing w:after="40" w:before="40"/>
            </w:pPr>
            <w:r>
              <w:rPr>
                <w:sz w:val="19"/>
              </w:rPr>
              <w:t>0.148</w:t>
            </w:r>
          </w:p>
        </w:tc>
        <w:tc>
          <w:tcPr>
            <w:tcW w:type="dxa" w:w="2340"/>
          </w:tcPr>
          <w:p>
            <w:pPr>
              <w:spacing w:after="40" w:before="40"/>
            </w:pPr>
            <w:r>
              <w:rPr>
                <w:sz w:val="19"/>
              </w:rPr>
              <w:t>0.132</w:t>
            </w:r>
          </w:p>
        </w:tc>
      </w:tr>
      <w:tr>
        <w:tc>
          <w:tcPr>
            <w:tcW w:type="dxa" w:w="2340"/>
          </w:tcPr>
          <w:p>
            <w:pPr>
              <w:spacing w:after="40" w:before="40"/>
            </w:pPr>
            <w:r>
              <w:rPr>
                <w:sz w:val="19"/>
              </w:rPr>
              <w:t>0.70</w:t>
            </w:r>
          </w:p>
        </w:tc>
        <w:tc>
          <w:tcPr>
            <w:tcW w:type="dxa" w:w="2340"/>
          </w:tcPr>
          <w:p>
            <w:pPr>
              <w:spacing w:after="40" w:before="40"/>
            </w:pPr>
            <w:r>
              <w:rPr>
                <w:sz w:val="19"/>
              </w:rPr>
              <w:t>0.270</w:t>
            </w:r>
          </w:p>
        </w:tc>
        <w:tc>
          <w:tcPr>
            <w:tcW w:type="dxa" w:w="2340"/>
          </w:tcPr>
          <w:p>
            <w:pPr>
              <w:spacing w:after="40" w:before="40"/>
            </w:pPr>
            <w:r>
              <w:rPr>
                <w:sz w:val="19"/>
              </w:rPr>
              <w:t>0.089</w:t>
            </w:r>
          </w:p>
        </w:tc>
        <w:tc>
          <w:tcPr>
            <w:tcW w:type="dxa" w:w="2340"/>
          </w:tcPr>
          <w:p>
            <w:pPr>
              <w:spacing w:after="40" w:before="40"/>
            </w:pPr>
            <w:r>
              <w:rPr>
                <w:sz w:val="19"/>
              </w:rPr>
              <w:t>0.182</w:t>
            </w:r>
          </w:p>
        </w:tc>
      </w:tr>
      <w:tr>
        <w:tc>
          <w:tcPr>
            <w:tcW w:type="dxa" w:w="2340"/>
          </w:tcPr>
          <w:p>
            <w:pPr>
              <w:spacing w:after="40" w:before="40"/>
            </w:pPr>
            <w:r>
              <w:rPr>
                <w:sz w:val="19"/>
              </w:rPr>
              <w:t>0.85</w:t>
            </w:r>
          </w:p>
        </w:tc>
        <w:tc>
          <w:tcPr>
            <w:tcW w:type="dxa" w:w="2340"/>
          </w:tcPr>
          <w:p>
            <w:pPr>
              <w:spacing w:after="40" w:before="40"/>
            </w:pPr>
            <w:r>
              <w:rPr>
                <w:sz w:val="19"/>
              </w:rPr>
              <w:t>0.182</w:t>
            </w:r>
          </w:p>
        </w:tc>
        <w:tc>
          <w:tcPr>
            <w:tcW w:type="dxa" w:w="2340"/>
          </w:tcPr>
          <w:p>
            <w:pPr>
              <w:spacing w:after="40" w:before="40"/>
            </w:pPr>
            <w:r>
              <w:rPr>
                <w:sz w:val="19"/>
              </w:rPr>
              <w:t>0.044</w:t>
            </w:r>
          </w:p>
        </w:tc>
        <w:tc>
          <w:tcPr>
            <w:tcW w:type="dxa" w:w="2340"/>
          </w:tcPr>
          <w:p>
            <w:pPr>
              <w:spacing w:after="40" w:before="40"/>
            </w:pPr>
            <w:r>
              <w:rPr>
                <w:sz w:val="19"/>
              </w:rPr>
              <w:t>0.138</w:t>
            </w:r>
          </w:p>
        </w:tc>
      </w:tr>
    </w:tbl>
    <w:p/>
    <w:p>
      <w:r>
        <w:t>At κ = 0.85 disparity drops from 0.182 to 0.044, a 76% reduction — routes stop</w:t>
      </w:r>
    </w:p>
    <w:p>
      <w:r>
        <w:t>systematically steering around over-recorded areas. The biased curve is not</w:t>
      </w:r>
    </w:p>
    <w:p>
      <w:r>
        <w:t>monotone: it falls from 0.270 to 0.182 between κ = 0.70 and 0.85, so the worst</w:t>
      </w:r>
    </w:p>
    <w:p>
      <w:r>
        <w:t>biased case is not the highest gain, and we do not describe the trend as</w:t>
      </w:r>
    </w:p>
    <w:p>
      <w:r>
        <w:t>monotone.</w:t>
      </w:r>
    </w:p>
    <w:p>
      <w:r>
        <w:rPr>
          <w:b/>
        </w:rPr>
        <w:t>Real records.</w:t>
      </w:r>
      <w:r>
        <w:t xml:space="preserve"> Applying the correction to actual Chicago and NYC records at</w:t>
      </w:r>
    </w:p>
    <w:p>
      <w:r>
        <w:t>an assumed κ = 0.6:</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AECEF"/>
          </w:tcPr>
          <w:p>
            <w:pPr>
              <w:spacing w:after="40" w:before="40"/>
            </w:pPr>
            <w:r>
              <w:rPr>
                <w:b/>
                <w:sz w:val="20"/>
              </w:rPr>
              <w:t>City</w:t>
            </w:r>
          </w:p>
        </w:tc>
        <w:tc>
          <w:tcPr>
            <w:tcW w:type="dxa" w:w="1872"/>
            <w:shd w:fill="EAECEF"/>
          </w:tcPr>
          <w:p>
            <w:pPr>
              <w:spacing w:after="40" w:before="40"/>
            </w:pPr>
            <w:r>
              <w:rPr>
                <w:b/>
                <w:sz w:val="20"/>
              </w:rPr>
              <w:t>Units</w:t>
            </w:r>
          </w:p>
        </w:tc>
        <w:tc>
          <w:tcPr>
            <w:tcW w:type="dxa" w:w="1872"/>
            <w:shd w:fill="EAECEF"/>
          </w:tcPr>
          <w:p>
            <w:pPr>
              <w:spacing w:after="40" w:before="40"/>
            </w:pPr>
            <w:r>
              <w:rPr>
                <w:b/>
                <w:sz w:val="20"/>
              </w:rPr>
              <w:t>Biased</w:t>
            </w:r>
          </w:p>
        </w:tc>
        <w:tc>
          <w:tcPr>
            <w:tcW w:type="dxa" w:w="1872"/>
            <w:shd w:fill="EAECEF"/>
          </w:tcPr>
          <w:p>
            <w:pPr>
              <w:spacing w:after="40" w:before="40"/>
            </w:pPr>
            <w:r>
              <w:rPr>
                <w:b/>
                <w:sz w:val="20"/>
              </w:rPr>
              <w:t>Corrected</w:t>
            </w:r>
          </w:p>
        </w:tc>
        <w:tc>
          <w:tcPr>
            <w:tcW w:type="dxa" w:w="1872"/>
            <w:shd w:fill="EAECEF"/>
          </w:tcPr>
          <w:p>
            <w:pPr>
              <w:spacing w:after="40" w:before="40"/>
            </w:pPr>
            <w:r>
              <w:rPr>
                <w:b/>
                <w:sz w:val="20"/>
              </w:rPr>
              <w:t>Reduction</w:t>
            </w:r>
          </w:p>
        </w:tc>
      </w:tr>
      <w:tr>
        <w:tc>
          <w:tcPr>
            <w:tcW w:type="dxa" w:w="1872"/>
          </w:tcPr>
          <w:p>
            <w:pPr>
              <w:spacing w:after="40" w:before="40"/>
            </w:pPr>
            <w:r>
              <w:rPr>
                <w:sz w:val="19"/>
              </w:rPr>
              <w:t>Chicago</w:t>
            </w:r>
          </w:p>
        </w:tc>
        <w:tc>
          <w:tcPr>
            <w:tcW w:type="dxa" w:w="1872"/>
          </w:tcPr>
          <w:p>
            <w:pPr>
              <w:spacing w:after="40" w:before="40"/>
            </w:pPr>
            <w:r>
              <w:rPr>
                <w:sz w:val="19"/>
              </w:rPr>
              <w:t>77</w:t>
            </w:r>
          </w:p>
        </w:tc>
        <w:tc>
          <w:tcPr>
            <w:tcW w:type="dxa" w:w="1872"/>
          </w:tcPr>
          <w:p>
            <w:pPr>
              <w:spacing w:after="40" w:before="40"/>
            </w:pPr>
            <w:r>
              <w:rPr>
                <w:sz w:val="19"/>
              </w:rPr>
              <w:t>0.390</w:t>
            </w:r>
          </w:p>
        </w:tc>
        <w:tc>
          <w:tcPr>
            <w:tcW w:type="dxa" w:w="1872"/>
          </w:tcPr>
          <w:p>
            <w:pPr>
              <w:spacing w:after="40" w:before="40"/>
            </w:pPr>
            <w:r>
              <w:rPr>
                <w:sz w:val="19"/>
              </w:rPr>
              <w:t>0.163</w:t>
            </w:r>
          </w:p>
        </w:tc>
        <w:tc>
          <w:tcPr>
            <w:tcW w:type="dxa" w:w="1872"/>
          </w:tcPr>
          <w:p>
            <w:pPr>
              <w:spacing w:after="40" w:before="40"/>
            </w:pPr>
            <w:r>
              <w:rPr>
                <w:sz w:val="19"/>
              </w:rPr>
              <w:t>−58.2%</w:t>
            </w:r>
          </w:p>
        </w:tc>
      </w:tr>
      <w:tr>
        <w:tc>
          <w:tcPr>
            <w:tcW w:type="dxa" w:w="1872"/>
          </w:tcPr>
          <w:p>
            <w:pPr>
              <w:spacing w:after="40" w:before="40"/>
            </w:pPr>
            <w:r>
              <w:rPr>
                <w:sz w:val="19"/>
              </w:rPr>
              <w:t>NYC</w:t>
            </w:r>
          </w:p>
        </w:tc>
        <w:tc>
          <w:tcPr>
            <w:tcW w:type="dxa" w:w="1872"/>
          </w:tcPr>
          <w:p>
            <w:pPr>
              <w:spacing w:after="40" w:before="40"/>
            </w:pPr>
            <w:r>
              <w:rPr>
                <w:sz w:val="19"/>
              </w:rPr>
              <w:t>78</w:t>
            </w:r>
          </w:p>
        </w:tc>
        <w:tc>
          <w:tcPr>
            <w:tcW w:type="dxa" w:w="1872"/>
          </w:tcPr>
          <w:p>
            <w:pPr>
              <w:spacing w:after="40" w:before="40"/>
            </w:pPr>
            <w:r>
              <w:rPr>
                <w:sz w:val="19"/>
              </w:rPr>
              <w:t>0.311</w:t>
            </w:r>
          </w:p>
        </w:tc>
        <w:tc>
          <w:tcPr>
            <w:tcW w:type="dxa" w:w="1872"/>
          </w:tcPr>
          <w:p>
            <w:pPr>
              <w:spacing w:after="40" w:before="40"/>
            </w:pPr>
            <w:r>
              <w:rPr>
                <w:sz w:val="19"/>
              </w:rPr>
              <w:t>0.122</w:t>
            </w:r>
          </w:p>
        </w:tc>
        <w:tc>
          <w:tcPr>
            <w:tcW w:type="dxa" w:w="1872"/>
          </w:tcPr>
          <w:p>
            <w:pPr>
              <w:spacing w:after="40" w:before="40"/>
            </w:pPr>
            <w:r>
              <w:rPr>
                <w:sz w:val="19"/>
              </w:rPr>
              <w:t>−60.8%</w:t>
            </w:r>
          </w:p>
        </w:tc>
      </w:tr>
    </w:tbl>
    <w:p/>
    <w:p>
      <w:r>
        <w:t>Exposure disparity for the higher-minority stratum falls by 58% and 61%. Two</w:t>
      </w:r>
    </w:p>
    <w:p>
      <w:r>
        <w:t xml:space="preserve">caveats travel with this table and must not be dropped. The gain is </w:t>
      </w:r>
      <w:r>
        <w:rPr>
          <w:i/>
        </w:rPr>
        <w:t>assumed</w:t>
      </w:r>
      <w:r>
        <w:t>,</w:t>
      </w:r>
    </w:p>
    <w:p>
      <w:r>
        <w:t>not identified — the real-data DiD is a null — so this is a sensitivity analysis,</w:t>
      </w:r>
    </w:p>
    <w:p>
      <w:r>
        <w:t>not a validated identification. And latent coverage cannot be evaluated here at</w:t>
      </w:r>
    </w:p>
    <w:p>
      <w:r>
        <w:t>all, because the true rate is unobservable on real data. The coverage guarantee</w:t>
      </w:r>
    </w:p>
    <w:p>
      <w:r>
        <w:t>lives in the simulation above; this table shows only that correction moves</w:t>
      </w:r>
    </w:p>
    <w:p>
      <w:r>
        <w:t>real-world allocation in the predicted direction under a plausible gain.</w:t>
      </w:r>
    </w:p>
    <w:p>
      <w:pPr>
        <w:spacing w:before="280" w:after="80"/>
      </w:pPr>
      <w:r>
        <w:rPr>
          <w:b/>
          <w:color w:val="1B365D"/>
          <w:sz w:val="27"/>
        </w:rPr>
        <w:t>VI. Limitations</w:t>
      </w:r>
    </w:p>
    <w:p>
      <w:r>
        <w:t>We would rather list these ourselves.</w:t>
      </w:r>
    </w:p>
    <w:p>
      <w:r>
        <w:rPr>
          <w:b/>
        </w:rPr>
        <w:t>Chicago is misspecified.</w:t>
      </w:r>
      <w:r>
        <w:t xml:space="preserve"> The PIT histogram fails uniformity badly:</w:t>
      </w:r>
    </w:p>
    <w:p>
      <w:r>
        <w:t>chi-square 241.84, p = 5.25e-47, max bin deviation 0.0368 against an expected</w:t>
      </w:r>
    </w:p>
    <w:p>
      <w:r>
        <w:t>0.10 per bin. The top bin holds 13.68% of the mass, and the rise across upper</w:t>
      </w:r>
    </w:p>
    <w:p>
      <w:r>
        <w:t>bins is monotone, so the model systematically under-predicts Chicago's right</w:t>
      </w:r>
    </w:p>
    <w:p>
      <w:r>
        <w:t>tail. High-count area-weeks fall further into the predictive tail than they</w:t>
      </w:r>
    </w:p>
    <w:p>
      <w:r>
        <w:t>should. NYC passes cleanly (chi-square 10.75, p = 0.293), which makes the</w:t>
      </w:r>
    </w:p>
    <w:p>
      <w:r>
        <w:t>Chicago failure a property of that city's data rather than a bug in shared code.</w:t>
      </w:r>
    </w:p>
    <w:p>
      <w:r>
        <w:t>The spatial residuals say the same thing from another direction: 65 of 77</w:t>
      </w:r>
    </w:p>
    <w:p>
      <w:r>
        <w:t>community areas under-predicted, mean residual −1.03, and a −0.66 correlation</w:t>
      </w:r>
    </w:p>
    <w:p>
      <w:r>
        <w:t>between an area's crime level and its residual, so the shortfall concentrates in</w:t>
      </w:r>
    </w:p>
    <w:p>
      <w:r>
        <w:t>the busiest areas (Section V-B). Two unrelated diagnostics pointing at the same</w:t>
      </w:r>
    </w:p>
    <w:p>
      <w:r>
        <w:t>compressed upper tail is harder to dismiss than either would be alone.</w:t>
      </w:r>
    </w:p>
    <w:p>
      <w:r>
        <w:t>Conformal coverage still holds at 90.75%, because split conformal's guarantee is</w:t>
      </w:r>
    </w:p>
    <w:p>
      <w:r>
        <w:t>marginal and finite-sample under exchangeability and does not require a</w:t>
      </w:r>
    </w:p>
    <w:p>
      <w:r>
        <w:t>correctly specified model — that is precisely why we calibrate post hoc. But a</w:t>
      </w:r>
    </w:p>
    <w:p>
      <w:r>
        <w:t>correctly specified model would give tighter intervals, and ours is not one.</w:t>
      </w:r>
    </w:p>
    <w:p>
      <w:r>
        <w:rPr>
          <w:b/>
        </w:rPr>
        <w:t>The correction's abstention cost is severe at high gain.</w:t>
      </w:r>
      <w:r>
        <w:t xml:space="preserve"> 85% of cells at</w:t>
      </w:r>
    </w:p>
    <w:p>
      <w:r>
        <w:t>κ = 0.85. A deployment there would decline to answer for most of the city. That</w:t>
      </w:r>
    </w:p>
    <w:p>
      <w:r>
        <w:t>is honest behaviour and it is also a limited product.</w:t>
      </w:r>
    </w:p>
    <w:p>
      <w:r>
        <w:rPr>
          <w:b/>
        </w:rPr>
        <w:t>κ is not point-identified.</w:t>
      </w:r>
      <w:r>
        <w:t xml:space="preserve"> The DiD gives the recording elasticity </w:t>
      </w:r>
      <w:r>
        <w:rPr>
          <w:i/>
        </w:rPr>
        <w:t>ρ</w:t>
      </w:r>
      <w:r>
        <w:t>;</w:t>
      </w:r>
    </w:p>
    <w:p>
      <w:r>
        <w:t xml:space="preserve">the loop gain κ = </w:t>
      </w:r>
      <w:r>
        <w:rPr>
          <w:i/>
        </w:rPr>
        <w:t>βρ</w:t>
      </w:r>
      <w:r>
        <w:t xml:space="preserve"> needs an assumed policy elasticity </w:t>
      </w:r>
      <w:r>
        <w:rPr>
          <w:i/>
        </w:rPr>
        <w:t>β</w:t>
      </w:r>
      <w:r>
        <w:t>, and the DiD</w:t>
      </w:r>
    </w:p>
    <w:p>
      <w:r>
        <w:t>carries an uncancelled latent-level term. Real-data results are sensitivity</w:t>
      </w:r>
    </w:p>
    <w:p>
      <w:r>
        <w:t>analyses at assumed κ. On real data our DiD is a null.</w:t>
      </w:r>
    </w:p>
    <w:p>
      <w:r>
        <w:rPr>
          <w:b/>
        </w:rPr>
        <w:t>The architecture does not win on its own.</w:t>
      </w:r>
      <w:r>
        <w:t xml:space="preserve"> Single-seed CRPS around 3.3622</w:t>
      </w:r>
    </w:p>
    <w:p>
      <w:r>
        <w:t>loses to TFT-ZINB's 2.9456 on Chicago. Five-seed EMOS is doing the work.</w:t>
      </w:r>
    </w:p>
    <w:p>
      <w:r>
        <w:rPr>
          <w:b/>
        </w:rPr>
        <w:t>OICC trades one fairness metric for another.</w:t>
      </w:r>
      <w:r>
        <w:t xml:space="preserve"> Best hit rate and best</w:t>
      </w:r>
    </w:p>
    <w:p>
      <w:r>
        <w:t>over-allocation ratio, worst allocation disparity. At small budgets it is worst</w:t>
      </w:r>
    </w:p>
    <w:p>
      <w:r>
        <w:t>on hit rate as well.</w:t>
      </w:r>
    </w:p>
    <w:p>
      <w:r>
        <w:rPr>
          <w:b/>
        </w:rPr>
        <w:t>Skill over a realistic baseline is modest.</w:t>
      </w:r>
      <w:r>
        <w:t xml:space="preserve"> 3.6% and 4.9% CRPSS against</w:t>
      </w:r>
    </w:p>
    <w:p>
      <w:r>
        <w:t>rolling HA. The 27-32% figures are against a frozen baseline that no deployment</w:t>
      </w:r>
    </w:p>
    <w:p>
      <w:r>
        <w:t>would use.</w:t>
      </w:r>
    </w:p>
    <w:p>
      <w:r>
        <w:rPr>
          <w:b/>
        </w:rPr>
        <w:t>Fairness here is coverage-based, and only post hoc.</w:t>
      </w:r>
      <w:r>
        <w:t xml:space="preserve"> Equal coverage across</w:t>
      </w:r>
    </w:p>
    <w:p>
      <w:r>
        <w:t>groups is one notion among many, computed on area-level demographic composition</w:t>
      </w:r>
    </w:p>
    <w:p>
      <w:r>
        <w:t>rather than individual attributes, and it says nothing about whether the</w:t>
      </w:r>
    </w:p>
    <w:p>
      <w:r>
        <w:t xml:space="preserve">underlying allocation is just. It is also the </w:t>
      </w:r>
      <w:r>
        <w:rPr>
          <w:i/>
        </w:rPr>
        <w:t>only</w:t>
      </w:r>
      <w:r>
        <w:t xml:space="preserve"> fairness mechanism active in</w:t>
      </w:r>
    </w:p>
    <w:p>
      <w:r>
        <w:t>the reported configuration: the gradient-reversal adversarial discriminator that</w:t>
      </w:r>
    </w:p>
    <w:p>
      <w:r>
        <w:t>would enforce demographic invariance at the representation level is implemented</w:t>
      </w:r>
    </w:p>
    <w:p>
      <w:r>
        <w:t>but switched off, so nothing prevents the encoder from routing predictions through</w:t>
      </w:r>
    </w:p>
    <w:p>
      <w:r>
        <w:t>demographic proxies. The Jensen-Shannon penalty does not serve this purpose — it</w:t>
      </w:r>
    </w:p>
    <w:p>
      <w:r>
        <w:t>prevents attention-head collapse. Enabling the adversarial head and measuring</w:t>
      </w:r>
    </w:p>
    <w:p>
      <w:r>
        <w:t>whether it buys anything beyond the coverage constraint is the obvious next</w:t>
      </w:r>
    </w:p>
    <w:p>
      <w:r>
        <w:t>experiment, and we have not run it.</w:t>
      </w:r>
    </w:p>
    <w:p>
      <w:r>
        <w:rPr>
          <w:b/>
        </w:rPr>
        <w:t>The simulation is a simulation.</w:t>
      </w:r>
      <w:r>
        <w:t xml:space="preserve"> The coverage-restoration result assumes our</w:t>
      </w:r>
    </w:p>
    <w:p>
      <w:r>
        <w:t>own generative model of the feedback loop. It is the only setting where latent</w:t>
      </w:r>
    </w:p>
    <w:p>
      <w:r>
        <w:t>coverage is measurable, which is the point, but it is not field evidence.</w:t>
      </w:r>
    </w:p>
    <w:p>
      <w:r>
        <w:rPr>
          <w:b/>
        </w:rPr>
        <w:t>Five seeds is fewer than we would like.</w:t>
      </w:r>
      <w:r>
        <w:t xml:space="preserve"> The configuration notes that 7-8</w:t>
      </w:r>
    </w:p>
    <w:p>
      <w:r>
        <w:t>seeds would be needed for paired t-tests at power 0.80 with d = 0.8.</w:t>
      </w:r>
    </w:p>
    <w:p>
      <w:pPr>
        <w:spacing w:before="280" w:after="80"/>
      </w:pPr>
      <w:r>
        <w:rPr>
          <w:b/>
          <w:color w:val="1B365D"/>
          <w:sz w:val="27"/>
        </w:rPr>
        <w:t>VII. Conclusion</w:t>
      </w:r>
    </w:p>
    <w:p>
      <w:r>
        <w:t>Records are not reality, and a forecaster validated only against records cannot</w:t>
      </w:r>
    </w:p>
    <w:p>
      <w:r>
        <w:t>tell the difference. We built a spatiotemporal ZINB forecaster that is</w:t>
      </w:r>
    </w:p>
    <w:p>
      <w:r>
        <w:t>competitive on ordinary terms — CRPS 2.8267 and 3.1401, eight of eight</w:t>
      </w:r>
    </w:p>
    <w:p>
      <w:r>
        <w:t>Diebold-Mariano wins over deep baselines at p &lt; 2e-6, conformal coverage of</w:t>
      </w:r>
    </w:p>
    <w:p>
      <w:r>
        <w:t>90.75% and 90.02% under a pre-registered 3% disparity ceiling — and then asked</w:t>
      </w:r>
    </w:p>
    <w:p>
      <w:r>
        <w:t>the question that the ordinary terms cannot answer: is the model right about</w:t>
      </w:r>
    </w:p>
    <w:p>
      <w:r>
        <w:t>crime, or only about crime records?</w:t>
      </w:r>
    </w:p>
    <w:p>
      <w:r>
        <w:t>In simulation the answer is stark. At feedback gain 0.85, intervals that look</w:t>
      </w:r>
    </w:p>
    <w:p>
      <w:r>
        <w:t>perfectly well calibrated against the record cover the latent process 16.2% of</w:t>
      </w:r>
    </w:p>
    <w:p>
      <w:r>
        <w:t>the time. Deflating the record by the estimated feedback multiplier restores</w:t>
      </w:r>
    </w:p>
    <w:p>
      <w:r>
        <w:t>that to 93.0%, on the 15% of cells where the correction is trustworthy enough to</w:t>
      </w:r>
    </w:p>
    <w:p>
      <w:r>
        <w:t>issue an interval at all. On real records from two cities, the same correction</w:t>
      </w:r>
    </w:p>
    <w:p>
      <w:r>
        <w:t>cuts exposure disparity for higher-minority areas by 58% and 61% under an</w:t>
      </w:r>
    </w:p>
    <w:p>
      <w:r>
        <w:t>assumed gain.</w:t>
      </w:r>
    </w:p>
    <w:p>
      <w:r>
        <w:t>What we would want a reader to take away is narrower than the numbers might</w:t>
      </w:r>
    </w:p>
    <w:p>
      <w:r>
        <w:t>suggest. The correction works, in a regime we can measure, at a cost we can</w:t>
      </w:r>
    </w:p>
    <w:p>
      <w:r>
        <w:t>quantify. It abstains heavily when the feedback gain approaches runaway, and its</w:t>
      </w:r>
    </w:p>
    <w:p>
      <w:r>
        <w:t>gain parameter is not point-identified on real data. Chicago's PIT failure says</w:t>
      </w:r>
    </w:p>
    <w:p>
      <w:r>
        <w:t>our own predictor is misspecified on one of the two cities we tested.</w:t>
      </w:r>
    </w:p>
    <w:p>
      <w:r>
        <w:t>The obvious next step is the natural experiment: run the detection-shock DiD on</w:t>
      </w:r>
    </w:p>
    <w:p>
      <w:r>
        <w:t>a real staggered rollout with enough power to move the estimate off null. Until</w:t>
      </w:r>
    </w:p>
    <w:p>
      <w:r>
        <w:t>then, the honest claim is that we have shown a correctable failure is</w:t>
      </w:r>
    </w:p>
    <w:p>
      <w:r>
        <w:t>correctable in a setting where correctness is checkable — and that the abstention</w:t>
      </w:r>
    </w:p>
    <w:p>
      <w:r>
        <w:t>rate, not the coverage number, is the thing to watch.</w:t>
      </w:r>
    </w:p>
    <w:p>
      <w:pPr>
        <w:spacing w:before="280" w:after="80"/>
      </w:pPr>
      <w:r>
        <w:rPr>
          <w:b/>
          <w:color w:val="1B365D"/>
          <w:sz w:val="27"/>
        </w:rPr>
        <w:t>Reproducibility</w:t>
      </w:r>
    </w:p>
    <w:p>
      <w:r>
        <w:t xml:space="preserve">Every number in this paper is either read from a file under </w:t>
      </w:r>
      <w:r>
        <w:rPr>
          <w:rFonts w:ascii="Consolas" w:hAnsi="Consolas"/>
          <w:sz w:val="20"/>
        </w:rPr>
        <w:t>outputs/</w:t>
      </w:r>
      <w:r>
        <w:t xml:space="preserve"> or</w:t>
      </w:r>
    </w:p>
    <w:p>
      <w:r>
        <w:t xml:space="preserve">reproduced by running a script under </w:t>
      </w:r>
      <w:r>
        <w:rPr>
          <w:rFonts w:ascii="Consolas" w:hAnsi="Consolas"/>
          <w:sz w:val="20"/>
        </w:rPr>
        <w:t>scripts/</w:t>
      </w:r>
      <w:r>
        <w:t>. The three figures reporting the</w:t>
      </w:r>
    </w:p>
    <w:p>
      <w:r>
        <w:t xml:space="preserve">feedback correction are generated by </w:t>
      </w:r>
      <w:r>
        <w:rPr>
          <w:rFonts w:ascii="Consolas" w:hAnsi="Consolas"/>
          <w:sz w:val="20"/>
        </w:rPr>
        <w:t>scripts/make_paper_figures.py</w:t>
      </w:r>
      <w:r>
        <w:t>, which calls</w:t>
      </w:r>
    </w:p>
    <w:p>
      <w:r>
        <w:t>the experiment functions directly and writes the values it plotted to</w:t>
      </w:r>
    </w:p>
    <w:p>
      <w:r>
        <w:rPr>
          <w:rFonts w:ascii="Consolas" w:hAnsi="Consolas"/>
          <w:sz w:val="20"/>
        </w:rPr>
        <w:t>outputs/figure_data/*.json</w:t>
      </w:r>
      <w:r>
        <w:t>, so any figure can be checked against the numbers</w:t>
      </w:r>
    </w:p>
    <w:p>
      <w:r>
        <w:t>behind it. The spatial error map is computed from the saved test predictions in</w:t>
      </w:r>
    </w:p>
    <w:p>
      <w:r>
        <w:rPr>
          <w:rFonts w:ascii="Consolas" w:hAnsi="Consolas"/>
          <w:sz w:val="20"/>
        </w:rPr>
        <w:t>outputs/conformal_evaluation/chicago_predictions.npz</w:t>
      </w:r>
      <w:r>
        <w:t>.</w:t>
      </w:r>
    </w:p>
    <w:p>
      <w:r>
        <w:t>Three figures that previously existed in the repository are deliberately not</w:t>
      </w:r>
    </w:p>
    <w:p>
      <w:r>
        <w:t>included. Two attention visualisations drew synthetic weights — an exponential</w:t>
      </w:r>
    </w:p>
    <w:p>
      <w:r>
        <w:t>distance decay for the spatial map, a hand-built lag pattern for the temporal</w:t>
      </w:r>
    </w:p>
    <w:p>
      <w:r>
        <w:t>one — under titles claiming they showed learned GATv2 and transformer attention.</w:t>
      </w:r>
    </w:p>
    <w:p>
      <w:r>
        <w:t>The pipeline does not persist real attention weights, so those figures could not</w:t>
      </w:r>
    </w:p>
    <w:p>
      <w:r>
        <w:t>be produced honestly and the plotting functions now refuse to run without real</w:t>
      </w:r>
    </w:p>
    <w:p>
      <w:r>
        <w:t>input rather than drawing something misleading.</w:t>
      </w:r>
    </w:p>
    <w:p>
      <w:pPr>
        <w:spacing w:before="280" w:after="80"/>
      </w:pPr>
      <w:r>
        <w:rPr>
          <w:b/>
          <w:color w:val="1B365D"/>
          <w:sz w:val="27"/>
        </w:rPr>
        <w:t>References</w:t>
      </w:r>
    </w:p>
    <w:p>
      <w:r>
        <w:t xml:space="preserve">[1] D. Ensign, S. A. Friedler, S. Neville, C. Scheidegger, and S. Venkatasubramanian, "Runaway feedback loops in predictive policing," in </w:t>
      </w:r>
      <w:r>
        <w:rPr>
          <w:i/>
        </w:rPr>
        <w:t>Proc. Conf. Fairness, Accountability and Transparency (FAccT)</w:t>
      </w:r>
      <w:r>
        <w:t>, 2018.</w:t>
      </w:r>
    </w:p>
    <w:p>
      <w:r>
        <w:t xml:space="preserve">[2] W. A. C. van Amsterdam et al., "When accurate prediction models yield harmful self-fulfilling prophecies," </w:t>
      </w:r>
      <w:r>
        <w:rPr>
          <w:i/>
        </w:rPr>
        <w:t>Cell Patterns</w:t>
      </w:r>
      <w:r>
        <w:t>, 2025.</w:t>
      </w:r>
    </w:p>
    <w:p>
      <w:r>
        <w:t xml:space="preserve">[3] E. L. Glaeser, B. I. Sacerdote, and J. A. Scheinkman, "The social multiplier," </w:t>
      </w:r>
      <w:r>
        <w:rPr>
          <w:i/>
        </w:rPr>
        <w:t>J. European Economic Association</w:t>
      </w:r>
      <w:r>
        <w:t>, vol. 1, no. 2, pp. 345-353, 2003.</w:t>
      </w:r>
    </w:p>
    <w:p>
      <w:r>
        <w:t xml:space="preserve">[4] D. Zhuang, S. Wang, H. Koutsopoulos, and J. Zhao, "Uncertainty quantification of sparse travel demand prediction with spatial-temporal graph neural networks," in </w:t>
      </w:r>
      <w:r>
        <w:rPr>
          <w:i/>
        </w:rPr>
        <w:t>Proc. ACM SIGKDD</w:t>
      </w:r>
      <w:r>
        <w:t>, 2022.</w:t>
      </w:r>
    </w:p>
    <w:p>
      <w:r>
        <w:t>[5] S. Wang et al., "Spatiotemporal multi-graph neural network with zero-inflated negative binomial output for sparse demand forecasting," 2024.</w:t>
      </w:r>
    </w:p>
    <w:p>
      <w:r>
        <w:t xml:space="preserve">[6] S. Brody, U. Alon, and E. Yahav, "How attentive are graph attention networks?," in </w:t>
      </w:r>
      <w:r>
        <w:rPr>
          <w:i/>
        </w:rPr>
        <w:t>Proc. ICLR</w:t>
      </w:r>
      <w:r>
        <w:t>, 2022.</w:t>
      </w:r>
    </w:p>
    <w:p>
      <w:r>
        <w:t xml:space="preserve">[7] Y. Romano, E. Patterson, and E. Candès, "Conformalized quantile regression," in </w:t>
      </w:r>
      <w:r>
        <w:rPr>
          <w:i/>
        </w:rPr>
        <w:t>Adv. Neural Inf. Process. Syst. (NeurIPS)</w:t>
      </w:r>
      <w:r>
        <w:t>, 2019.</w:t>
      </w:r>
    </w:p>
    <w:p>
      <w:r>
        <w:t xml:space="preserve">[8] I. Gibbs and E. Candès, "Adaptive conformal inference under distribution shift," in </w:t>
      </w:r>
      <w:r>
        <w:rPr>
          <w:i/>
        </w:rPr>
        <w:t>Adv. Neural Inf. Process. Syst. (NeurIPS)</w:t>
      </w:r>
      <w:r>
        <w:t>, 2021.</w:t>
      </w:r>
    </w:p>
    <w:p>
      <w:r>
        <w:t xml:space="preserve">[9] S. Feldman, S. Bates, and Y. Romano, "Improving conditional coverage via orthogonal quantile regression," in </w:t>
      </w:r>
      <w:r>
        <w:rPr>
          <w:i/>
        </w:rPr>
        <w:t>Adv. Neural Inf. Process. Syst. (NeurIPS)</w:t>
      </w:r>
      <w:r>
        <w:t>, 2021.</w:t>
      </w:r>
    </w:p>
    <w:p>
      <w:r>
        <w:t xml:space="preserve">[10] T. B. Hashimoto, M. Srivastava, H. Namkoong, and P. Liang, "Fairness without demographics in repeated loss minimization," in </w:t>
      </w:r>
      <w:r>
        <w:rPr>
          <w:i/>
        </w:rPr>
        <w:t>Proc. ICML</w:t>
      </w:r>
      <w:r>
        <w:t>, 2018.</w:t>
      </w:r>
    </w:p>
    <w:p>
      <w:r>
        <w:t xml:space="preserve">[11] S. Wyllie, I. Shumailov, and N. Papernot, "Fairness feedback loops: training on synthetic data amplifies bias," in </w:t>
      </w:r>
      <w:r>
        <w:rPr>
          <w:i/>
        </w:rPr>
        <w:t>Proc. FAccT</w:t>
      </w:r>
      <w:r>
        <w:t>, 2024.</w:t>
      </w:r>
    </w:p>
    <w:p>
      <w:r>
        <w:t xml:space="preserve">[12] J. Perdomo, T. Zrnic, C. Mendler-Dünner, and M. Hardt, "Performative prediction," in </w:t>
      </w:r>
      <w:r>
        <w:rPr>
          <w:i/>
        </w:rPr>
        <w:t>Proc. ICML</w:t>
      </w:r>
      <w:r>
        <w:t>, 2020.</w:t>
      </w:r>
    </w:p>
    <w:p>
      <w:r>
        <w:t>[13] J. C. Perdomo, "Revisiting the predictability of performative, social events," 2025.</w:t>
      </w:r>
    </w:p>
    <w:p>
      <w:r>
        <w:t xml:space="preserve">[14] V. Li, B. Chen, Y. Mao, Q. Lei, and Z. Deng, "Performative risk control: calibrating models for reliable deployment under performativity," in </w:t>
      </w:r>
      <w:r>
        <w:rPr>
          <w:i/>
        </w:rPr>
        <w:t>Adv. Neural Inf. Process. Syst. (NeurIPS)</w:t>
      </w:r>
      <w:r>
        <w:t>, 2025.</w:t>
      </w:r>
    </w:p>
    <w:p>
      <w:r>
        <w:t xml:space="preserve">[15] C. Mendler-Dünner, J. Ding, and Y. Wang, "Anticipating performativity by predicting from predictions," in </w:t>
      </w:r>
      <w:r>
        <w:rPr>
          <w:i/>
        </w:rPr>
        <w:t>Adv. Neural Inf. Process. Syst. (NeurIPS)</w:t>
      </w:r>
      <w:r>
        <w:t>, 2022.</w:t>
      </w:r>
    </w:p>
    <w:p>
      <w:r>
        <w:t xml:space="preserve">[16] N. T. Connealy, E. L. Piza, R. A. Arietti, G. O. Mohler, and J. G. Carter, "Staggered deployment of gunshot detection technology in Chicago, IL: a matched quasi-experiment of gun violence outcomes," </w:t>
      </w:r>
      <w:r>
        <w:rPr>
          <w:i/>
        </w:rPr>
        <w:t>J. Experimental Criminology</w:t>
      </w:r>
      <w:r>
        <w:t>, vol. 20, no. 1, pp. 1-26, 2024.</w:t>
      </w:r>
    </w:p>
    <w:p>
      <w:r>
        <w:t xml:space="preserve">[17] A. N. Angelopoulos, E. J. Candès, and R. J. Tibshirani, "Conformal PID control for time series prediction," in </w:t>
      </w:r>
      <w:r>
        <w:rPr>
          <w:i/>
        </w:rPr>
        <w:t>Adv. Neural Inf. Process. Syst. (NeurIPS)</w:t>
      </w:r>
      <w:r>
        <w:t>, 2023.</w:t>
      </w:r>
    </w:p>
    <w:p>
      <w:r>
        <w:t xml:space="preserve">[18] H. Hersbach, "Decomposition of the continuous ranked probability score for ensemble prediction systems," </w:t>
      </w:r>
      <w:r>
        <w:rPr>
          <w:i/>
        </w:rPr>
        <w:t>Weather and Forecasting</w:t>
      </w:r>
      <w:r>
        <w:t>, vol. 15, no. 5, pp. 559-570, 2000.</w:t>
      </w:r>
    </w:p>
    <w:p>
      <w:r>
        <w:t xml:space="preserve">[19] T. Gneiting, A. E. Raftery, A. H. Westveld III, and T. Goldman, "Calibrated probabilistic forecasting using ensemble model output statistics and minimum CRPS estimation," </w:t>
      </w:r>
      <w:r>
        <w:rPr>
          <w:i/>
        </w:rPr>
        <w:t>Monthly Weather Review</w:t>
      </w:r>
      <w:r>
        <w:t>, vol. 133, no. 5, pp. 1098-1118, 2005.</w:t>
      </w:r>
    </w:p>
    <w:p>
      <w:r>
        <w:t xml:space="preserve">[20] F. X. Diebold and R. S. Mariano, "Comparing predictive accuracy," </w:t>
      </w:r>
      <w:r>
        <w:rPr>
          <w:i/>
        </w:rPr>
        <w:t>J. Business &amp; Economic Statistics</w:t>
      </w:r>
      <w:r>
        <w:t>, vol. 13, no. 3, pp. 253-263, 1995.</w:t>
      </w:r>
    </w:p>
    <w:p>
      <w:r>
        <w:t xml:space="preserve">[21] R. J. Tibshirani, R. F. Barber, E. J. Candès, and A. Ramdas, "Conformal prediction under covariate shift," in </w:t>
      </w:r>
      <w:r>
        <w:rPr>
          <w:i/>
        </w:rPr>
        <w:t>Advances in Neural Information Processing Systems (NeurIPS)</w:t>
      </w:r>
      <w:r>
        <w:t>, vol. 32, 2019.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