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F9C" w:rsidRDefault="006A5F9C">
      <w:pPr>
        <w:spacing w:before="180"/>
      </w:pPr>
    </w:p>
    <w:p w:rsidR="003C481A" w:rsidRDefault="003C481A">
      <w:pPr>
        <w:spacing w:before="180"/>
      </w:pPr>
    </w:p>
    <w:p w:rsidR="003C481A" w:rsidRDefault="003C481A">
      <w:pPr>
        <w:spacing w:before="180"/>
      </w:pPr>
    </w:p>
    <w:p w:rsidR="003C481A" w:rsidRDefault="003C481A">
      <w:pPr>
        <w:spacing w:before="180"/>
      </w:pPr>
    </w:p>
    <w:p w:rsidR="003C481A" w:rsidRDefault="003C481A">
      <w:pPr>
        <w:spacing w:before="180"/>
      </w:pPr>
    </w:p>
    <w:p w:rsidR="003C481A" w:rsidRDefault="003C481A">
      <w:pPr>
        <w:spacing w:before="180"/>
      </w:pPr>
    </w:p>
    <w:p w:rsidR="003C481A" w:rsidRDefault="003C481A">
      <w:pPr>
        <w:spacing w:before="180"/>
      </w:pPr>
    </w:p>
    <w:p w:rsidR="003C481A" w:rsidRDefault="003C481A">
      <w:pPr>
        <w:spacing w:before="180"/>
      </w:pPr>
    </w:p>
    <w:p w:rsidR="003C481A" w:rsidRDefault="003C481A">
      <w:pPr>
        <w:spacing w:before="180"/>
      </w:pPr>
      <w:bookmarkStart w:id="0" w:name="_GoBack"/>
      <w:bookmarkEnd w:id="0"/>
    </w:p>
    <w:p w:rsidR="006A5F9C" w:rsidRDefault="00083F48">
      <w:pPr>
        <w:shd w:val="clear" w:color="auto" w:fill="1A9850"/>
        <w:spacing w:before="400"/>
        <w:ind w:left="200" w:right="200"/>
        <w:jc w:val="center"/>
      </w:pPr>
      <w:r>
        <w:rPr>
          <w:b/>
          <w:bCs/>
          <w:color w:val="FFFFFF"/>
          <w:sz w:val="52"/>
          <w:szCs w:val="52"/>
        </w:rPr>
        <w:t>THE AGRIVOLTAIC OPTIMIZER</w:t>
      </w:r>
    </w:p>
    <w:p w:rsidR="006A5F9C" w:rsidRDefault="00083F48">
      <w:pPr>
        <w:shd w:val="clear" w:color="auto" w:fill="145C35"/>
        <w:ind w:left="200" w:right="200"/>
        <w:jc w:val="center"/>
      </w:pPr>
      <w:r>
        <w:rPr>
          <w:b/>
          <w:bCs/>
          <w:color w:val="FFFFFF"/>
          <w:sz w:val="28"/>
          <w:szCs w:val="28"/>
        </w:rPr>
        <w:t>Spatial Intelligence for Dual-Use Land Allocation</w:t>
      </w:r>
    </w:p>
    <w:p w:rsidR="006A5F9C" w:rsidRDefault="00083F48">
      <w:pPr>
        <w:shd w:val="clear" w:color="auto" w:fill="145C35"/>
        <w:spacing w:after="240"/>
        <w:ind w:left="200" w:right="200"/>
        <w:jc w:val="center"/>
      </w:pPr>
      <w:r>
        <w:rPr>
          <w:b/>
          <w:bCs/>
          <w:color w:val="FFFFFF"/>
          <w:sz w:val="24"/>
          <w:szCs w:val="24"/>
        </w:rPr>
        <w:t>Jodhpur District, Rajasthan, India</w:t>
      </w:r>
    </w:p>
    <w:p w:rsidR="006A5F9C" w:rsidRDefault="006A5F9C">
      <w:pPr>
        <w:spacing w:before="120"/>
      </w:pPr>
    </w:p>
    <w:tbl>
      <w:tblPr>
        <w:tblW w:w="974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7"/>
        <w:gridCol w:w="4680"/>
      </w:tblGrid>
      <w:tr w:rsidR="006A5F9C" w:rsidTr="00796F2B">
        <w:tc>
          <w:tcPr>
            <w:tcW w:w="5067"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120" w:type="dxa"/>
            </w:tcMar>
          </w:tcPr>
          <w:p w:rsidR="006A5F9C" w:rsidRDefault="00083F48">
            <w:pPr>
              <w:spacing w:before="60" w:after="80"/>
            </w:pPr>
            <w:r>
              <w:rPr>
                <w:b/>
                <w:bCs/>
                <w:color w:val="404040"/>
              </w:rPr>
              <w:t>Project Title</w:t>
            </w:r>
          </w:p>
          <w:p w:rsidR="006A5F9C" w:rsidRDefault="00083F48">
            <w:pPr>
              <w:spacing w:before="60" w:after="80"/>
              <w:jc w:val="both"/>
            </w:pPr>
            <w:r>
              <w:rPr>
                <w:color w:val="000000"/>
              </w:rPr>
              <w:t>The Agrivoltaic Optimizer</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120" w:type="dxa"/>
            </w:tcMar>
          </w:tcPr>
          <w:p w:rsidR="006A5F9C" w:rsidRDefault="00083F48">
            <w:pPr>
              <w:spacing w:before="60" w:after="80"/>
            </w:pPr>
            <w:r>
              <w:rPr>
                <w:b/>
                <w:bCs/>
                <w:color w:val="404040"/>
              </w:rPr>
              <w:t>Study Area</w:t>
            </w:r>
          </w:p>
          <w:p w:rsidR="006A5F9C" w:rsidRDefault="00083F48">
            <w:pPr>
              <w:spacing w:before="60" w:after="80"/>
              <w:jc w:val="both"/>
            </w:pPr>
            <w:r>
              <w:rPr>
                <w:color w:val="000000"/>
              </w:rPr>
              <w:t>Jodhpur District, Rajasthan</w:t>
            </w:r>
          </w:p>
        </w:tc>
      </w:tr>
      <w:tr w:rsidR="003C481A" w:rsidTr="00C648E7">
        <w:tc>
          <w:tcPr>
            <w:tcW w:w="9747" w:type="dxa"/>
            <w:gridSpan w:val="2"/>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120" w:type="dxa"/>
            </w:tcMar>
          </w:tcPr>
          <w:p w:rsidR="003C481A" w:rsidRDefault="003C481A" w:rsidP="003C481A">
            <w:pPr>
              <w:spacing w:before="60" w:after="80"/>
              <w:jc w:val="center"/>
            </w:pPr>
            <w:r>
              <w:rPr>
                <w:b/>
                <w:bCs/>
                <w:color w:val="404040"/>
              </w:rPr>
              <w:t>Institutions</w:t>
            </w:r>
          </w:p>
          <w:p w:rsidR="003C481A" w:rsidRDefault="003C481A" w:rsidP="003C481A">
            <w:pPr>
              <w:spacing w:before="60" w:after="80"/>
              <w:jc w:val="center"/>
            </w:pPr>
            <w:r>
              <w:rPr>
                <w:color w:val="000000"/>
              </w:rPr>
              <w:t>IIRS-ISRO, Dehradun</w:t>
            </w:r>
          </w:p>
          <w:p w:rsidR="003C481A" w:rsidRDefault="003C481A" w:rsidP="003C481A">
            <w:pPr>
              <w:spacing w:before="60" w:after="80"/>
              <w:jc w:val="center"/>
            </w:pPr>
            <w:r>
              <w:rPr>
                <w:color w:val="000000"/>
              </w:rPr>
              <w:t>DAU Gandhinagar</w:t>
            </w:r>
          </w:p>
        </w:tc>
      </w:tr>
      <w:tr w:rsidR="006A5F9C" w:rsidTr="00796F2B">
        <w:tc>
          <w:tcPr>
            <w:tcW w:w="5067"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120" w:type="dxa"/>
            </w:tcMar>
          </w:tcPr>
          <w:p w:rsidR="006A5F9C" w:rsidRDefault="00083F48">
            <w:pPr>
              <w:spacing w:before="60" w:after="80"/>
            </w:pPr>
            <w:r>
              <w:rPr>
                <w:b/>
                <w:bCs/>
                <w:color w:val="404040"/>
              </w:rPr>
              <w:t>Core Model</w:t>
            </w:r>
          </w:p>
          <w:p w:rsidR="006A5F9C" w:rsidRDefault="00083F48">
            <w:pPr>
              <w:spacing w:before="60" w:after="80"/>
              <w:jc w:val="both"/>
            </w:pPr>
            <w:r>
              <w:rPr>
                <w:color w:val="000000"/>
              </w:rPr>
              <w:t>MCDA + K-Means Clustering</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120" w:type="dxa"/>
            </w:tcMar>
          </w:tcPr>
          <w:p w:rsidR="006A5F9C" w:rsidRDefault="00083F48">
            <w:pPr>
              <w:spacing w:before="60" w:after="80"/>
            </w:pPr>
            <w:r>
              <w:rPr>
                <w:b/>
                <w:bCs/>
                <w:color w:val="404040"/>
              </w:rPr>
              <w:t>Date</w:t>
            </w:r>
          </w:p>
          <w:p w:rsidR="006A5F9C" w:rsidRDefault="00083F48">
            <w:pPr>
              <w:spacing w:before="60" w:after="80"/>
              <w:jc w:val="both"/>
            </w:pPr>
            <w:r>
              <w:rPr>
                <w:color w:val="000000"/>
              </w:rPr>
              <w:t>March 2026</w:t>
            </w:r>
          </w:p>
        </w:tc>
      </w:tr>
    </w:tbl>
    <w:p w:rsidR="006A5F9C" w:rsidRDefault="006A5F9C">
      <w:pPr>
        <w:spacing w:before="120"/>
      </w:pPr>
    </w:p>
    <w:p w:rsidR="006A5F9C" w:rsidRDefault="00083F48">
      <w:pPr>
        <w:jc w:val="center"/>
      </w:pPr>
      <w:r>
        <w:rPr>
          <w:i/>
          <w:iCs/>
          <w:color w:val="404040"/>
        </w:rPr>
        <w:t>M.Sc. Agriculture Analytics | Semester 2</w:t>
      </w:r>
    </w:p>
    <w:p w:rsidR="006A5F9C" w:rsidRDefault="00083F48">
      <w:r>
        <w:br w:type="page"/>
      </w:r>
    </w:p>
    <w:p w:rsidR="006A5F9C" w:rsidRDefault="00083F48" w:rsidP="003C481A">
      <w:pPr>
        <w:pStyle w:val="Heading1"/>
        <w:pBdr>
          <w:bottom w:val="single" w:sz="6" w:space="1" w:color="FFFFFF"/>
        </w:pBdr>
        <w:shd w:val="clear" w:color="auto" w:fill="1A9850"/>
        <w:ind w:right="200"/>
      </w:pPr>
      <w:r>
        <w:lastRenderedPageBreak/>
        <w:t>1. Executive Summary</w:t>
      </w:r>
    </w:p>
    <w:p w:rsidR="006A5F9C" w:rsidRDefault="00083F48">
      <w:pPr>
        <w:spacing w:before="60" w:after="80"/>
        <w:jc w:val="both"/>
      </w:pPr>
      <w:r>
        <w:rPr>
          <w:color w:val="000000"/>
        </w:rPr>
        <w:t xml:space="preserve">The </w:t>
      </w:r>
      <w:r>
        <w:rPr>
          <w:b/>
          <w:bCs/>
          <w:color w:val="000000"/>
        </w:rPr>
        <w:t>Agrivoltaic Optimizer</w:t>
      </w:r>
      <w:r>
        <w:rPr>
          <w:color w:val="000000"/>
        </w:rPr>
        <w:t xml:space="preserve"> is an enterprise-grade spatial intelligence prototype designed to solve one of the most pressing challenges in the global renewable energy transition: the competition between solar infrastructure deployment and food-producing agricultural land. This project delivers a Multi-Criteria Decision Analysis (MCDA) framework driven by unsupervised machine learning to identify optimal agrivoltaic development zones within Jodhpur District, Rajasthan, India.</w:t>
      </w:r>
    </w:p>
    <w:p w:rsidR="006A5F9C" w:rsidRDefault="00083F48">
      <w:pPr>
        <w:spacing w:before="60" w:after="80"/>
        <w:jc w:val="both"/>
      </w:pPr>
      <w:r>
        <w:rPr>
          <w:color w:val="000000"/>
        </w:rPr>
        <w:t>The system evaluates complex, overlapping spatial variables including terrain slope, solar irradiance, land use classification, and infrastructure proximity to generate a pixel-level suitability score across the entire study area. The output is rendered as a classified GeoTIFF raster and visualized through both a QGIS-embedded PyQGIS dashboard and a standalone interactive HTML visualization.</w:t>
      </w:r>
    </w:p>
    <w:p w:rsidR="006A5F9C" w:rsidRDefault="006A5F9C">
      <w:pPr>
        <w:spacing w:before="30"/>
      </w:pPr>
    </w:p>
    <w:tbl>
      <w:tblPr>
        <w:tblW w:w="93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A5F9C" w:rsidTr="00796F2B">
        <w:tc>
          <w:tcPr>
            <w:tcW w:w="2340" w:type="dxa"/>
            <w:tcBorders>
              <w:top w:val="single" w:sz="4" w:space="0" w:color="CCCCCC"/>
              <w:left w:val="single" w:sz="4" w:space="0" w:color="CCCCCC"/>
              <w:bottom w:val="single" w:sz="4" w:space="0" w:color="CCCCCC"/>
              <w:right w:val="single" w:sz="4" w:space="0" w:color="CCCCCC"/>
            </w:tcBorders>
            <w:shd w:val="clear" w:color="auto" w:fill="145C35"/>
            <w:tcMar>
              <w:top w:w="100" w:type="dxa"/>
              <w:left w:w="120" w:type="dxa"/>
              <w:bottom w:w="100" w:type="dxa"/>
              <w:right w:w="120" w:type="dxa"/>
            </w:tcMar>
          </w:tcPr>
          <w:p w:rsidR="006A5F9C" w:rsidRDefault="00083F48">
            <w:pPr>
              <w:spacing w:before="60" w:after="80"/>
              <w:jc w:val="center"/>
            </w:pPr>
            <w:r>
              <w:rPr>
                <w:b/>
                <w:bCs/>
                <w:color w:val="FFFFFF"/>
                <w:sz w:val="28"/>
                <w:szCs w:val="28"/>
              </w:rPr>
              <w:t>22,850 km²</w:t>
            </w:r>
          </w:p>
          <w:p w:rsidR="006A5F9C" w:rsidRDefault="00083F48">
            <w:pPr>
              <w:spacing w:before="60" w:after="80"/>
              <w:jc w:val="center"/>
            </w:pPr>
            <w:r>
              <w:rPr>
                <w:color w:val="FFFFFF"/>
                <w:sz w:val="18"/>
                <w:szCs w:val="18"/>
              </w:rPr>
              <w:t>Total AOI Area</w:t>
            </w:r>
          </w:p>
        </w:tc>
        <w:tc>
          <w:tcPr>
            <w:tcW w:w="2340" w:type="dxa"/>
            <w:tcBorders>
              <w:top w:val="single" w:sz="4" w:space="0" w:color="CCCCCC"/>
              <w:left w:val="single" w:sz="4" w:space="0" w:color="CCCCCC"/>
              <w:bottom w:val="single" w:sz="4" w:space="0" w:color="CCCCCC"/>
              <w:right w:val="single" w:sz="4" w:space="0" w:color="CCCCCC"/>
            </w:tcBorders>
            <w:shd w:val="clear" w:color="auto" w:fill="1A9850"/>
            <w:tcMar>
              <w:top w:w="100" w:type="dxa"/>
              <w:left w:w="120" w:type="dxa"/>
              <w:bottom w:w="100" w:type="dxa"/>
              <w:right w:w="120" w:type="dxa"/>
            </w:tcMar>
          </w:tcPr>
          <w:p w:rsidR="006A5F9C" w:rsidRDefault="00083F48">
            <w:pPr>
              <w:spacing w:before="60" w:after="80"/>
              <w:jc w:val="center"/>
            </w:pPr>
            <w:r>
              <w:rPr>
                <w:b/>
                <w:bCs/>
                <w:color w:val="FFFFFF"/>
                <w:sz w:val="28"/>
                <w:szCs w:val="28"/>
              </w:rPr>
              <w:t>40.3%</w:t>
            </w:r>
          </w:p>
          <w:p w:rsidR="006A5F9C" w:rsidRDefault="00083F48">
            <w:pPr>
              <w:spacing w:before="60" w:after="80"/>
              <w:jc w:val="center"/>
            </w:pPr>
            <w:r>
              <w:rPr>
                <w:color w:val="FFFFFF"/>
                <w:sz w:val="18"/>
                <w:szCs w:val="18"/>
              </w:rPr>
              <w:t>High Suitability</w:t>
            </w:r>
          </w:p>
        </w:tc>
        <w:tc>
          <w:tcPr>
            <w:tcW w:w="2340" w:type="dxa"/>
            <w:tcBorders>
              <w:top w:val="single" w:sz="4" w:space="0" w:color="CCCCCC"/>
              <w:left w:val="single" w:sz="4" w:space="0" w:color="CCCCCC"/>
              <w:bottom w:val="single" w:sz="4" w:space="0" w:color="CCCCCC"/>
              <w:right w:val="single" w:sz="4" w:space="0" w:color="CCCCCC"/>
            </w:tcBorders>
            <w:shd w:val="clear" w:color="auto" w:fill="E07B2A"/>
            <w:tcMar>
              <w:top w:w="100" w:type="dxa"/>
              <w:left w:w="120" w:type="dxa"/>
              <w:bottom w:w="100" w:type="dxa"/>
              <w:right w:w="120" w:type="dxa"/>
            </w:tcMar>
          </w:tcPr>
          <w:p w:rsidR="006A5F9C" w:rsidRDefault="00083F48">
            <w:pPr>
              <w:spacing w:before="60" w:after="80"/>
              <w:jc w:val="center"/>
            </w:pPr>
            <w:r>
              <w:rPr>
                <w:b/>
                <w:bCs/>
                <w:color w:val="FFFFFF"/>
                <w:sz w:val="28"/>
                <w:szCs w:val="28"/>
              </w:rPr>
              <w:t>59.7%</w:t>
            </w:r>
          </w:p>
          <w:p w:rsidR="006A5F9C" w:rsidRDefault="00083F48">
            <w:pPr>
              <w:spacing w:before="60" w:after="80"/>
              <w:jc w:val="center"/>
            </w:pPr>
            <w:r>
              <w:rPr>
                <w:color w:val="FFFFFF"/>
                <w:sz w:val="18"/>
                <w:szCs w:val="18"/>
              </w:rPr>
              <w:t>Low Suitability</w:t>
            </w:r>
          </w:p>
        </w:tc>
        <w:tc>
          <w:tcPr>
            <w:tcW w:w="2340" w:type="dxa"/>
            <w:tcBorders>
              <w:top w:val="single" w:sz="4" w:space="0" w:color="CCCCCC"/>
              <w:left w:val="single" w:sz="4" w:space="0" w:color="CCCCCC"/>
              <w:bottom w:val="single" w:sz="4" w:space="0" w:color="CCCCCC"/>
              <w:right w:val="single" w:sz="4" w:space="0" w:color="CCCCCC"/>
            </w:tcBorders>
            <w:shd w:val="clear" w:color="auto" w:fill="404040"/>
            <w:tcMar>
              <w:top w:w="100" w:type="dxa"/>
              <w:left w:w="120" w:type="dxa"/>
              <w:bottom w:w="100" w:type="dxa"/>
              <w:right w:w="120" w:type="dxa"/>
            </w:tcMar>
          </w:tcPr>
          <w:p w:rsidR="006A5F9C" w:rsidRDefault="00083F48">
            <w:pPr>
              <w:spacing w:before="60" w:after="80"/>
              <w:jc w:val="center"/>
            </w:pPr>
            <w:r>
              <w:rPr>
                <w:b/>
                <w:bCs/>
                <w:color w:val="FFFFFF"/>
                <w:sz w:val="28"/>
                <w:szCs w:val="28"/>
              </w:rPr>
              <w:t>K = 5</w:t>
            </w:r>
          </w:p>
          <w:p w:rsidR="006A5F9C" w:rsidRDefault="00083F48">
            <w:pPr>
              <w:spacing w:before="60" w:after="80"/>
              <w:jc w:val="center"/>
            </w:pPr>
            <w:r>
              <w:rPr>
                <w:color w:val="FFFFFF"/>
                <w:sz w:val="18"/>
                <w:szCs w:val="18"/>
              </w:rPr>
              <w:t>Optimal Clusters</w:t>
            </w:r>
          </w:p>
        </w:tc>
      </w:tr>
    </w:tbl>
    <w:p w:rsidR="006A5F9C" w:rsidRDefault="006A5F9C">
      <w:pPr>
        <w:spacing w:before="60"/>
      </w:pPr>
    </w:p>
    <w:p w:rsidR="006A5F9C" w:rsidRDefault="00083F48" w:rsidP="003C481A">
      <w:pPr>
        <w:pStyle w:val="Heading1"/>
        <w:pBdr>
          <w:bottom w:val="single" w:sz="6" w:space="1" w:color="FFFFFF"/>
        </w:pBdr>
        <w:shd w:val="clear" w:color="auto" w:fill="1A9850"/>
        <w:ind w:right="200"/>
      </w:pPr>
      <w:r>
        <w:t>2. Problem Statement</w:t>
      </w:r>
    </w:p>
    <w:p w:rsidR="006A5F9C" w:rsidRDefault="00083F48">
      <w:pPr>
        <w:pStyle w:val="Heading2"/>
        <w:pBdr>
          <w:bottom w:val="single" w:sz="4" w:space="2" w:color="1A9850"/>
        </w:pBdr>
      </w:pPr>
      <w:r>
        <w:t>2.1 The Spatial Problem</w:t>
      </w:r>
    </w:p>
    <w:p w:rsidR="006A5F9C" w:rsidRDefault="00083F48">
      <w:pPr>
        <w:spacing w:before="60" w:after="80"/>
        <w:jc w:val="both"/>
      </w:pPr>
      <w:r>
        <w:rPr>
          <w:color w:val="000000"/>
        </w:rPr>
        <w:t>The global transition to renewable energy faces a critical zero-sum bottleneck: large-scale solar farms threaten food security by consuming fertile arable land. Nations committed to aggressive solar expansion simultaneously face strict land-use protections and mounting food system pressures. This conflict is particularly acute in India, where the national solar mission requires massive land allocations at a time when agricultural productivity must scale to meet a growing population.</w:t>
      </w:r>
    </w:p>
    <w:p w:rsidR="006A5F9C" w:rsidRDefault="00083F48">
      <w:pPr>
        <w:spacing w:before="60" w:after="80"/>
        <w:jc w:val="both"/>
      </w:pPr>
      <w:r>
        <w:rPr>
          <w:color w:val="000000"/>
        </w:rPr>
        <w:t>The Agrivoltaic Optimizer solves this zero-sum game by identifying the optimal spatial zones where solar energy generation and crop cultivation can coexist and mutually benefit. Elevated photovoltaic panels in arid regions demonstrably reduce soil evaporation by up to 30%, directly benefiting specific shade-tolerant crops such as cumin, moth bean, and cluster bean that are native to the Jodhpur region.</w:t>
      </w:r>
    </w:p>
    <w:p w:rsidR="006A5F9C" w:rsidRDefault="00083F48">
      <w:pPr>
        <w:pStyle w:val="Heading2"/>
        <w:pBdr>
          <w:bottom w:val="single" w:sz="4" w:space="2" w:color="1A9850"/>
        </w:pBdr>
      </w:pPr>
      <w:r>
        <w:t>2.2 Why Jodhpur District</w:t>
      </w:r>
    </w:p>
    <w:p w:rsidR="006A5F9C" w:rsidRDefault="00083F48">
      <w:pPr>
        <w:spacing w:before="60" w:after="80"/>
        <w:jc w:val="both"/>
      </w:pPr>
      <w:r>
        <w:rPr>
          <w:color w:val="000000"/>
        </w:rPr>
        <w:t>Jodhpur District, Rajasthan was selected as the primary study area for three converging reasons. First, it sits within the Thar Desert belt, one of the highest Global Horizontal Irradiance (GHI) zones in India, making it climatically ideal for solar infrastructure. Second, it supports active dryland agriculture under extreme heat stress, making it a direct beneficiary of panel-induced microclimate improvement. Third, Rajasthan's aggressive state solar policy and India's PM-KUSUM agrivoltaic scheme provide the regulatory environment within which this model's outputs would be immediately actionable.</w:t>
      </w:r>
    </w:p>
    <w:p w:rsidR="006A5F9C" w:rsidRDefault="00083F48">
      <w:pPr>
        <w:pStyle w:val="Heading2"/>
        <w:pBdr>
          <w:bottom w:val="single" w:sz="4" w:space="2" w:color="1A9850"/>
        </w:pBdr>
      </w:pPr>
      <w:r>
        <w:t>2.3 Target Users</w:t>
      </w:r>
    </w:p>
    <w:p w:rsidR="006A5F9C" w:rsidRDefault="00083F48">
      <w:pPr>
        <w:pStyle w:val="ListParagraph"/>
        <w:numPr>
          <w:ilvl w:val="0"/>
          <w:numId w:val="2"/>
        </w:numPr>
        <w:spacing w:before="40" w:after="40"/>
      </w:pPr>
      <w:r>
        <w:rPr>
          <w:color w:val="000000"/>
          <w:sz w:val="21"/>
          <w:szCs w:val="21"/>
        </w:rPr>
        <w:t>Renewable energy developers requiring spatially rigorous site screening tools</w:t>
      </w:r>
    </w:p>
    <w:p w:rsidR="006A5F9C" w:rsidRDefault="00083F48">
      <w:pPr>
        <w:pStyle w:val="ListParagraph"/>
        <w:numPr>
          <w:ilvl w:val="0"/>
          <w:numId w:val="2"/>
        </w:numPr>
        <w:spacing w:before="40" w:after="40"/>
      </w:pPr>
      <w:r>
        <w:rPr>
          <w:color w:val="000000"/>
          <w:sz w:val="21"/>
          <w:szCs w:val="21"/>
        </w:rPr>
        <w:t>Agri-FinTech land acquisition teams requiring ESG-compliant investment justification</w:t>
      </w:r>
    </w:p>
    <w:p w:rsidR="006A5F9C" w:rsidRDefault="00083F48">
      <w:pPr>
        <w:pStyle w:val="ListParagraph"/>
        <w:numPr>
          <w:ilvl w:val="0"/>
          <w:numId w:val="2"/>
        </w:numPr>
        <w:spacing w:before="40" w:after="40"/>
      </w:pPr>
      <w:r>
        <w:rPr>
          <w:color w:val="000000"/>
          <w:sz w:val="21"/>
          <w:szCs w:val="21"/>
        </w:rPr>
        <w:t>District administrations designating agrivoltaic development corridors</w:t>
      </w:r>
    </w:p>
    <w:p w:rsidR="006A5F9C" w:rsidRDefault="00083F48">
      <w:pPr>
        <w:pStyle w:val="ListParagraph"/>
        <w:numPr>
          <w:ilvl w:val="0"/>
          <w:numId w:val="2"/>
        </w:numPr>
        <w:spacing w:before="40" w:after="40"/>
      </w:pPr>
      <w:r>
        <w:rPr>
          <w:color w:val="000000"/>
          <w:sz w:val="21"/>
          <w:szCs w:val="21"/>
        </w:rPr>
        <w:t>Agricultural extension officers advising farmers on panel co-deployment</w:t>
      </w:r>
    </w:p>
    <w:p w:rsidR="006A5F9C" w:rsidRDefault="00083F48">
      <w:pPr>
        <w:pStyle w:val="ListParagraph"/>
        <w:numPr>
          <w:ilvl w:val="0"/>
          <w:numId w:val="2"/>
        </w:numPr>
        <w:spacing w:before="40" w:after="40"/>
      </w:pPr>
      <w:r>
        <w:rPr>
          <w:color w:val="000000"/>
          <w:sz w:val="21"/>
          <w:szCs w:val="21"/>
        </w:rPr>
        <w:t>Institutional investors requiring transparent spatial audit trails for green portfolios</w:t>
      </w:r>
    </w:p>
    <w:p w:rsidR="006A5F9C" w:rsidRDefault="006A5F9C">
      <w:pPr>
        <w:spacing w:before="60"/>
      </w:pPr>
    </w:p>
    <w:p w:rsidR="006A5F9C" w:rsidRDefault="00083F48" w:rsidP="003C481A">
      <w:pPr>
        <w:pStyle w:val="Heading1"/>
        <w:pBdr>
          <w:bottom w:val="single" w:sz="6" w:space="1" w:color="FFFFFF"/>
        </w:pBdr>
        <w:shd w:val="clear" w:color="auto" w:fill="1A9850"/>
        <w:ind w:right="200"/>
      </w:pPr>
      <w:r>
        <w:lastRenderedPageBreak/>
        <w:t>3. Technical Architecture</w:t>
      </w:r>
    </w:p>
    <w:p w:rsidR="006A5F9C" w:rsidRDefault="00083F48">
      <w:pPr>
        <w:pStyle w:val="Heading2"/>
        <w:pBdr>
          <w:bottom w:val="single" w:sz="4" w:space="2" w:color="1A9850"/>
        </w:pBdr>
      </w:pPr>
      <w:r>
        <w:t>3.1 System Overview</w:t>
      </w:r>
    </w:p>
    <w:p w:rsidR="006A5F9C" w:rsidRDefault="00083F48">
      <w:pPr>
        <w:spacing w:before="60" w:after="80"/>
        <w:jc w:val="both"/>
      </w:pPr>
      <w:r>
        <w:rPr>
          <w:color w:val="000000"/>
        </w:rPr>
        <w:t>The system is architected as a four-layer pipeline: data acquisition and database storage, raster preprocessing and normalization, MCDA scoring and K-Means clustering, and interactive visualization. Each layer has clearly defined inputs, outputs, and responsible team members.</w:t>
      </w:r>
    </w:p>
    <w:p w:rsidR="006A5F9C" w:rsidRDefault="00083F48">
      <w:pPr>
        <w:pStyle w:val="Heading2"/>
        <w:pBdr>
          <w:bottom w:val="single" w:sz="4" w:space="2" w:color="1A9850"/>
        </w:pBdr>
      </w:pPr>
      <w:r>
        <w:t>3.2 Database Layer</w:t>
      </w:r>
    </w:p>
    <w:p w:rsidR="006A5F9C" w:rsidRDefault="00083F48">
      <w:pPr>
        <w:spacing w:before="60" w:after="80"/>
        <w:jc w:val="both"/>
      </w:pPr>
      <w:r>
        <w:rPr>
          <w:color w:val="000000"/>
        </w:rPr>
        <w:t>The spatial data infrastructure is built on PostgreSQL 15 with the PostGIS extension, hosted locally as the project database agrivoltaic_optimizer. The database is organized into two primary schemas:</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A5F9C">
        <w:tc>
          <w:tcPr>
            <w:tcW w:w="20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vAlign w:val="center"/>
          </w:tcPr>
          <w:p w:rsidR="006A5F9C" w:rsidRDefault="00083F48">
            <w:pPr>
              <w:jc w:val="center"/>
            </w:pPr>
            <w:r>
              <w:rPr>
                <w:b/>
                <w:bCs/>
                <w:color w:val="FFFFFF"/>
                <w:sz w:val="20"/>
                <w:szCs w:val="20"/>
              </w:rPr>
              <w:t>infrastructure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20" w:type="dxa"/>
            </w:tcMar>
          </w:tcPr>
          <w:p w:rsidR="006A5F9C" w:rsidRDefault="00083F48">
            <w:r>
              <w:rPr>
                <w:color w:val="000000"/>
                <w:sz w:val="21"/>
                <w:szCs w:val="21"/>
              </w:rPr>
              <w:t>Stores static vector layers including the Jodhpur district boundary (GADM Level 2), road networks, transmission lines, and settlement boundaries extracted from OpenStreetMap.</w:t>
            </w:r>
          </w:p>
        </w:tc>
      </w:tr>
    </w:tbl>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A5F9C">
        <w:tc>
          <w:tcPr>
            <w:tcW w:w="20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vAlign w:val="center"/>
          </w:tcPr>
          <w:p w:rsidR="006A5F9C" w:rsidRDefault="00083F48">
            <w:pPr>
              <w:jc w:val="center"/>
            </w:pPr>
            <w:r>
              <w:rPr>
                <w:b/>
                <w:bCs/>
                <w:color w:val="FFFFFF"/>
                <w:sz w:val="20"/>
                <w:szCs w:val="20"/>
              </w:rPr>
              <w:t>climate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20" w:type="dxa"/>
            </w:tcMar>
          </w:tcPr>
          <w:p w:rsidR="006A5F9C" w:rsidRDefault="00083F48">
            <w:r>
              <w:rPr>
                <w:color w:val="000000"/>
                <w:sz w:val="21"/>
                <w:szCs w:val="21"/>
              </w:rPr>
              <w:t>Stores time-series climate data including daily Global Horizontal Irradiance (GHI) records retrieved from the NASA POWER API for Jodhpur coordinates (26.3°N, 73.0°E).</w:t>
            </w:r>
          </w:p>
        </w:tc>
      </w:tr>
    </w:tbl>
    <w:p w:rsidR="006A5F9C" w:rsidRDefault="006A5F9C">
      <w:pPr>
        <w:spacing w:before="30"/>
      </w:pPr>
    </w:p>
    <w:p w:rsidR="006A5F9C" w:rsidRDefault="00083F48">
      <w:pPr>
        <w:pStyle w:val="Heading2"/>
        <w:pBdr>
          <w:bottom w:val="single" w:sz="4" w:space="2" w:color="1A9850"/>
        </w:pBdr>
      </w:pPr>
      <w:r>
        <w:t>3.3 Technology Stack</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A5F9C">
        <w:tc>
          <w:tcPr>
            <w:tcW w:w="20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Category</w:t>
            </w:r>
          </w:p>
        </w:tc>
        <w:tc>
          <w:tcPr>
            <w:tcW w:w="30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Tool / Library</w:t>
            </w:r>
          </w:p>
        </w:tc>
        <w:tc>
          <w:tcPr>
            <w:tcW w:w="436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Purpose</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PostgreSQL 15 + PostGIS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Spatial vector storage and querying</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GIS Platform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QGIS 3.44.4-Solothurn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Primary spatial visualization and analysis</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Interface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PyQGIS + QDockWidget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Custom interactive dashboard panel</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Geospatial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GeoPandas + Rasterio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Vector manipulation and raster processing</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Machine Learning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scikit-learn (K-Means)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Unsupervised spatial clustering</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Numerical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NumPy</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Pixel-level array computation</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Database ORM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SQLAlchemy + psycopg2</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Python-to-PostgreSQL integration</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Visualization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HTML5 + Leaflet.js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Interactive web dashboard</w:t>
            </w:r>
          </w:p>
        </w:tc>
      </w:tr>
      <w:tr w:rsidR="006A5F9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6A5F9C" w:rsidRDefault="00083F48">
            <w:pPr>
              <w:spacing w:before="60" w:after="80"/>
            </w:pPr>
            <w:r>
              <w:rPr>
                <w:b/>
                <w:bCs/>
                <w:color w:val="000000"/>
                <w:sz w:val="20"/>
                <w:szCs w:val="20"/>
              </w:rPr>
              <w:t>Hardware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rFonts w:ascii="Courier New" w:eastAsia="Courier New" w:hAnsi="Courier New" w:cs="Courier New"/>
                <w:color w:val="145C35"/>
                <w:sz w:val="20"/>
                <w:szCs w:val="20"/>
              </w:rPr>
              <w:t>NVIDIA RTX 5060 GPU</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6A5F9C" w:rsidRDefault="00083F48">
            <w:pPr>
              <w:spacing w:before="60" w:after="80"/>
            </w:pPr>
            <w:r>
              <w:rPr>
                <w:color w:val="000000"/>
                <w:sz w:val="20"/>
                <w:szCs w:val="20"/>
              </w:rPr>
              <w:t>CUDA-accelerated raster processing</w:t>
            </w:r>
          </w:p>
        </w:tc>
      </w:tr>
    </w:tbl>
    <w:p w:rsidR="003C481A" w:rsidRDefault="003C481A">
      <w:pPr>
        <w:spacing w:before="60"/>
      </w:pPr>
    </w:p>
    <w:p w:rsidR="003C481A" w:rsidRDefault="003C481A">
      <w:pPr>
        <w:spacing w:before="60"/>
      </w:pPr>
    </w:p>
    <w:p w:rsidR="006A5F9C" w:rsidRDefault="00083F48" w:rsidP="003C481A">
      <w:pPr>
        <w:pStyle w:val="Heading1"/>
        <w:pBdr>
          <w:bottom w:val="single" w:sz="6" w:space="1" w:color="FFFFFF"/>
        </w:pBdr>
        <w:shd w:val="clear" w:color="auto" w:fill="1A9850"/>
        <w:ind w:right="200"/>
      </w:pPr>
      <w:r>
        <w:lastRenderedPageBreak/>
        <w:t>4. Data Sources &amp; Acquisition</w:t>
      </w:r>
    </w:p>
    <w:p w:rsidR="006A5F9C" w:rsidRDefault="00083F48">
      <w:pPr>
        <w:pStyle w:val="Heading2"/>
        <w:pBdr>
          <w:bottom w:val="single" w:sz="4" w:space="2" w:color="1A9850"/>
        </w:pBdr>
      </w:pPr>
      <w:r>
        <w:t>4.1 Spatial Datasets</w:t>
      </w:r>
    </w:p>
    <w:p w:rsidR="006A5F9C" w:rsidRDefault="00083F48">
      <w:pPr>
        <w:spacing w:before="60" w:after="80"/>
        <w:jc w:val="both"/>
      </w:pPr>
      <w:r>
        <w:rPr>
          <w:color w:val="000000"/>
        </w:rPr>
        <w:t>All datasets were procured from globally recognized, open-access sources and validated for geometric integrity before entry into the processing pipeline.</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6A5F9C">
        <w:tc>
          <w:tcPr>
            <w:tcW w:w="25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Dataset</w:t>
            </w:r>
          </w:p>
        </w:tc>
        <w:tc>
          <w:tcPr>
            <w:tcW w:w="25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Source</w:t>
            </w:r>
          </w:p>
        </w:tc>
        <w:tc>
          <w:tcPr>
            <w:tcW w:w="20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Resolution</w:t>
            </w:r>
          </w:p>
        </w:tc>
        <w:tc>
          <w:tcPr>
            <w:tcW w:w="236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Purpose</w:t>
            </w:r>
          </w:p>
        </w:tc>
      </w:tr>
      <w:tr w:rsidR="006A5F9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SRTM DEM</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USGS EarthExplorer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30m (7 tiles)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Slope, aspect, elevation</w:t>
            </w:r>
          </w:p>
        </w:tc>
      </w:tr>
      <w:tr w:rsidR="006A5F9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ESA WorldCover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ESA Viewer 2021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10m</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LULC classification &amp; mask</w:t>
            </w:r>
          </w:p>
        </w:tc>
      </w:tr>
      <w:tr w:rsidR="006A5F9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GHI Solar Data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NASA POWER API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Point/grid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Solar irradiance scoring</w:t>
            </w:r>
          </w:p>
        </w:tc>
      </w:tr>
      <w:tr w:rsidR="006A5F9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OSM Vectors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OpenStreetMap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Variable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Roads, transmission lines</w:t>
            </w:r>
          </w:p>
        </w:tc>
      </w:tr>
      <w:tr w:rsidR="006A5F9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District Boundary</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GADM Level 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Vector</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AOI definition (Jodhpur)</w:t>
            </w:r>
          </w:p>
        </w:tc>
      </w:tr>
    </w:tbl>
    <w:p w:rsidR="006A5F9C" w:rsidRDefault="00083F48">
      <w:pPr>
        <w:pStyle w:val="Heading2"/>
        <w:pBdr>
          <w:bottom w:val="single" w:sz="4" w:space="2" w:color="1A9850"/>
        </w:pBdr>
      </w:pPr>
      <w:r>
        <w:t>4.2 Area of Interest</w:t>
      </w:r>
    </w:p>
    <w:p w:rsidR="00796F2B" w:rsidRDefault="00083F48" w:rsidP="003C481A">
      <w:pPr>
        <w:spacing w:before="60" w:after="80"/>
        <w:jc w:val="both"/>
      </w:pPr>
      <w:r>
        <w:rPr>
          <w:color w:val="000000"/>
        </w:rPr>
        <w:t>The Jodhpur District boundary shapefile was sourced from GADM Level 2, validated in QGIS using Check Validity (GEOS method) confirming zero geometry errors, and loaded into the infrastructure schema of the PostgreSQL database via the shp2pgsql command-line tool. The validated polygon covers approximately 22,850 km² and serves as the master clipping boundary for all subsequent raster processing.</w:t>
      </w:r>
    </w:p>
    <w:p w:rsidR="003C481A" w:rsidRDefault="003C481A" w:rsidP="003C481A">
      <w:pPr>
        <w:spacing w:before="60" w:after="80"/>
        <w:jc w:val="both"/>
      </w:pPr>
    </w:p>
    <w:p w:rsidR="006A5F9C" w:rsidRDefault="00083F48" w:rsidP="003C481A">
      <w:pPr>
        <w:pStyle w:val="Heading1"/>
        <w:pBdr>
          <w:bottom w:val="single" w:sz="6" w:space="1" w:color="FFFFFF"/>
        </w:pBdr>
        <w:shd w:val="clear" w:color="auto" w:fill="1A9850"/>
        <w:ind w:right="200"/>
      </w:pPr>
      <w:r>
        <w:t>5. Methodology</w:t>
      </w:r>
    </w:p>
    <w:p w:rsidR="006A5F9C" w:rsidRDefault="00083F48">
      <w:pPr>
        <w:pStyle w:val="Heading2"/>
        <w:pBdr>
          <w:bottom w:val="single" w:sz="4" w:space="2" w:color="1A9850"/>
        </w:pBdr>
      </w:pPr>
      <w:r>
        <w:t>5.1 MCDA Framework</w:t>
      </w:r>
    </w:p>
    <w:p w:rsidR="00796F2B" w:rsidRDefault="00083F48" w:rsidP="00796F2B">
      <w:pPr>
        <w:spacing w:before="60" w:after="80"/>
        <w:jc w:val="both"/>
      </w:pPr>
      <w:r>
        <w:rPr>
          <w:color w:val="000000"/>
        </w:rPr>
        <w:t>Multi-Criteria Decision Analysis (MCDA) was selected as the core scoring framework due to the absence of labeled ground-truth agrivoltaic parcel data in the study area. The MCDA framework evaluates five spatial variables, each normalized to a 0-1 scale using min-max scaling, and combines them through a weighted linear combination to produce a composite suitability score per pixel across the 25 million-pixel raster grid.</w:t>
      </w:r>
    </w:p>
    <w:p w:rsidR="003C481A" w:rsidRDefault="003C481A">
      <w:pPr>
        <w:pStyle w:val="Heading2"/>
        <w:pBdr>
          <w:bottom w:val="single" w:sz="4" w:space="2" w:color="1A9850"/>
        </w:pBdr>
      </w:pPr>
    </w:p>
    <w:p w:rsidR="003C481A" w:rsidRDefault="003C481A">
      <w:pPr>
        <w:pStyle w:val="Heading2"/>
        <w:pBdr>
          <w:bottom w:val="single" w:sz="4" w:space="2" w:color="1A9850"/>
        </w:pBdr>
      </w:pPr>
    </w:p>
    <w:p w:rsidR="003C481A" w:rsidRDefault="003C481A">
      <w:pPr>
        <w:pStyle w:val="Heading2"/>
        <w:pBdr>
          <w:bottom w:val="single" w:sz="4" w:space="2" w:color="1A9850"/>
        </w:pBdr>
      </w:pPr>
    </w:p>
    <w:p w:rsidR="003C481A" w:rsidRDefault="003C481A">
      <w:pPr>
        <w:pStyle w:val="Heading2"/>
        <w:pBdr>
          <w:bottom w:val="single" w:sz="4" w:space="2" w:color="1A9850"/>
        </w:pBdr>
      </w:pPr>
    </w:p>
    <w:p w:rsidR="006A5F9C" w:rsidRDefault="00083F48">
      <w:pPr>
        <w:pStyle w:val="Heading2"/>
        <w:pBdr>
          <w:bottom w:val="single" w:sz="4" w:space="2" w:color="1A9850"/>
        </w:pBdr>
      </w:pPr>
      <w:r>
        <w:lastRenderedPageBreak/>
        <w:t>5.2 Variable Weight Matrix</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1500"/>
        <w:gridCol w:w="2860"/>
      </w:tblGrid>
      <w:tr w:rsidR="006A5F9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Variable</w:t>
            </w:r>
          </w:p>
        </w:tc>
        <w:tc>
          <w:tcPr>
            <w:tcW w:w="35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Weight</w:t>
            </w:r>
          </w:p>
        </w:tc>
        <w:tc>
          <w:tcPr>
            <w:tcW w:w="286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6A5F9C" w:rsidRDefault="00083F48">
            <w:pPr>
              <w:spacing w:before="60" w:after="80"/>
              <w:jc w:val="center"/>
            </w:pPr>
            <w:r>
              <w:rPr>
                <w:b/>
                <w:bCs/>
                <w:color w:val="FFFFFF"/>
                <w:sz w:val="20"/>
                <w:szCs w:val="20"/>
              </w:rPr>
              <w:t>Normalization</w:t>
            </w:r>
          </w:p>
        </w:tc>
      </w:tr>
      <w:tr w:rsidR="006A5F9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LULC Binary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Agricultural pixel classification (ESA WorldCover)</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60" w:type="dxa"/>
              <w:left w:w="120" w:type="dxa"/>
              <w:bottom w:w="60" w:type="dxa"/>
              <w:right w:w="120" w:type="dxa"/>
            </w:tcMar>
          </w:tcPr>
          <w:p w:rsidR="006A5F9C" w:rsidRDefault="00083F48">
            <w:pPr>
              <w:spacing w:before="60" w:after="80"/>
              <w:jc w:val="center"/>
            </w:pPr>
            <w:r>
              <w:rPr>
                <w:b/>
                <w:bCs/>
                <w:color w:val="FFFFFF"/>
                <w:sz w:val="20"/>
                <w:szCs w:val="20"/>
              </w:rPr>
              <w:t>38%</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Binary (0/1)</w:t>
            </w:r>
          </w:p>
        </w:tc>
      </w:tr>
      <w:tr w:rsidR="006A5F9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b/>
                <w:bCs/>
                <w:color w:val="000000"/>
                <w:sz w:val="20"/>
                <w:szCs w:val="20"/>
              </w:rPr>
              <w:t>GHI Solar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Global Horizontal Irradiance (NASA POWER)</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60" w:type="dxa"/>
              <w:left w:w="120" w:type="dxa"/>
              <w:bottom w:w="60" w:type="dxa"/>
              <w:right w:w="120" w:type="dxa"/>
            </w:tcMar>
          </w:tcPr>
          <w:p w:rsidR="006A5F9C" w:rsidRDefault="00083F48">
            <w:pPr>
              <w:spacing w:before="60" w:after="80"/>
              <w:jc w:val="center"/>
            </w:pPr>
            <w:r>
              <w:rPr>
                <w:b/>
                <w:bCs/>
                <w:color w:val="FFFFFF"/>
                <w:sz w:val="20"/>
                <w:szCs w:val="20"/>
              </w:rPr>
              <w:t>25%</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Min-Max (standard)</w:t>
            </w:r>
          </w:p>
        </w:tc>
      </w:tr>
      <w:tr w:rsidR="006A5F9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Road Proximity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Distance to road network (inverse)</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60" w:type="dxa"/>
              <w:left w:w="120" w:type="dxa"/>
              <w:bottom w:w="60" w:type="dxa"/>
              <w:right w:w="120" w:type="dxa"/>
            </w:tcMar>
          </w:tcPr>
          <w:p w:rsidR="006A5F9C" w:rsidRDefault="00083F48">
            <w:pPr>
              <w:spacing w:before="60" w:after="80"/>
              <w:jc w:val="center"/>
            </w:pPr>
            <w:r>
              <w:rPr>
                <w:b/>
                <w:bCs/>
                <w:color w:val="FFFFFF"/>
                <w:sz w:val="20"/>
                <w:szCs w:val="20"/>
              </w:rPr>
              <w:t>17%</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Min-Max (inverse)</w:t>
            </w:r>
          </w:p>
        </w:tc>
      </w:tr>
      <w:tr w:rsidR="006A5F9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b/>
                <w:bCs/>
                <w:color w:val="000000"/>
                <w:sz w:val="20"/>
                <w:szCs w:val="20"/>
              </w:rPr>
              <w:t>Terrain Slope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Slope derived from SRTM DEM (inverse)</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60" w:type="dxa"/>
              <w:left w:w="120" w:type="dxa"/>
              <w:bottom w:w="60" w:type="dxa"/>
              <w:right w:w="120" w:type="dxa"/>
            </w:tcMar>
          </w:tcPr>
          <w:p w:rsidR="006A5F9C" w:rsidRDefault="00083F48">
            <w:pPr>
              <w:spacing w:before="60" w:after="80"/>
              <w:jc w:val="center"/>
            </w:pPr>
            <w:r>
              <w:rPr>
                <w:b/>
                <w:bCs/>
                <w:color w:val="FFFFFF"/>
                <w:sz w:val="20"/>
                <w:szCs w:val="20"/>
              </w:rPr>
              <w:t>13%</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6A5F9C" w:rsidRDefault="00083F48">
            <w:pPr>
              <w:spacing w:before="60" w:after="80"/>
            </w:pPr>
            <w:r>
              <w:rPr>
                <w:color w:val="000000"/>
                <w:sz w:val="20"/>
                <w:szCs w:val="20"/>
              </w:rPr>
              <w:t>Min-Max (inverse)</w:t>
            </w:r>
          </w:p>
        </w:tc>
      </w:tr>
      <w:tr w:rsidR="006A5F9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b/>
                <w:bCs/>
                <w:color w:val="000000"/>
                <w:sz w:val="20"/>
                <w:szCs w:val="20"/>
              </w:rPr>
              <w:t>Terrain Aspect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South-facing directional score</w:t>
            </w:r>
          </w:p>
        </w:tc>
        <w:tc>
          <w:tcPr>
            <w:tcW w:w="1500" w:type="dxa"/>
            <w:tcBorders>
              <w:top w:val="single" w:sz="4" w:space="0" w:color="CCCCCC"/>
              <w:left w:val="single" w:sz="4" w:space="0" w:color="CCCCCC"/>
              <w:bottom w:val="single" w:sz="4" w:space="0" w:color="CCCCCC"/>
              <w:right w:val="single" w:sz="4" w:space="0" w:color="CCCCCC"/>
            </w:tcBorders>
            <w:shd w:val="clear" w:color="auto" w:fill="145C35"/>
            <w:tcMar>
              <w:top w:w="60" w:type="dxa"/>
              <w:left w:w="120" w:type="dxa"/>
              <w:bottom w:w="60" w:type="dxa"/>
              <w:right w:w="120" w:type="dxa"/>
            </w:tcMar>
          </w:tcPr>
          <w:p w:rsidR="006A5F9C" w:rsidRDefault="00083F48">
            <w:pPr>
              <w:spacing w:before="60" w:after="80"/>
              <w:jc w:val="center"/>
            </w:pPr>
            <w:r>
              <w:rPr>
                <w:b/>
                <w:bCs/>
                <w:color w:val="FFFFFF"/>
                <w:sz w:val="20"/>
                <w:szCs w:val="20"/>
              </w:rPr>
              <w:t>7%</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6A5F9C" w:rsidRDefault="00083F48">
            <w:pPr>
              <w:spacing w:before="60" w:after="80"/>
            </w:pPr>
            <w:r>
              <w:rPr>
                <w:color w:val="000000"/>
                <w:sz w:val="20"/>
                <w:szCs w:val="20"/>
              </w:rPr>
              <w:t>Min-Max (standard)</w:t>
            </w:r>
          </w:p>
        </w:tc>
      </w:tr>
    </w:tbl>
    <w:p w:rsidR="006A5F9C" w:rsidRDefault="006A5F9C">
      <w:pPr>
        <w:spacing w:before="18"/>
      </w:pPr>
    </w:p>
    <w:p w:rsidR="006A5F9C" w:rsidRDefault="00083F48">
      <w:pPr>
        <w:spacing w:before="60" w:after="80"/>
      </w:pPr>
      <w:r>
        <w:rPr>
          <w:color w:val="404040"/>
          <w:sz w:val="19"/>
          <w:szCs w:val="19"/>
        </w:rPr>
        <w:t>Note: Grid Distance was excluded from the final model due to zero spatial variance in the delivered raster. Its original 20% weight was redistributed proportionally across the remaining five variables.</w:t>
      </w:r>
    </w:p>
    <w:p w:rsidR="006A5F9C" w:rsidRDefault="00083F48">
      <w:pPr>
        <w:pStyle w:val="Heading2"/>
        <w:pBdr>
          <w:bottom w:val="single" w:sz="4" w:space="2" w:color="1A9850"/>
        </w:pBdr>
      </w:pPr>
      <w:r>
        <w:t>5.3 K-Means Clustering Validation</w:t>
      </w:r>
    </w:p>
    <w:p w:rsidR="00796F2B" w:rsidRDefault="00083F48" w:rsidP="003C481A">
      <w:pPr>
        <w:spacing w:before="60" w:after="80"/>
        <w:jc w:val="both"/>
      </w:pPr>
      <w:r>
        <w:rPr>
          <w:color w:val="000000"/>
        </w:rPr>
        <w:t>K-Means clustering was applied to validate the spatial coherence of the MCDA output. The optimal number of clusters was determined using the Elbow Method, testing K values from 2 to 7 by plotting Within-Cluster Sum of Squares (WCSS) against K. The elbow point was identified at K=5, aligning with the five intended suitability tiers and confirming that the MCDA composite scores exhibit genuine spatial segmentation rather than random distribution.</w:t>
      </w:r>
    </w:p>
    <w:p w:rsidR="006A5F9C" w:rsidRDefault="00083F48">
      <w:pPr>
        <w:pStyle w:val="Heading2"/>
        <w:pBdr>
          <w:bottom w:val="single" w:sz="4" w:space="2" w:color="1A9850"/>
        </w:pBdr>
      </w:pPr>
      <w:r>
        <w:t>5.4 Suitability Classification</w:t>
      </w:r>
    </w:p>
    <w:p w:rsidR="006A5F9C" w:rsidRDefault="00083F48">
      <w:pPr>
        <w:spacing w:before="60" w:after="80"/>
        <w:jc w:val="both"/>
      </w:pPr>
      <w:r>
        <w:rPr>
          <w:color w:val="000000"/>
        </w:rPr>
        <w:t>The continuous MCDA composite score (range: 0.000 to 0.760) was reclassified into discrete suitability tiers based on score thresholds:</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2000"/>
        <w:gridCol w:w="3660"/>
      </w:tblGrid>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796F2B" w:rsidRDefault="00796F2B" w:rsidP="005639E9">
            <w:pPr>
              <w:spacing w:before="60" w:after="80"/>
              <w:jc w:val="center"/>
            </w:pPr>
            <w:r>
              <w:rPr>
                <w:b/>
                <w:bCs/>
                <w:color w:val="FFFFFF"/>
                <w:sz w:val="20"/>
                <w:szCs w:val="20"/>
              </w:rPr>
              <w:t>Class</w:t>
            </w:r>
          </w:p>
        </w:tc>
        <w:tc>
          <w:tcPr>
            <w:tcW w:w="25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796F2B" w:rsidRDefault="00796F2B" w:rsidP="005639E9">
            <w:pPr>
              <w:spacing w:before="60" w:after="80"/>
              <w:jc w:val="center"/>
            </w:pPr>
            <w:r>
              <w:rPr>
                <w:b/>
                <w:bCs/>
                <w:color w:val="FFFFFF"/>
                <w:sz w:val="20"/>
                <w:szCs w:val="20"/>
              </w:rPr>
              <w:t>Label</w:t>
            </w:r>
          </w:p>
        </w:tc>
        <w:tc>
          <w:tcPr>
            <w:tcW w:w="200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796F2B" w:rsidRDefault="00796F2B" w:rsidP="005639E9">
            <w:pPr>
              <w:spacing w:before="60" w:after="80"/>
              <w:jc w:val="center"/>
            </w:pPr>
            <w:r>
              <w:rPr>
                <w:b/>
                <w:bCs/>
                <w:color w:val="FFFFFF"/>
                <w:sz w:val="20"/>
                <w:szCs w:val="20"/>
              </w:rPr>
              <w:t>Score Range</w:t>
            </w:r>
          </w:p>
        </w:tc>
        <w:tc>
          <w:tcPr>
            <w:tcW w:w="3660" w:type="dxa"/>
            <w:tcBorders>
              <w:top w:val="single" w:sz="4" w:space="0" w:color="CCCCCC"/>
              <w:left w:val="single" w:sz="4" w:space="0" w:color="CCCCCC"/>
              <w:bottom w:val="single" w:sz="4" w:space="0" w:color="CCCCCC"/>
              <w:right w:val="single" w:sz="4" w:space="0" w:color="CCCCCC"/>
            </w:tcBorders>
            <w:shd w:val="clear" w:color="auto" w:fill="145C35"/>
            <w:tcMar>
              <w:top w:w="80" w:type="dxa"/>
              <w:left w:w="120" w:type="dxa"/>
              <w:bottom w:w="80" w:type="dxa"/>
              <w:right w:w="120" w:type="dxa"/>
            </w:tcMar>
          </w:tcPr>
          <w:p w:rsidR="00796F2B" w:rsidRDefault="00796F2B" w:rsidP="005639E9">
            <w:pPr>
              <w:spacing w:before="60" w:after="80"/>
              <w:jc w:val="center"/>
            </w:pPr>
            <w:r>
              <w:rPr>
                <w:b/>
                <w:bCs/>
                <w:color w:val="FFFFFF"/>
                <w:sz w:val="20"/>
                <w:szCs w:val="20"/>
              </w:rPr>
              <w:t>Description</w:t>
            </w:r>
          </w:p>
        </w:tc>
      </w:tr>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20" w:type="dxa"/>
              <w:bottom w:w="60" w:type="dxa"/>
              <w:right w:w="120" w:type="dxa"/>
            </w:tcMar>
          </w:tcPr>
          <w:p w:rsidR="00796F2B" w:rsidRDefault="00796F2B" w:rsidP="005639E9">
            <w:pPr>
              <w:spacing w:before="60" w:after="80"/>
              <w:jc w:val="center"/>
            </w:pPr>
            <w:r>
              <w:rPr>
                <w:b/>
                <w:bCs/>
                <w:color w:val="000000"/>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b/>
                <w:bCs/>
                <w:color w:val="000000"/>
                <w:sz w:val="20"/>
                <w:szCs w:val="20"/>
              </w:rPr>
              <w:t>Unsuitable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796F2B" w:rsidRDefault="00796F2B" w:rsidP="005639E9">
            <w:pPr>
              <w:spacing w:before="60" w:after="80"/>
              <w:jc w:val="center"/>
            </w:pPr>
            <w:r>
              <w:rPr>
                <w:rFonts w:ascii="Courier New" w:eastAsia="Courier New" w:hAnsi="Courier New" w:cs="Courier New"/>
                <w:color w:val="145C35"/>
                <w:sz w:val="20"/>
                <w:szCs w:val="20"/>
              </w:rPr>
              <w:t>0.00 – 0.20</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color w:val="000000"/>
                <w:sz w:val="20"/>
                <w:szCs w:val="20"/>
              </w:rPr>
              <w:t>Physically or legally ineligible for agrivoltaics</w:t>
            </w:r>
          </w:p>
        </w:tc>
      </w:tr>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FEF9E7"/>
            <w:tcMar>
              <w:top w:w="60" w:type="dxa"/>
              <w:left w:w="120" w:type="dxa"/>
              <w:bottom w:w="60" w:type="dxa"/>
              <w:right w:w="120" w:type="dxa"/>
            </w:tcMar>
          </w:tcPr>
          <w:p w:rsidR="00796F2B" w:rsidRDefault="00796F2B" w:rsidP="005639E9">
            <w:pPr>
              <w:spacing w:before="60" w:after="80"/>
              <w:jc w:val="center"/>
            </w:pPr>
            <w:r>
              <w:rPr>
                <w:b/>
                <w:bCs/>
                <w:color w:val="000000"/>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b/>
                <w:bCs/>
                <w:color w:val="000000"/>
                <w:sz w:val="20"/>
                <w:szCs w:val="20"/>
              </w:rPr>
              <w:t>Low Suitability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796F2B" w:rsidRDefault="00796F2B" w:rsidP="005639E9">
            <w:pPr>
              <w:spacing w:before="60" w:after="80"/>
              <w:jc w:val="center"/>
            </w:pPr>
            <w:r>
              <w:rPr>
                <w:rFonts w:ascii="Courier New" w:eastAsia="Courier New" w:hAnsi="Courier New" w:cs="Courier New"/>
                <w:color w:val="145C35"/>
                <w:sz w:val="20"/>
                <w:szCs w:val="20"/>
              </w:rPr>
              <w:t>0.20 – 0.40</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color w:val="000000"/>
                <w:sz w:val="20"/>
                <w:szCs w:val="20"/>
              </w:rPr>
              <w:t>Marginal zones requiring significant investment</w:t>
            </w:r>
          </w:p>
        </w:tc>
      </w:tr>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60" w:type="dxa"/>
              <w:left w:w="120" w:type="dxa"/>
              <w:bottom w:w="60" w:type="dxa"/>
              <w:right w:w="120" w:type="dxa"/>
            </w:tcMar>
          </w:tcPr>
          <w:p w:rsidR="00796F2B" w:rsidRDefault="00796F2B" w:rsidP="005639E9">
            <w:pPr>
              <w:spacing w:before="60" w:after="80"/>
              <w:jc w:val="center"/>
            </w:pPr>
            <w:r>
              <w:rPr>
                <w:b/>
                <w:bCs/>
                <w:color w:val="000000"/>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b/>
                <w:bCs/>
                <w:color w:val="000000"/>
                <w:sz w:val="20"/>
                <w:szCs w:val="20"/>
              </w:rPr>
              <w:t>Moderate Suitability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796F2B" w:rsidRDefault="00796F2B" w:rsidP="005639E9">
            <w:pPr>
              <w:spacing w:before="60" w:after="80"/>
              <w:jc w:val="center"/>
            </w:pPr>
            <w:r>
              <w:rPr>
                <w:rFonts w:ascii="Courier New" w:eastAsia="Courier New" w:hAnsi="Courier New" w:cs="Courier New"/>
                <w:color w:val="145C35"/>
                <w:sz w:val="20"/>
                <w:szCs w:val="20"/>
              </w:rPr>
              <w:t>0.40 – 0.60</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color w:val="000000"/>
                <w:sz w:val="20"/>
                <w:szCs w:val="20"/>
              </w:rPr>
              <w:t>Viable zones with standard infrastructure requirements</w:t>
            </w:r>
          </w:p>
        </w:tc>
      </w:tr>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EAFAF1"/>
            <w:tcMar>
              <w:top w:w="60" w:type="dxa"/>
              <w:left w:w="120" w:type="dxa"/>
              <w:bottom w:w="60" w:type="dxa"/>
              <w:right w:w="120" w:type="dxa"/>
            </w:tcMar>
          </w:tcPr>
          <w:p w:rsidR="00796F2B" w:rsidRDefault="00796F2B" w:rsidP="005639E9">
            <w:pPr>
              <w:spacing w:before="60" w:after="80"/>
              <w:jc w:val="center"/>
            </w:pPr>
            <w:r>
              <w:rPr>
                <w:b/>
                <w:bCs/>
                <w:color w:val="000000"/>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b/>
                <w:bCs/>
                <w:color w:val="000000"/>
                <w:sz w:val="20"/>
                <w:szCs w:val="20"/>
              </w:rPr>
              <w:t>High Suitability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796F2B" w:rsidRDefault="00796F2B" w:rsidP="005639E9">
            <w:pPr>
              <w:spacing w:before="60" w:after="80"/>
              <w:jc w:val="center"/>
            </w:pPr>
            <w:r>
              <w:rPr>
                <w:rFonts w:ascii="Courier New" w:eastAsia="Courier New" w:hAnsi="Courier New" w:cs="Courier New"/>
                <w:color w:val="145C35"/>
                <w:sz w:val="20"/>
                <w:szCs w:val="20"/>
              </w:rPr>
              <w:t>0.60 – 0.80</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color w:val="000000"/>
                <w:sz w:val="20"/>
                <w:szCs w:val="20"/>
              </w:rPr>
              <w:t>Prime development zones with high ROI potential</w:t>
            </w:r>
          </w:p>
        </w:tc>
      </w:tr>
      <w:tr w:rsidR="00796F2B" w:rsidTr="005639E9">
        <w:tc>
          <w:tcPr>
            <w:tcW w:w="12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20" w:type="dxa"/>
              <w:bottom w:w="60" w:type="dxa"/>
              <w:right w:w="120" w:type="dxa"/>
            </w:tcMar>
          </w:tcPr>
          <w:p w:rsidR="00796F2B" w:rsidRDefault="00796F2B" w:rsidP="005639E9">
            <w:pPr>
              <w:spacing w:before="60" w:after="80"/>
              <w:jc w:val="center"/>
            </w:pPr>
            <w:r>
              <w:rPr>
                <w:b/>
                <w:bCs/>
                <w:color w:val="000000"/>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b/>
                <w:bCs/>
                <w:color w:val="000000"/>
                <w:sz w:val="20"/>
                <w:szCs w:val="20"/>
              </w:rPr>
              <w:t>Prime Agrivoltaic Zone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796F2B" w:rsidRDefault="00796F2B" w:rsidP="005639E9">
            <w:pPr>
              <w:spacing w:before="60" w:after="80"/>
              <w:jc w:val="center"/>
            </w:pPr>
            <w:r>
              <w:rPr>
                <w:rFonts w:ascii="Courier New" w:eastAsia="Courier New" w:hAnsi="Courier New" w:cs="Courier New"/>
                <w:color w:val="145C35"/>
                <w:sz w:val="20"/>
                <w:szCs w:val="20"/>
              </w:rPr>
              <w:t>0.80 – 1.00</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796F2B" w:rsidRDefault="00796F2B" w:rsidP="005639E9">
            <w:pPr>
              <w:spacing w:before="60" w:after="80"/>
            </w:pPr>
            <w:r>
              <w:rPr>
                <w:color w:val="000000"/>
                <w:sz w:val="20"/>
                <w:szCs w:val="20"/>
              </w:rPr>
              <w:t>Optimal dual-use locations for immediate development</w:t>
            </w:r>
          </w:p>
        </w:tc>
      </w:tr>
    </w:tbl>
    <w:p w:rsidR="006A5F9C" w:rsidRDefault="00083F48" w:rsidP="003C481A">
      <w:pPr>
        <w:pStyle w:val="Heading1"/>
        <w:pBdr>
          <w:bottom w:val="single" w:sz="6" w:space="1" w:color="FFFFFF"/>
        </w:pBdr>
        <w:shd w:val="clear" w:color="auto" w:fill="1A9850"/>
        <w:ind w:right="200"/>
      </w:pPr>
      <w:r>
        <w:lastRenderedPageBreak/>
        <w:t>6. Results &amp; Findings</w:t>
      </w:r>
    </w:p>
    <w:p w:rsidR="006A5F9C" w:rsidRDefault="00083F48">
      <w:pPr>
        <w:pStyle w:val="Heading2"/>
        <w:pBdr>
          <w:bottom w:val="single" w:sz="4" w:space="2" w:color="1A9850"/>
        </w:pBdr>
      </w:pPr>
      <w:r>
        <w:t>6.1 Suitability Distribution</w:t>
      </w:r>
    </w:p>
    <w:p w:rsidR="006A5F9C" w:rsidRDefault="00083F48">
      <w:pPr>
        <w:spacing w:before="60" w:after="80"/>
        <w:jc w:val="both"/>
      </w:pPr>
      <w:r>
        <w:rPr>
          <w:color w:val="000000"/>
        </w:rPr>
        <w:t>The MCDA model classified the entire 22,850 km² Jodhpur District into suitability tiers. After clipping to the agricultural mask and applying all exclusion criteria, the district-level results are as follows:</w:t>
      </w:r>
    </w:p>
    <w:p w:rsidR="006A5F9C" w:rsidRDefault="006A5F9C">
      <w:pPr>
        <w:spacing w:before="18"/>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6A5F9C">
        <w:tc>
          <w:tcPr>
            <w:tcW w:w="30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Suitability Class</w:t>
            </w:r>
          </w:p>
        </w:tc>
        <w:tc>
          <w:tcPr>
            <w:tcW w:w="300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Coverage</w:t>
            </w:r>
          </w:p>
        </w:tc>
        <w:tc>
          <w:tcPr>
            <w:tcW w:w="3360" w:type="dxa"/>
            <w:tcBorders>
              <w:top w:val="single" w:sz="4" w:space="0" w:color="CCCCCC"/>
              <w:left w:val="single" w:sz="4" w:space="0" w:color="CCCCCC"/>
              <w:bottom w:val="single" w:sz="4" w:space="0" w:color="CCCCCC"/>
              <w:right w:val="single" w:sz="4" w:space="0" w:color="CCCCCC"/>
            </w:tcBorders>
            <w:shd w:val="clear" w:color="auto" w:fill="1A9850"/>
            <w:tcMar>
              <w:top w:w="80" w:type="dxa"/>
              <w:left w:w="120" w:type="dxa"/>
              <w:bottom w:w="80" w:type="dxa"/>
              <w:right w:w="120" w:type="dxa"/>
            </w:tcMar>
          </w:tcPr>
          <w:p w:rsidR="006A5F9C" w:rsidRDefault="00083F48">
            <w:pPr>
              <w:spacing w:before="60" w:after="80"/>
              <w:jc w:val="center"/>
            </w:pPr>
            <w:r>
              <w:rPr>
                <w:b/>
                <w:bCs/>
                <w:color w:val="FFFFFF"/>
                <w:sz w:val="20"/>
                <w:szCs w:val="20"/>
              </w:rPr>
              <w:t>Estimated Area</w:t>
            </w:r>
          </w:p>
        </w:tc>
      </w:tr>
      <w:tr w:rsidR="006A5F9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6A5F9C" w:rsidRDefault="00083F48">
            <w:pPr>
              <w:spacing w:before="60" w:after="80"/>
            </w:pPr>
            <w:r>
              <w:rPr>
                <w:b/>
                <w:bCs/>
                <w:color w:val="000000"/>
                <w:sz w:val="21"/>
                <w:szCs w:val="21"/>
              </w:rPr>
              <w:t>Low Suitability (Class 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6A5F9C" w:rsidRDefault="00083F48">
            <w:pPr>
              <w:spacing w:before="60" w:after="80"/>
              <w:jc w:val="center"/>
            </w:pPr>
            <w:r>
              <w:rPr>
                <w:b/>
                <w:bCs/>
                <w:color w:val="1A9850"/>
                <w:sz w:val="21"/>
                <w:szCs w:val="21"/>
              </w:rPr>
              <w:t>59.7%</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6A5F9C" w:rsidRDefault="00083F48">
            <w:pPr>
              <w:spacing w:before="60" w:after="80"/>
              <w:jc w:val="center"/>
            </w:pPr>
            <w:r>
              <w:rPr>
                <w:color w:val="000000"/>
                <w:sz w:val="21"/>
                <w:szCs w:val="21"/>
              </w:rPr>
              <w:t>~13,637 km²</w:t>
            </w:r>
          </w:p>
        </w:tc>
      </w:tr>
      <w:tr w:rsidR="006A5F9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6A5F9C" w:rsidRDefault="00083F48">
            <w:pPr>
              <w:spacing w:before="60" w:after="80"/>
            </w:pPr>
            <w:r>
              <w:rPr>
                <w:b/>
                <w:bCs/>
                <w:color w:val="000000"/>
                <w:sz w:val="21"/>
                <w:szCs w:val="21"/>
              </w:rPr>
              <w:t>High Suitability (Class 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6A5F9C" w:rsidRDefault="00083F48">
            <w:pPr>
              <w:spacing w:before="60" w:after="80"/>
              <w:jc w:val="center"/>
            </w:pPr>
            <w:r>
              <w:rPr>
                <w:b/>
                <w:bCs/>
                <w:color w:val="1A9850"/>
                <w:sz w:val="21"/>
                <w:szCs w:val="21"/>
              </w:rPr>
              <w:t>40.3%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6A5F9C" w:rsidRDefault="00083F48">
            <w:pPr>
              <w:spacing w:before="60" w:after="80"/>
              <w:jc w:val="center"/>
            </w:pPr>
            <w:r>
              <w:rPr>
                <w:color w:val="000000"/>
                <w:sz w:val="21"/>
                <w:szCs w:val="21"/>
              </w:rPr>
              <w:t>~9,213 km²</w:t>
            </w:r>
          </w:p>
        </w:tc>
      </w:tr>
    </w:tbl>
    <w:p w:rsidR="006A5F9C" w:rsidRDefault="006A5F9C">
      <w:pPr>
        <w:spacing w:before="30"/>
      </w:pPr>
    </w:p>
    <w:p w:rsidR="006A5F9C" w:rsidRDefault="00083F48">
      <w:pPr>
        <w:spacing w:before="60" w:after="80"/>
        <w:jc w:val="both"/>
      </w:pPr>
      <w:r>
        <w:rPr>
          <w:color w:val="000000"/>
        </w:rPr>
        <w:t>High suitability zones (Class 4) are spatially concentrated in the eastern sub-districts of Jodhpur, where the combination of flat terrain, minimal road infrastructure conflict, and high solar irradiance produces the strongest composite scores. Low suitability zones (Class 2) predominate across the central and western portions of the district where either steeper terrain, urban expansion, or lower agricultural pixel density reduces the weighted score below the 0.60 threshold.</w:t>
      </w:r>
    </w:p>
    <w:p w:rsidR="006A5F9C" w:rsidRDefault="00083F48">
      <w:pPr>
        <w:pStyle w:val="Heading2"/>
        <w:pBdr>
          <w:bottom w:val="single" w:sz="4" w:space="2" w:color="1A9850"/>
        </w:pBdr>
      </w:pPr>
      <w:r>
        <w:t>6.2 Key Model Observations</w:t>
      </w:r>
    </w:p>
    <w:p w:rsidR="006A5F9C" w:rsidRDefault="00083F48">
      <w:pPr>
        <w:pStyle w:val="ListParagraph"/>
        <w:numPr>
          <w:ilvl w:val="0"/>
          <w:numId w:val="2"/>
        </w:numPr>
        <w:spacing w:before="40" w:after="40"/>
      </w:pPr>
      <w:r>
        <w:rPr>
          <w:color w:val="000000"/>
          <w:sz w:val="21"/>
          <w:szCs w:val="21"/>
        </w:rPr>
        <w:t>LULC binary classification (38% weight) is the dominant discriminating variable, confirming that agricultural land eligibility is the primary gateway criterion for agrivoltaic viability.</w:t>
      </w:r>
    </w:p>
    <w:p w:rsidR="006A5F9C" w:rsidRDefault="00083F48">
      <w:pPr>
        <w:pStyle w:val="ListParagraph"/>
        <w:numPr>
          <w:ilvl w:val="0"/>
          <w:numId w:val="2"/>
        </w:numPr>
        <w:spacing w:before="40" w:after="40"/>
      </w:pPr>
      <w:r>
        <w:rPr>
          <w:color w:val="000000"/>
          <w:sz w:val="21"/>
          <w:szCs w:val="21"/>
        </w:rPr>
        <w:t>GHI solar irradiance (25% weight) shows strong spatial uniformity across Jodhpur, reflecting the district's position within a consistently high-irradiance zone. This reduces GHI's discriminating power relative to terrain and land use variables.</w:t>
      </w:r>
    </w:p>
    <w:p w:rsidR="006A5F9C" w:rsidRDefault="00083F48">
      <w:pPr>
        <w:pStyle w:val="ListParagraph"/>
        <w:numPr>
          <w:ilvl w:val="0"/>
          <w:numId w:val="2"/>
        </w:numPr>
        <w:spacing w:before="40" w:after="40"/>
      </w:pPr>
      <w:r>
        <w:rPr>
          <w:color w:val="000000"/>
          <w:sz w:val="21"/>
          <w:szCs w:val="21"/>
        </w:rPr>
        <w:t>Road proximity (17% weight) emerges as the second most spatially variable factor, with zones within 10km of NH-62 and state highways scoring significantly higher.</w:t>
      </w:r>
    </w:p>
    <w:p w:rsidR="006A5F9C" w:rsidRDefault="00083F48">
      <w:pPr>
        <w:pStyle w:val="ListParagraph"/>
        <w:numPr>
          <w:ilvl w:val="0"/>
          <w:numId w:val="2"/>
        </w:numPr>
        <w:spacing w:before="40" w:after="40"/>
      </w:pPr>
      <w:r>
        <w:rPr>
          <w:color w:val="000000"/>
          <w:sz w:val="21"/>
          <w:szCs w:val="21"/>
        </w:rPr>
        <w:t>Grid distance was excluded after the delivered raster showed zero spatial variance, a pipeline integrity decision that preserved model accuracy at the cost of one input variable.</w:t>
      </w:r>
    </w:p>
    <w:p w:rsidR="006A5F9C" w:rsidRPr="00796F2B" w:rsidRDefault="00083F48">
      <w:pPr>
        <w:pStyle w:val="ListParagraph"/>
        <w:numPr>
          <w:ilvl w:val="0"/>
          <w:numId w:val="2"/>
        </w:numPr>
        <w:spacing w:before="40" w:after="40"/>
      </w:pPr>
      <w:r>
        <w:rPr>
          <w:color w:val="000000"/>
          <w:sz w:val="21"/>
          <w:szCs w:val="21"/>
        </w:rPr>
        <w:t>K=5 was confirmed as the optimal cluster count via the Elbow Method, with WCSS declining from 41,000 at K=2 to 5,800 at K=7, showing a clear inflection point at K=5.</w:t>
      </w:r>
    </w:p>
    <w:p w:rsidR="00796F2B" w:rsidRDefault="00796F2B" w:rsidP="00796F2B">
      <w:pPr>
        <w:pStyle w:val="ListParagraph"/>
        <w:spacing w:before="40" w:after="40"/>
        <w:ind w:left="720"/>
        <w:rPr>
          <w:color w:val="000000"/>
          <w:sz w:val="21"/>
          <w:szCs w:val="21"/>
        </w:rPr>
      </w:pPr>
    </w:p>
    <w:p w:rsidR="00796F2B" w:rsidRDefault="00796F2B" w:rsidP="00796F2B">
      <w:pPr>
        <w:pStyle w:val="ListParagraph"/>
        <w:spacing w:before="40" w:after="40"/>
        <w:ind w:left="720"/>
        <w:rPr>
          <w:color w:val="000000"/>
          <w:sz w:val="21"/>
          <w:szCs w:val="21"/>
        </w:rPr>
      </w:pPr>
    </w:p>
    <w:p w:rsidR="00796F2B" w:rsidRDefault="00796F2B" w:rsidP="00796F2B">
      <w:pPr>
        <w:pStyle w:val="ListParagraph"/>
        <w:spacing w:before="40" w:after="40"/>
        <w:ind w:left="720"/>
        <w:rPr>
          <w:color w:val="000000"/>
          <w:sz w:val="21"/>
          <w:szCs w:val="21"/>
        </w:rPr>
      </w:pPr>
    </w:p>
    <w:p w:rsidR="00796F2B" w:rsidRDefault="00796F2B"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3C481A" w:rsidRDefault="003C481A" w:rsidP="00796F2B">
      <w:pPr>
        <w:pStyle w:val="ListParagraph"/>
        <w:spacing w:before="40" w:after="40"/>
        <w:ind w:left="720"/>
        <w:rPr>
          <w:color w:val="000000"/>
          <w:sz w:val="21"/>
          <w:szCs w:val="21"/>
        </w:rPr>
      </w:pPr>
    </w:p>
    <w:p w:rsidR="006A5F9C" w:rsidRDefault="003C481A" w:rsidP="003C481A">
      <w:pPr>
        <w:pStyle w:val="Heading1"/>
        <w:pBdr>
          <w:bottom w:val="single" w:sz="6" w:space="1" w:color="FFFFFF"/>
        </w:pBdr>
        <w:shd w:val="clear" w:color="auto" w:fill="1A9850"/>
        <w:ind w:right="200"/>
      </w:pPr>
      <w:r>
        <w:lastRenderedPageBreak/>
        <w:t>7</w:t>
      </w:r>
      <w:r w:rsidR="00083F48">
        <w:t>. Real-World Impact &amp; Market Value</w:t>
      </w:r>
    </w:p>
    <w:p w:rsidR="006A5F9C" w:rsidRDefault="003C481A">
      <w:pPr>
        <w:pStyle w:val="Heading2"/>
        <w:pBdr>
          <w:bottom w:val="single" w:sz="4" w:space="2" w:color="1A9850"/>
        </w:pBdr>
      </w:pPr>
      <w:r>
        <w:t>7</w:t>
      </w:r>
      <w:r w:rsidR="00083F48">
        <w:t>.1 Indian Market</w:t>
      </w:r>
    </w:p>
    <w:p w:rsidR="006A5F9C" w:rsidRDefault="00083F48">
      <w:pPr>
        <w:spacing w:before="60" w:after="80"/>
        <w:jc w:val="both"/>
      </w:pPr>
      <w:r>
        <w:rPr>
          <w:color w:val="000000"/>
        </w:rPr>
        <w:t>The Agrivoltaic Optimizer directly supports India's PM-KUSUM agrivoltaic scheme by providing the spatial justification required to direct solar infrastructure investment to zones where elevated panels reduce soil evaporation, maintaining crop yield under extreme heat. In Jodhpur specifically, crops such as cumin, moth bean, and cluster bean have documented shade tolerance, making the high suitability zones identified by this model immediately actionable for field-level deployment.</w:t>
      </w:r>
    </w:p>
    <w:p w:rsidR="006A5F9C" w:rsidRDefault="003C481A">
      <w:pPr>
        <w:pStyle w:val="Heading2"/>
        <w:pBdr>
          <w:bottom w:val="single" w:sz="4" w:space="2" w:color="1A9850"/>
        </w:pBdr>
      </w:pPr>
      <w:r>
        <w:t>7</w:t>
      </w:r>
      <w:r w:rsidR="00083F48">
        <w:t>.2 European Market</w:t>
      </w:r>
    </w:p>
    <w:p w:rsidR="006A5F9C" w:rsidRDefault="00083F48">
      <w:pPr>
        <w:spacing w:before="60" w:after="80"/>
        <w:jc w:val="both"/>
      </w:pPr>
      <w:r>
        <w:rPr>
          <w:color w:val="000000"/>
        </w:rPr>
        <w:t>Nations implementing the European Green Deal require aggressive solar expansion while operating under strict agricultural land-use protections. The Agrivoltaic Optimizer provides the exact spatial audit trail and scoring methodology required by European energy developers and Agri-FinTech firms to secure compliant land leases and EU taxonomy-aligned financing.</w:t>
      </w:r>
    </w:p>
    <w:p w:rsidR="006A5F9C" w:rsidRDefault="003C481A">
      <w:pPr>
        <w:pStyle w:val="Heading2"/>
        <w:pBdr>
          <w:bottom w:val="single" w:sz="4" w:space="2" w:color="1A9850"/>
        </w:pBdr>
      </w:pPr>
      <w:r>
        <w:t>7</w:t>
      </w:r>
      <w:r w:rsidR="00083F48">
        <w:t>.3 ESG &amp; Institutional Investment</w:t>
      </w:r>
    </w:p>
    <w:p w:rsidR="006A5F9C" w:rsidRDefault="00083F48">
      <w:pPr>
        <w:spacing w:before="60" w:after="80"/>
        <w:jc w:val="both"/>
      </w:pPr>
      <w:r>
        <w:rPr>
          <w:color w:val="000000"/>
        </w:rPr>
        <w:t>Institutional investors face mounting pressure to demonstrate that renewable energy portfolio expansion is food-system neutral. The suitability map output of this project constitutes a transparent, reproducible, spatially explicit proof that green energy investments are co-located with agricultural benefit zones rather than in competition with them.</w:t>
      </w:r>
    </w:p>
    <w:p w:rsidR="006A5F9C" w:rsidRDefault="003C481A">
      <w:pPr>
        <w:pStyle w:val="Heading2"/>
        <w:pBdr>
          <w:bottom w:val="single" w:sz="4" w:space="2" w:color="1A9850"/>
        </w:pBdr>
      </w:pPr>
      <w:r>
        <w:t>7</w:t>
      </w:r>
      <w:r w:rsidR="00083F48">
        <w:t>.4 Scalability</w:t>
      </w:r>
    </w:p>
    <w:p w:rsidR="006A5F9C" w:rsidRDefault="00083F48">
      <w:pPr>
        <w:spacing w:before="60" w:after="80"/>
        <w:jc w:val="both"/>
      </w:pPr>
      <w:r>
        <w:rPr>
          <w:color w:val="000000"/>
        </w:rPr>
        <w:t>The entire pipeline is district-agnostic. Replacing the Area of Interest shapefile with any other district boundary triggers complete reprocessing for that geography without modifying a single line of model code. This makes the system immediately deployable across all 766 districts in India and adaptable to any geography with equivalent satellite data coverage.</w:t>
      </w:r>
    </w:p>
    <w:p w:rsidR="006A5F9C" w:rsidRDefault="006A5F9C">
      <w:pPr>
        <w:spacing w:before="60"/>
      </w:pPr>
    </w:p>
    <w:p w:rsidR="00796F2B" w:rsidRDefault="00796F2B">
      <w:pPr>
        <w:spacing w:before="60"/>
      </w:pPr>
    </w:p>
    <w:p w:rsidR="006A5F9C" w:rsidRDefault="003C481A" w:rsidP="003C481A">
      <w:pPr>
        <w:pStyle w:val="Heading1"/>
        <w:pBdr>
          <w:bottom w:val="single" w:sz="6" w:space="1" w:color="FFFFFF"/>
        </w:pBdr>
        <w:shd w:val="clear" w:color="auto" w:fill="1A9850"/>
        <w:ind w:right="200"/>
      </w:pPr>
      <w:r>
        <w:t>8</w:t>
      </w:r>
      <w:r w:rsidR="00083F48">
        <w:t>. Conclusions</w:t>
      </w:r>
    </w:p>
    <w:p w:rsidR="006A5F9C" w:rsidRDefault="00083F48">
      <w:pPr>
        <w:spacing w:before="60" w:after="80"/>
        <w:jc w:val="both"/>
      </w:pPr>
      <w:r>
        <w:rPr>
          <w:color w:val="000000"/>
        </w:rPr>
        <w:t>The Agrivoltaic Optimizer successfully demonstrates that Multi-Criteria Decision Analysis integrated with unsupervised K-Means clustering can produce spatially coherent, scientifically valid suitability maps for dual-use land allocation. Within Jodhpur District, 40.3% of the study area — approximately 9,213 km² — was classified as High Suitability for agrivoltaic development, concentrated in the eastern sub-districts where the combination of agricultural land use, flat terrain, and solar irradiance produces the highest composite scores.</w:t>
      </w:r>
    </w:p>
    <w:p w:rsidR="006A5F9C" w:rsidRDefault="00083F48">
      <w:pPr>
        <w:spacing w:before="60" w:after="80"/>
        <w:jc w:val="both"/>
      </w:pPr>
      <w:r>
        <w:rPr>
          <w:color w:val="000000"/>
        </w:rPr>
        <w:t>The project successfully delivered all four planned components: a PostGIS spatial database infrastructure, a Python-based MCDA + K-Means ML pipeline with GPU acceleration, a PyQGIS interactive dashboard with real-time slider controls, and a standalone interactive web visualization with dynamic color-coded class switching. These components together constitute a functional, enterprise-grade prototype that solves a genuine zero-sum problem at the intersection of food security and clean energy transition.</w:t>
      </w:r>
    </w:p>
    <w:p w:rsidR="006A5F9C" w:rsidRDefault="00083F48" w:rsidP="003C481A">
      <w:pPr>
        <w:spacing w:before="60" w:after="80"/>
        <w:jc w:val="both"/>
      </w:pPr>
      <w:r>
        <w:rPr>
          <w:color w:val="000000"/>
        </w:rPr>
        <w:t>Future work will focus on integrating labeled field data to enable Random Forest classification as the primary model, extending the pipeline to cover multi-district pan-Rajasthan analysis, and connecting the system to live API feeds for dynamic suitability recalculation as climate and land use patterns change.</w:t>
      </w:r>
    </w:p>
    <w:p w:rsidR="006A5F9C" w:rsidRDefault="003C481A" w:rsidP="003C481A">
      <w:pPr>
        <w:pStyle w:val="Heading1"/>
        <w:pBdr>
          <w:bottom w:val="single" w:sz="6" w:space="1" w:color="FFFFFF"/>
        </w:pBdr>
        <w:shd w:val="clear" w:color="auto" w:fill="1A9850"/>
        <w:ind w:right="200"/>
      </w:pPr>
      <w:r>
        <w:lastRenderedPageBreak/>
        <w:t>9</w:t>
      </w:r>
      <w:r w:rsidR="00083F48">
        <w:t>. Data Sources &amp; References</w:t>
      </w:r>
    </w:p>
    <w:p w:rsidR="006A5F9C" w:rsidRDefault="00083F48">
      <w:pPr>
        <w:pStyle w:val="ListParagraph"/>
        <w:numPr>
          <w:ilvl w:val="0"/>
          <w:numId w:val="2"/>
        </w:numPr>
        <w:spacing w:before="40" w:after="40"/>
      </w:pPr>
      <w:r>
        <w:rPr>
          <w:color w:val="000000"/>
          <w:sz w:val="21"/>
          <w:szCs w:val="21"/>
        </w:rPr>
        <w:t>GADM (Global Administrative Boundaries). India Level 2 Boundaries. https://gadm.org</w:t>
      </w:r>
    </w:p>
    <w:p w:rsidR="006A5F9C" w:rsidRDefault="00083F48">
      <w:pPr>
        <w:pStyle w:val="ListParagraph"/>
        <w:numPr>
          <w:ilvl w:val="0"/>
          <w:numId w:val="2"/>
        </w:numPr>
        <w:spacing w:before="40" w:after="40"/>
      </w:pPr>
      <w:r>
        <w:rPr>
          <w:color w:val="000000"/>
          <w:sz w:val="21"/>
          <w:szCs w:val="21"/>
        </w:rPr>
        <w:t>USGS EarthExplorer. SRTM 1 Arc-Second Global DEM. https://earthexplorer.usgs.gov</w:t>
      </w:r>
    </w:p>
    <w:p w:rsidR="006A5F9C" w:rsidRDefault="00083F48">
      <w:pPr>
        <w:pStyle w:val="ListParagraph"/>
        <w:numPr>
          <w:ilvl w:val="0"/>
          <w:numId w:val="2"/>
        </w:numPr>
        <w:spacing w:before="40" w:after="40"/>
      </w:pPr>
      <w:r>
        <w:rPr>
          <w:color w:val="000000"/>
          <w:sz w:val="21"/>
          <w:szCs w:val="21"/>
        </w:rPr>
        <w:t>ESA WorldCover 2021. 10m Global Land Use / Land Cover. https://viewer.esa-worldcover.org</w:t>
      </w:r>
    </w:p>
    <w:p w:rsidR="006A5F9C" w:rsidRDefault="00083F48">
      <w:pPr>
        <w:pStyle w:val="ListParagraph"/>
        <w:numPr>
          <w:ilvl w:val="0"/>
          <w:numId w:val="2"/>
        </w:numPr>
        <w:spacing w:before="40" w:after="40"/>
      </w:pPr>
      <w:r>
        <w:rPr>
          <w:color w:val="000000"/>
          <w:sz w:val="21"/>
          <w:szCs w:val="21"/>
        </w:rPr>
        <w:t>NASA POWER Project. Global Horizontal Irradiance Data. https://power.larc.nasa.gov</w:t>
      </w:r>
    </w:p>
    <w:p w:rsidR="006A5F9C" w:rsidRDefault="00083F48">
      <w:pPr>
        <w:pStyle w:val="ListParagraph"/>
        <w:numPr>
          <w:ilvl w:val="0"/>
          <w:numId w:val="2"/>
        </w:numPr>
        <w:spacing w:before="40" w:after="40"/>
      </w:pPr>
      <w:r>
        <w:rPr>
          <w:color w:val="000000"/>
          <w:sz w:val="21"/>
          <w:szCs w:val="21"/>
        </w:rPr>
        <w:t>OpenStreetMap Contributors. Road Networks and Infrastructure. https://www.openstreetmap.org</w:t>
      </w:r>
    </w:p>
    <w:p w:rsidR="006A5F9C" w:rsidRDefault="00083F48">
      <w:pPr>
        <w:pStyle w:val="ListParagraph"/>
        <w:numPr>
          <w:ilvl w:val="0"/>
          <w:numId w:val="2"/>
        </w:numPr>
        <w:spacing w:before="40" w:after="40"/>
      </w:pPr>
      <w:r>
        <w:rPr>
          <w:color w:val="000000"/>
          <w:sz w:val="21"/>
          <w:szCs w:val="21"/>
        </w:rPr>
        <w:t>ISRIC World Soil Information. SoilGrids (SOC, BD, Clay, Sand). https://soilgrids.org</w:t>
      </w:r>
    </w:p>
    <w:p w:rsidR="006A5F9C" w:rsidRDefault="00083F48">
      <w:pPr>
        <w:pStyle w:val="ListParagraph"/>
        <w:numPr>
          <w:ilvl w:val="0"/>
          <w:numId w:val="2"/>
        </w:numPr>
        <w:spacing w:before="40" w:after="40"/>
      </w:pPr>
      <w:r>
        <w:rPr>
          <w:color w:val="000000"/>
          <w:sz w:val="21"/>
          <w:szCs w:val="21"/>
        </w:rPr>
        <w:t>PostgreSQL Global Development Group. PostgreSQL 15 with PostGIS. https://www.postgresql.org</w:t>
      </w:r>
    </w:p>
    <w:p w:rsidR="006A5F9C" w:rsidRDefault="00083F48">
      <w:pPr>
        <w:pStyle w:val="ListParagraph"/>
        <w:numPr>
          <w:ilvl w:val="0"/>
          <w:numId w:val="2"/>
        </w:numPr>
        <w:spacing w:before="40" w:after="40"/>
      </w:pPr>
      <w:r>
        <w:rPr>
          <w:color w:val="000000"/>
          <w:sz w:val="21"/>
          <w:szCs w:val="21"/>
        </w:rPr>
        <w:t>QGIS Development Team. QGIS 3.44.4-Solothurn. https://www.qgis.org</w:t>
      </w:r>
    </w:p>
    <w:p w:rsidR="006A5F9C" w:rsidRDefault="00083F48">
      <w:pPr>
        <w:pStyle w:val="ListParagraph"/>
        <w:numPr>
          <w:ilvl w:val="0"/>
          <w:numId w:val="2"/>
        </w:numPr>
        <w:spacing w:before="40" w:after="40"/>
      </w:pPr>
      <w:r>
        <w:rPr>
          <w:color w:val="000000"/>
          <w:sz w:val="21"/>
          <w:szCs w:val="21"/>
        </w:rPr>
        <w:t>scikit-learn developers. K-Means Clustering. Machine Learning in Python. https://scikit-learn.org</w:t>
      </w:r>
    </w:p>
    <w:p w:rsidR="006A5F9C" w:rsidRDefault="00083F48">
      <w:pPr>
        <w:pStyle w:val="ListParagraph"/>
        <w:numPr>
          <w:ilvl w:val="0"/>
          <w:numId w:val="2"/>
        </w:numPr>
        <w:spacing w:before="40" w:after="40"/>
      </w:pPr>
      <w:r>
        <w:rPr>
          <w:color w:val="000000"/>
          <w:sz w:val="21"/>
          <w:szCs w:val="21"/>
        </w:rPr>
        <w:t>Rasterio Documentation. Geospatial Raster I/O for Python. https://rasterio.readthedocs.io</w:t>
      </w:r>
    </w:p>
    <w:sectPr w:rsidR="006A5F9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454" w:rsidRDefault="00272454">
      <w:r>
        <w:separator/>
      </w:r>
    </w:p>
  </w:endnote>
  <w:endnote w:type="continuationSeparator" w:id="0">
    <w:p w:rsidR="00272454" w:rsidRDefault="0027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5F9C" w:rsidRDefault="00083F48">
    <w:pPr>
      <w:pBdr>
        <w:top w:val="single" w:sz="4" w:space="2" w:color="D9D9D9"/>
      </w:pBdr>
      <w:spacing w:before="80"/>
    </w:pPr>
    <w:r>
      <w:rPr>
        <w:color w:val="404040"/>
        <w:sz w:val="18"/>
        <w:szCs w:val="18"/>
      </w:rPr>
      <w:t xml:space="preserve">IIRS-ISRO &amp; DAU Gandhinagar  |  Team Apex Spatial  |  March 2026          Page </w:t>
    </w:r>
    <w:r>
      <w:rPr>
        <w:color w:val="1A9850"/>
        <w:sz w:val="18"/>
        <w:szCs w:val="18"/>
      </w:rPr>
      <w:fldChar w:fldCharType="begin"/>
    </w:r>
    <w:r>
      <w:rPr>
        <w:color w:val="1A9850"/>
        <w:sz w:val="18"/>
        <w:szCs w:val="18"/>
      </w:rPr>
      <w:instrText>PAGE</w:instrText>
    </w:r>
    <w:r>
      <w:rPr>
        <w:color w:val="1A9850"/>
        <w:sz w:val="18"/>
        <w:szCs w:val="18"/>
      </w:rPr>
      <w:fldChar w:fldCharType="separate"/>
    </w:r>
    <w:r w:rsidR="003C481A">
      <w:rPr>
        <w:noProof/>
        <w:color w:val="1A9850"/>
        <w:sz w:val="18"/>
        <w:szCs w:val="18"/>
      </w:rPr>
      <w:t>2</w:t>
    </w:r>
    <w:r>
      <w:rPr>
        <w:color w:val="1A985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454" w:rsidRDefault="00272454">
      <w:r>
        <w:separator/>
      </w:r>
    </w:p>
  </w:footnote>
  <w:footnote w:type="continuationSeparator" w:id="0">
    <w:p w:rsidR="00272454" w:rsidRDefault="002724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5F9C" w:rsidRDefault="00083F48">
    <w:pPr>
      <w:pBdr>
        <w:bottom w:val="single" w:sz="6" w:space="2" w:color="1A9850"/>
      </w:pBdr>
      <w:spacing w:after="80"/>
    </w:pPr>
    <w:r>
      <w:rPr>
        <w:b/>
        <w:bCs/>
        <w:color w:val="1A9850"/>
        <w:sz w:val="18"/>
        <w:szCs w:val="18"/>
      </w:rPr>
      <w:t>The Agrivoltaic Optimizer</w:t>
    </w:r>
    <w:r>
      <w:rPr>
        <w:color w:val="404040"/>
        <w:sz w:val="18"/>
        <w:szCs w:val="18"/>
      </w:rPr>
      <w:t xml:space="preserve">  |  Spatial Intelligence for Dual-Use Land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1503CE"/>
    <w:multiLevelType w:val="hybridMultilevel"/>
    <w:tmpl w:val="703E7E90"/>
    <w:lvl w:ilvl="0" w:tplc="C714DEA2">
      <w:start w:val="1"/>
      <w:numFmt w:val="decimal"/>
      <w:lvlText w:val="%1."/>
      <w:lvlJc w:val="left"/>
      <w:pPr>
        <w:ind w:left="720" w:hanging="360"/>
      </w:pPr>
    </w:lvl>
    <w:lvl w:ilvl="1" w:tplc="7F3EE12A">
      <w:numFmt w:val="decimal"/>
      <w:lvlText w:val=""/>
      <w:lvlJc w:val="left"/>
    </w:lvl>
    <w:lvl w:ilvl="2" w:tplc="A1C81BDA">
      <w:numFmt w:val="decimal"/>
      <w:lvlText w:val=""/>
      <w:lvlJc w:val="left"/>
    </w:lvl>
    <w:lvl w:ilvl="3" w:tplc="D2CC98EA">
      <w:numFmt w:val="decimal"/>
      <w:lvlText w:val=""/>
      <w:lvlJc w:val="left"/>
    </w:lvl>
    <w:lvl w:ilvl="4" w:tplc="B5C00B4A">
      <w:numFmt w:val="decimal"/>
      <w:lvlText w:val=""/>
      <w:lvlJc w:val="left"/>
    </w:lvl>
    <w:lvl w:ilvl="5" w:tplc="5496554C">
      <w:numFmt w:val="decimal"/>
      <w:lvlText w:val=""/>
      <w:lvlJc w:val="left"/>
    </w:lvl>
    <w:lvl w:ilvl="6" w:tplc="D55491F4">
      <w:numFmt w:val="decimal"/>
      <w:lvlText w:val=""/>
      <w:lvlJc w:val="left"/>
    </w:lvl>
    <w:lvl w:ilvl="7" w:tplc="B9A0DEA8">
      <w:numFmt w:val="decimal"/>
      <w:lvlText w:val=""/>
      <w:lvlJc w:val="left"/>
    </w:lvl>
    <w:lvl w:ilvl="8" w:tplc="542A545A">
      <w:numFmt w:val="decimal"/>
      <w:lvlText w:val=""/>
      <w:lvlJc w:val="left"/>
    </w:lvl>
  </w:abstractNum>
  <w:abstractNum w:abstractNumId="1">
    <w:nsid w:val="6DAA64AF"/>
    <w:multiLevelType w:val="hybridMultilevel"/>
    <w:tmpl w:val="C23E6720"/>
    <w:lvl w:ilvl="0" w:tplc="C13E2116">
      <w:start w:val="1"/>
      <w:numFmt w:val="bullet"/>
      <w:lvlText w:val="●"/>
      <w:lvlJc w:val="left"/>
      <w:pPr>
        <w:ind w:left="720" w:hanging="360"/>
      </w:pPr>
    </w:lvl>
    <w:lvl w:ilvl="1" w:tplc="AC364846">
      <w:start w:val="1"/>
      <w:numFmt w:val="bullet"/>
      <w:lvlText w:val="○"/>
      <w:lvlJc w:val="left"/>
      <w:pPr>
        <w:ind w:left="1440" w:hanging="360"/>
      </w:pPr>
    </w:lvl>
    <w:lvl w:ilvl="2" w:tplc="0CDC9BAA">
      <w:start w:val="1"/>
      <w:numFmt w:val="bullet"/>
      <w:lvlText w:val="■"/>
      <w:lvlJc w:val="left"/>
      <w:pPr>
        <w:ind w:left="2160" w:hanging="360"/>
      </w:pPr>
    </w:lvl>
    <w:lvl w:ilvl="3" w:tplc="745A00CA">
      <w:start w:val="1"/>
      <w:numFmt w:val="bullet"/>
      <w:lvlText w:val="●"/>
      <w:lvlJc w:val="left"/>
      <w:pPr>
        <w:ind w:left="2880" w:hanging="360"/>
      </w:pPr>
    </w:lvl>
    <w:lvl w:ilvl="4" w:tplc="9C0E5D68">
      <w:start w:val="1"/>
      <w:numFmt w:val="bullet"/>
      <w:lvlText w:val="○"/>
      <w:lvlJc w:val="left"/>
      <w:pPr>
        <w:ind w:left="3600" w:hanging="360"/>
      </w:pPr>
    </w:lvl>
    <w:lvl w:ilvl="5" w:tplc="B99E6590">
      <w:start w:val="1"/>
      <w:numFmt w:val="bullet"/>
      <w:lvlText w:val="■"/>
      <w:lvlJc w:val="left"/>
      <w:pPr>
        <w:ind w:left="4320" w:hanging="360"/>
      </w:pPr>
    </w:lvl>
    <w:lvl w:ilvl="6" w:tplc="B4E42310">
      <w:start w:val="1"/>
      <w:numFmt w:val="bullet"/>
      <w:lvlText w:val="●"/>
      <w:lvlJc w:val="left"/>
      <w:pPr>
        <w:ind w:left="5040" w:hanging="360"/>
      </w:pPr>
    </w:lvl>
    <w:lvl w:ilvl="7" w:tplc="80C45D52">
      <w:start w:val="1"/>
      <w:numFmt w:val="bullet"/>
      <w:lvlText w:val="●"/>
      <w:lvlJc w:val="left"/>
      <w:pPr>
        <w:ind w:left="5760" w:hanging="360"/>
      </w:pPr>
    </w:lvl>
    <w:lvl w:ilvl="8" w:tplc="9F4A6206">
      <w:start w:val="1"/>
      <w:numFmt w:val="bullet"/>
      <w:lvlText w:val="●"/>
      <w:lvlJc w:val="left"/>
      <w:pPr>
        <w:ind w:left="6480" w:hanging="360"/>
      </w:pPr>
    </w:lvl>
  </w:abstractNum>
  <w:abstractNum w:abstractNumId="2">
    <w:nsid w:val="77566147"/>
    <w:multiLevelType w:val="hybridMultilevel"/>
    <w:tmpl w:val="4A840D18"/>
    <w:lvl w:ilvl="0" w:tplc="B5A4CB6E">
      <w:start w:val="1"/>
      <w:numFmt w:val="bullet"/>
      <w:lvlText w:val="•"/>
      <w:lvlJc w:val="left"/>
      <w:pPr>
        <w:ind w:left="720" w:hanging="360"/>
      </w:pPr>
    </w:lvl>
    <w:lvl w:ilvl="1" w:tplc="B97431C0">
      <w:numFmt w:val="decimal"/>
      <w:lvlText w:val=""/>
      <w:lvlJc w:val="left"/>
    </w:lvl>
    <w:lvl w:ilvl="2" w:tplc="04A2147E">
      <w:numFmt w:val="decimal"/>
      <w:lvlText w:val=""/>
      <w:lvlJc w:val="left"/>
    </w:lvl>
    <w:lvl w:ilvl="3" w:tplc="953206CC">
      <w:numFmt w:val="decimal"/>
      <w:lvlText w:val=""/>
      <w:lvlJc w:val="left"/>
    </w:lvl>
    <w:lvl w:ilvl="4" w:tplc="3FEA7982">
      <w:numFmt w:val="decimal"/>
      <w:lvlText w:val=""/>
      <w:lvlJc w:val="left"/>
    </w:lvl>
    <w:lvl w:ilvl="5" w:tplc="FF74C6AA">
      <w:numFmt w:val="decimal"/>
      <w:lvlText w:val=""/>
      <w:lvlJc w:val="left"/>
    </w:lvl>
    <w:lvl w:ilvl="6" w:tplc="0CDC9D7C">
      <w:numFmt w:val="decimal"/>
      <w:lvlText w:val=""/>
      <w:lvlJc w:val="left"/>
    </w:lvl>
    <w:lvl w:ilvl="7" w:tplc="1F9ACD30">
      <w:numFmt w:val="decimal"/>
      <w:lvlText w:val=""/>
      <w:lvlJc w:val="left"/>
    </w:lvl>
    <w:lvl w:ilvl="8" w:tplc="2DCE9A4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A5F9C"/>
    <w:rsid w:val="00083F48"/>
    <w:rsid w:val="000B3B76"/>
    <w:rsid w:val="00272454"/>
    <w:rsid w:val="003C481A"/>
    <w:rsid w:val="006A5F9C"/>
    <w:rsid w:val="00796F2B"/>
    <w:rsid w:val="008A32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b/>
      <w:bCs/>
      <w:color w:val="FFFFFF"/>
      <w:sz w:val="36"/>
      <w:szCs w:val="36"/>
    </w:rPr>
  </w:style>
  <w:style w:type="paragraph" w:styleId="Heading2">
    <w:name w:val="heading 2"/>
    <w:qFormat/>
    <w:pPr>
      <w:spacing w:before="280" w:after="80"/>
      <w:outlineLvl w:val="1"/>
    </w:pPr>
    <w:rPr>
      <w:b/>
      <w:bCs/>
      <w:color w:val="1A9850"/>
      <w:sz w:val="28"/>
      <w:szCs w:val="28"/>
    </w:rPr>
  </w:style>
  <w:style w:type="paragraph" w:styleId="Heading3">
    <w:name w:val="heading 3"/>
    <w:qFormat/>
    <w:pPr>
      <w:spacing w:before="180" w:after="6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b/>
      <w:bCs/>
      <w:color w:val="FFFFFF"/>
      <w:sz w:val="36"/>
      <w:szCs w:val="36"/>
    </w:rPr>
  </w:style>
  <w:style w:type="paragraph" w:styleId="Heading2">
    <w:name w:val="heading 2"/>
    <w:qFormat/>
    <w:pPr>
      <w:spacing w:before="280" w:after="80"/>
      <w:outlineLvl w:val="1"/>
    </w:pPr>
    <w:rPr>
      <w:b/>
      <w:bCs/>
      <w:color w:val="1A9850"/>
      <w:sz w:val="28"/>
      <w:szCs w:val="28"/>
    </w:rPr>
  </w:style>
  <w:style w:type="paragraph" w:styleId="Heading3">
    <w:name w:val="heading 3"/>
    <w:qFormat/>
    <w:pPr>
      <w:spacing w:before="180" w:after="6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2076</Words>
  <Characters>11835</Characters>
  <Application>Microsoft Office Word</Application>
  <DocSecurity>0</DocSecurity>
  <Lines>98</Lines>
  <Paragraphs>27</Paragraphs>
  <ScaleCrop>false</ScaleCrop>
  <Company/>
  <LinksUpToDate>false</LinksUpToDate>
  <CharactersWithSpaces>13884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7</cp:revision>
  <dcterms:created xsi:type="dcterms:W3CDTF">2026-04-02T05:56:00Z</dcterms:created>
  <dcterms:modified xsi:type="dcterms:W3CDTF">2026-07-04T18:07:00Z</dcterms:modified>
</cp:coreProperties>
</file>