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5C5E" w14:textId="464934DE" w:rsidR="00273DCF" w:rsidRDefault="00273DCF" w:rsidP="00BC6144">
      <w:pPr>
        <w:pStyle w:val="Title"/>
      </w:pPr>
      <w:r>
        <w:t>User Experience – Best Practices</w:t>
      </w:r>
    </w:p>
    <w:p w14:paraId="3684BF06" w14:textId="340B1983" w:rsidR="00DD34B0" w:rsidRDefault="00290DE5">
      <w:r w:rsidRPr="00290DE5">
        <w:rPr>
          <w:b/>
          <w:bCs/>
        </w:rPr>
        <w:t>[Practice 1]</w:t>
      </w:r>
      <w:r w:rsidRPr="00E57C99">
        <w:t xml:space="preserve"> </w:t>
      </w:r>
      <w:r w:rsidR="003E5C4E" w:rsidRPr="00E57C99">
        <w:t>C</w:t>
      </w:r>
      <w:r w:rsidR="00E16185" w:rsidRPr="00E57C99">
        <w:t xml:space="preserve">ognitive load: </w:t>
      </w:r>
      <w:r w:rsidR="00E16185" w:rsidRPr="00E16185">
        <w:t>Don’t make users think harder than they need to</w:t>
      </w:r>
    </w:p>
    <w:p w14:paraId="150B2424" w14:textId="77777777" w:rsidR="00336677" w:rsidRPr="00336677" w:rsidRDefault="00336677" w:rsidP="00336677">
      <w:pPr>
        <w:numPr>
          <w:ilvl w:val="0"/>
          <w:numId w:val="1"/>
        </w:numPr>
      </w:pPr>
      <w:r w:rsidRPr="00336677">
        <w:t>One main action per screen is usually enough.</w:t>
      </w:r>
    </w:p>
    <w:p w14:paraId="677629EE" w14:textId="77777777" w:rsidR="00336677" w:rsidRPr="00336677" w:rsidRDefault="00336677" w:rsidP="00336677">
      <w:pPr>
        <w:numPr>
          <w:ilvl w:val="0"/>
          <w:numId w:val="1"/>
        </w:numPr>
      </w:pPr>
      <w:r w:rsidRPr="00336677">
        <w:t>Don’t overload users with 12 menu options when 4 will do.</w:t>
      </w:r>
    </w:p>
    <w:p w14:paraId="58533AEA" w14:textId="0FE42A33" w:rsidR="00336677" w:rsidRDefault="00336677" w:rsidP="006C2805">
      <w:pPr>
        <w:numPr>
          <w:ilvl w:val="0"/>
          <w:numId w:val="1"/>
        </w:numPr>
      </w:pPr>
      <w:r w:rsidRPr="00336677">
        <w:t>Hide complexity until it’s needed (advanced settings can stay advanced).</w:t>
      </w:r>
    </w:p>
    <w:p w14:paraId="3A29D844" w14:textId="64836361" w:rsidR="00336677" w:rsidRDefault="00290DE5">
      <w:r w:rsidRPr="00290DE5">
        <w:rPr>
          <w:b/>
          <w:bCs/>
        </w:rPr>
        <w:t xml:space="preserve">[Practice </w:t>
      </w:r>
      <w:r>
        <w:rPr>
          <w:b/>
          <w:bCs/>
        </w:rPr>
        <w:t>2</w:t>
      </w:r>
      <w:r w:rsidRPr="00290DE5">
        <w:rPr>
          <w:b/>
          <w:bCs/>
        </w:rPr>
        <w:t>]</w:t>
      </w:r>
      <w:r w:rsidRPr="00E57C99">
        <w:t xml:space="preserve"> </w:t>
      </w:r>
      <w:r w:rsidR="00336677" w:rsidRPr="00E57C99">
        <w:t xml:space="preserve">Hick’s Law: </w:t>
      </w:r>
      <w:r w:rsidR="00336677" w:rsidRPr="00336677">
        <w:t>Too many choices = decision paralysis</w:t>
      </w:r>
    </w:p>
    <w:p w14:paraId="74ADB3A5" w14:textId="77777777" w:rsidR="00535C25" w:rsidRPr="00535C25" w:rsidRDefault="00535C25" w:rsidP="00535C25">
      <w:pPr>
        <w:numPr>
          <w:ilvl w:val="0"/>
          <w:numId w:val="2"/>
        </w:numPr>
      </w:pPr>
      <w:r w:rsidRPr="00535C25">
        <w:t>Use progressive disclosure (show options gradually).</w:t>
      </w:r>
    </w:p>
    <w:p w14:paraId="46D1AA97" w14:textId="77777777" w:rsidR="00535C25" w:rsidRPr="00535C25" w:rsidRDefault="00535C25" w:rsidP="00535C25">
      <w:pPr>
        <w:numPr>
          <w:ilvl w:val="0"/>
          <w:numId w:val="2"/>
        </w:numPr>
      </w:pPr>
      <w:r w:rsidRPr="00535C25">
        <w:t>Highlight the most common or recommended choices.</w:t>
      </w:r>
    </w:p>
    <w:p w14:paraId="748A4130" w14:textId="77777777" w:rsidR="00535C25" w:rsidRPr="00535C25" w:rsidRDefault="00535C25" w:rsidP="00535C25">
      <w:pPr>
        <w:numPr>
          <w:ilvl w:val="0"/>
          <w:numId w:val="2"/>
        </w:numPr>
      </w:pPr>
      <w:r w:rsidRPr="00535C25">
        <w:t>Pre-fill defaults (most users won’t change them anyway).</w:t>
      </w:r>
    </w:p>
    <w:p w14:paraId="71CF600A" w14:textId="730373ED" w:rsidR="00336677" w:rsidRDefault="00336677">
      <w:r>
        <w:rPr>
          <w:noProof/>
        </w:rPr>
        <w:drawing>
          <wp:inline distT="0" distB="0" distL="0" distR="0" wp14:anchorId="1EE6B799" wp14:editId="05D2FE87">
            <wp:extent cx="3133725" cy="1958912"/>
            <wp:effectExtent l="0" t="0" r="0" b="3810"/>
            <wp:docPr id="202969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69" cy="196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88FB" w14:textId="1067F8D6" w:rsidR="00535C25" w:rsidRDefault="00BC7BFF">
      <w:r w:rsidRPr="00290DE5">
        <w:rPr>
          <w:b/>
          <w:bCs/>
        </w:rPr>
        <w:t xml:space="preserve">[Practice </w:t>
      </w:r>
      <w:r>
        <w:rPr>
          <w:b/>
          <w:bCs/>
        </w:rPr>
        <w:t>3</w:t>
      </w:r>
      <w:r w:rsidRPr="00290DE5">
        <w:rPr>
          <w:b/>
          <w:bCs/>
        </w:rPr>
        <w:t>]</w:t>
      </w:r>
      <w:r w:rsidRPr="00E57C99">
        <w:t xml:space="preserve"> </w:t>
      </w:r>
      <w:proofErr w:type="spellStart"/>
      <w:r w:rsidR="00AB0EBB" w:rsidRPr="00AB0EBB">
        <w:t>Fitts’</w:t>
      </w:r>
      <w:proofErr w:type="spellEnd"/>
      <w:r w:rsidR="00AB0EBB" w:rsidRPr="00AB0EBB">
        <w:t xml:space="preserve"> Law: Make targets easy to hit</w:t>
      </w:r>
    </w:p>
    <w:p w14:paraId="0BB56E2E" w14:textId="1F8BB021" w:rsidR="00535C25" w:rsidRDefault="00AB0EBB">
      <w:r>
        <w:rPr>
          <w:noProof/>
        </w:rPr>
        <w:drawing>
          <wp:inline distT="0" distB="0" distL="0" distR="0" wp14:anchorId="1A911A46" wp14:editId="696E4DAD">
            <wp:extent cx="4800600" cy="3000888"/>
            <wp:effectExtent l="0" t="0" r="0" b="9525"/>
            <wp:docPr id="1113353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21" cy="301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D8C3" w14:textId="77777777" w:rsidR="00AB0EBB" w:rsidRPr="00AB0EBB" w:rsidRDefault="00AB0EBB" w:rsidP="00AB0EBB">
      <w:pPr>
        <w:numPr>
          <w:ilvl w:val="0"/>
          <w:numId w:val="3"/>
        </w:numPr>
      </w:pPr>
      <w:r w:rsidRPr="00AB0EBB">
        <w:lastRenderedPageBreak/>
        <w:t>Touch targets on mobile should be at least 44px (unless you enjoy lawsuits from people with normal-sized thumbs).</w:t>
      </w:r>
    </w:p>
    <w:p w14:paraId="151D92ED" w14:textId="77777777" w:rsidR="00AB0EBB" w:rsidRPr="00AB0EBB" w:rsidRDefault="00AB0EBB" w:rsidP="00AB0EBB">
      <w:pPr>
        <w:numPr>
          <w:ilvl w:val="0"/>
          <w:numId w:val="3"/>
        </w:numPr>
      </w:pPr>
      <w:r w:rsidRPr="00AB0EBB">
        <w:t>Put primary actions in easy-to-reach “thumb zones.”</w:t>
      </w:r>
    </w:p>
    <w:p w14:paraId="1211FA97" w14:textId="4F0D1FE3" w:rsidR="00535C25" w:rsidRDefault="00AB0EBB" w:rsidP="00BC7BFF">
      <w:pPr>
        <w:numPr>
          <w:ilvl w:val="0"/>
          <w:numId w:val="3"/>
        </w:numPr>
      </w:pPr>
      <w:r w:rsidRPr="00AB0EBB">
        <w:t>Don’t put destructive actions (“Delete account”) right next to safe ones (“Save changes”).</w:t>
      </w:r>
    </w:p>
    <w:p w14:paraId="5F788760" w14:textId="544F6B44" w:rsidR="00AB0EBB" w:rsidRPr="00AB0EBB" w:rsidRDefault="00BC7BFF" w:rsidP="00AB0EBB">
      <w:pPr>
        <w:rPr>
          <w:b/>
          <w:bCs/>
        </w:rPr>
      </w:pPr>
      <w:r w:rsidRPr="00290DE5">
        <w:rPr>
          <w:b/>
          <w:bCs/>
        </w:rPr>
        <w:t xml:space="preserve">[Practice </w:t>
      </w:r>
      <w:r>
        <w:rPr>
          <w:b/>
          <w:bCs/>
        </w:rPr>
        <w:t>4</w:t>
      </w:r>
      <w:r w:rsidRPr="00BC7BFF">
        <w:t xml:space="preserve">] </w:t>
      </w:r>
      <w:r w:rsidR="00AB0EBB" w:rsidRPr="00BC7BFF">
        <w:t>Familiarity &gt; originality</w:t>
      </w:r>
    </w:p>
    <w:p w14:paraId="184013C9" w14:textId="13932F1E" w:rsidR="00AB0EBB" w:rsidRDefault="00AB0EBB">
      <w:r>
        <w:rPr>
          <w:noProof/>
        </w:rPr>
        <w:drawing>
          <wp:inline distT="0" distB="0" distL="0" distR="0" wp14:anchorId="1C2A406C" wp14:editId="152D0571">
            <wp:extent cx="4295775" cy="2685318"/>
            <wp:effectExtent l="0" t="0" r="0" b="1270"/>
            <wp:docPr id="1428789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959" cy="268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7264" w14:textId="5DD96589" w:rsidR="00535C25" w:rsidRDefault="00AB0EBB">
      <w:r w:rsidRPr="00AB0EBB">
        <w:t>Familiar patterns feel safe. Login forms, navigation bars, checkout flows, they all follow conventions for a reason. Break them, and your users will break up with you.</w:t>
      </w:r>
    </w:p>
    <w:p w14:paraId="4EB3A0E4" w14:textId="77777777" w:rsidR="00AB0EBB" w:rsidRPr="00AB0EBB" w:rsidRDefault="00AB0EBB" w:rsidP="00AB0EBB">
      <w:pPr>
        <w:numPr>
          <w:ilvl w:val="0"/>
          <w:numId w:val="4"/>
        </w:numPr>
      </w:pPr>
      <w:r w:rsidRPr="00AB0EBB">
        <w:t>Keep common flows standard (sign-up, login, navigation).</w:t>
      </w:r>
    </w:p>
    <w:p w14:paraId="5C303334" w14:textId="4581D2FC" w:rsidR="00AB0EBB" w:rsidRPr="00AB0EBB" w:rsidRDefault="00AB0EBB" w:rsidP="00AB0EBB">
      <w:pPr>
        <w:numPr>
          <w:ilvl w:val="0"/>
          <w:numId w:val="4"/>
        </w:numPr>
      </w:pPr>
      <w:r w:rsidRPr="00AB0EBB">
        <w:t xml:space="preserve">Save your creativity for visuals, animations, and </w:t>
      </w:r>
      <w:r w:rsidR="008A0476" w:rsidRPr="00AB0EBB">
        <w:t>micro interactions</w:t>
      </w:r>
      <w:r w:rsidRPr="00AB0EBB">
        <w:t>.</w:t>
      </w:r>
    </w:p>
    <w:p w14:paraId="40292CB4" w14:textId="77777777" w:rsidR="00AB0EBB" w:rsidRPr="00AB0EBB" w:rsidRDefault="00AB0EBB" w:rsidP="00AB0EBB">
      <w:pPr>
        <w:numPr>
          <w:ilvl w:val="0"/>
          <w:numId w:val="4"/>
        </w:numPr>
      </w:pPr>
      <w:r w:rsidRPr="00AB0EBB">
        <w:t>Remember: weird = suspicious, familiar = trustworthy.</w:t>
      </w:r>
    </w:p>
    <w:p w14:paraId="06A4D4EE" w14:textId="1A348216" w:rsidR="00AB0EBB" w:rsidRPr="00AB0EBB" w:rsidRDefault="00AB0EBB" w:rsidP="00AB0EBB">
      <w:r w:rsidRPr="00AB0EBB">
        <w:t xml:space="preserve">There’s a reason nobody messes with the order of “email” then “password.” Keep the basics </w:t>
      </w:r>
      <w:r w:rsidR="008A0476" w:rsidRPr="00AB0EBB">
        <w:t>boring and</w:t>
      </w:r>
      <w:r w:rsidRPr="00AB0EBB">
        <w:t xml:space="preserve"> make the extras delightful.</w:t>
      </w:r>
    </w:p>
    <w:p w14:paraId="1CDDF581" w14:textId="4FD44A56" w:rsidR="00AB0EBB" w:rsidRDefault="00A21092">
      <w:r w:rsidRPr="00A21092">
        <w:rPr>
          <w:b/>
          <w:bCs/>
        </w:rPr>
        <w:t>[Practice 5]</w:t>
      </w:r>
      <w:r>
        <w:t xml:space="preserve"> Don’t </w:t>
      </w:r>
      <w:r w:rsidRPr="00A21092">
        <w:t>disable text selection / copying</w:t>
      </w:r>
    </w:p>
    <w:p w14:paraId="246B4E54" w14:textId="740719B3" w:rsidR="0016443F" w:rsidRDefault="0016443F">
      <w:r w:rsidRPr="0016443F">
        <w:t>The inability to copy text interrupts user workflow and forces hacks (screenshots + OCR) just to read or use content.</w:t>
      </w:r>
      <w:r>
        <w:t xml:space="preserve"> </w:t>
      </w:r>
      <w:r w:rsidRPr="0016443F">
        <w:t>It “turns text into media,” which is less interactive or manipulable.</w:t>
      </w:r>
    </w:p>
    <w:p w14:paraId="178A13DD" w14:textId="77777777" w:rsidR="00653BA8" w:rsidRDefault="00653BA8"/>
    <w:p w14:paraId="5ACBD938" w14:textId="77777777" w:rsidR="00783B16" w:rsidRDefault="00783B16"/>
    <w:p w14:paraId="4A44781B" w14:textId="77777777" w:rsidR="00783B16" w:rsidRDefault="00783B16"/>
    <w:p w14:paraId="587885C4" w14:textId="77777777" w:rsidR="00783B16" w:rsidRDefault="00783B16"/>
    <w:p w14:paraId="6BCEC118" w14:textId="77777777" w:rsidR="00783B16" w:rsidRDefault="00783B16"/>
    <w:p w14:paraId="2D2D0C6B" w14:textId="77777777" w:rsidR="00783B16" w:rsidRDefault="00783B16"/>
    <w:p w14:paraId="68D4C72C" w14:textId="77777777" w:rsidR="00783B16" w:rsidRDefault="00783B16"/>
    <w:p w14:paraId="35146445" w14:textId="77777777" w:rsidR="00783B16" w:rsidRDefault="00783B16"/>
    <w:p w14:paraId="3A9E0970" w14:textId="77777777" w:rsidR="00783B16" w:rsidRDefault="00783B16"/>
    <w:p w14:paraId="422154F1" w14:textId="77777777" w:rsidR="00783B16" w:rsidRDefault="00783B16"/>
    <w:p w14:paraId="75456B69" w14:textId="77777777" w:rsidR="00783B16" w:rsidRDefault="00783B16"/>
    <w:p w14:paraId="5D606034" w14:textId="77777777" w:rsidR="00783B16" w:rsidRDefault="00783B16"/>
    <w:p w14:paraId="1B71ACC1" w14:textId="77777777" w:rsidR="00783B16" w:rsidRDefault="00783B16"/>
    <w:p w14:paraId="7687D9F3" w14:textId="77777777" w:rsidR="00783B16" w:rsidRDefault="00783B16"/>
    <w:p w14:paraId="15599BAC" w14:textId="77777777" w:rsidR="00783B16" w:rsidRDefault="00783B16"/>
    <w:p w14:paraId="4215C70F" w14:textId="77777777" w:rsidR="00783B16" w:rsidRDefault="00783B16"/>
    <w:p w14:paraId="1E1493A2" w14:textId="77777777" w:rsidR="00783B16" w:rsidRDefault="00783B16"/>
    <w:p w14:paraId="73A29F09" w14:textId="77777777" w:rsidR="00783B16" w:rsidRDefault="00783B16"/>
    <w:p w14:paraId="07952E10" w14:textId="77777777" w:rsidR="00783B16" w:rsidRDefault="00783B16"/>
    <w:p w14:paraId="13CED92C" w14:textId="77777777" w:rsidR="00783B16" w:rsidRDefault="00783B16"/>
    <w:p w14:paraId="7C41651C" w14:textId="77777777" w:rsidR="00783B16" w:rsidRDefault="00783B16"/>
    <w:p w14:paraId="2FE4E4BB" w14:textId="77777777" w:rsidR="00783B16" w:rsidRDefault="00783B16"/>
    <w:p w14:paraId="3D8A4034" w14:textId="77777777" w:rsidR="00783B16" w:rsidRDefault="00783B16"/>
    <w:p w14:paraId="26BB155D" w14:textId="77777777" w:rsidR="00783B16" w:rsidRDefault="00783B16"/>
    <w:p w14:paraId="1D516DDF" w14:textId="77777777" w:rsidR="00783B16" w:rsidRDefault="00783B16"/>
    <w:p w14:paraId="4C5F5E2E" w14:textId="77777777" w:rsidR="00783B16" w:rsidRDefault="00783B16"/>
    <w:p w14:paraId="61D6FABC" w14:textId="77777777" w:rsidR="00783B16" w:rsidRDefault="00783B16"/>
    <w:sectPr w:rsidR="0078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E030C"/>
    <w:multiLevelType w:val="multilevel"/>
    <w:tmpl w:val="23A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050A5"/>
    <w:multiLevelType w:val="multilevel"/>
    <w:tmpl w:val="04E8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F546A"/>
    <w:multiLevelType w:val="multilevel"/>
    <w:tmpl w:val="81A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A42A9"/>
    <w:multiLevelType w:val="multilevel"/>
    <w:tmpl w:val="00A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079602">
    <w:abstractNumId w:val="2"/>
  </w:num>
  <w:num w:numId="2" w16cid:durableId="1737896664">
    <w:abstractNumId w:val="3"/>
  </w:num>
  <w:num w:numId="3" w16cid:durableId="646397311">
    <w:abstractNumId w:val="0"/>
  </w:num>
  <w:num w:numId="4" w16cid:durableId="2088381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B4"/>
    <w:rsid w:val="0016443F"/>
    <w:rsid w:val="001A2D6F"/>
    <w:rsid w:val="00273DCF"/>
    <w:rsid w:val="00290DE5"/>
    <w:rsid w:val="00336677"/>
    <w:rsid w:val="003E5C4E"/>
    <w:rsid w:val="00441B6D"/>
    <w:rsid w:val="00535C25"/>
    <w:rsid w:val="00575B92"/>
    <w:rsid w:val="005A4452"/>
    <w:rsid w:val="005F72D4"/>
    <w:rsid w:val="00653BA8"/>
    <w:rsid w:val="006C2805"/>
    <w:rsid w:val="00783B16"/>
    <w:rsid w:val="007C753E"/>
    <w:rsid w:val="008A0476"/>
    <w:rsid w:val="008F5B69"/>
    <w:rsid w:val="009D6467"/>
    <w:rsid w:val="00A04AB4"/>
    <w:rsid w:val="00A21092"/>
    <w:rsid w:val="00AB0EBB"/>
    <w:rsid w:val="00B721AB"/>
    <w:rsid w:val="00BC6144"/>
    <w:rsid w:val="00BC7BFF"/>
    <w:rsid w:val="00C4519D"/>
    <w:rsid w:val="00D2048B"/>
    <w:rsid w:val="00D464B1"/>
    <w:rsid w:val="00DD18B3"/>
    <w:rsid w:val="00DD34B0"/>
    <w:rsid w:val="00E16185"/>
    <w:rsid w:val="00E57C99"/>
    <w:rsid w:val="00E5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EDD2"/>
  <w15:chartTrackingRefBased/>
  <w15:docId w15:val="{CF0831CE-B4F8-450B-A42A-428D3B81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AB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4AB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AB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04AB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04AB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04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AB4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AB4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AB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7DA0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239</Words>
  <Characters>1368</Characters>
  <Application>Microsoft Office Word</Application>
  <DocSecurity>0</DocSecurity>
  <Lines>11</Lines>
  <Paragraphs>3</Paragraphs>
  <ScaleCrop>false</ScaleCrop>
  <Company>Sopra Steria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GOEL</dc:creator>
  <cp:keywords/>
  <dc:description/>
  <cp:lastModifiedBy>Himanshu GOEL</cp:lastModifiedBy>
  <cp:revision>28</cp:revision>
  <dcterms:created xsi:type="dcterms:W3CDTF">2025-09-22T03:59:00Z</dcterms:created>
  <dcterms:modified xsi:type="dcterms:W3CDTF">2025-09-25T04:13:00Z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68af6de-cd8b-46d2-a1d5-482b920c67c1_Enabled">
    <vt:lpwstr>true</vt:lpwstr>
  </property>
  <property fmtid="{D5CDD505-2E9C-101B-9397-08002B2CF9AE}" pid="3" name="MSIP_Label_d68af6de-cd8b-46d2-a1d5-482b920c67c1_SetDate">
    <vt:lpwstr>2025-09-22T03:59:16Z</vt:lpwstr>
  </property>
  <property fmtid="{D5CDD505-2E9C-101B-9397-08002B2CF9AE}" pid="4" name="MSIP_Label_d68af6de-cd8b-46d2-a1d5-482b920c67c1_Method">
    <vt:lpwstr>Standard</vt:lpwstr>
  </property>
  <property fmtid="{D5CDD505-2E9C-101B-9397-08002B2CF9AE}" pid="5" name="MSIP_Label_d68af6de-cd8b-46d2-a1d5-482b920c67c1_Name">
    <vt:lpwstr>d68af6de-cd8b-46d2-a1d5-482b920c67c1</vt:lpwstr>
  </property>
  <property fmtid="{D5CDD505-2E9C-101B-9397-08002B2CF9AE}" pid="6" name="MSIP_Label_d68af6de-cd8b-46d2-a1d5-482b920c67c1_SiteId">
    <vt:lpwstr>300f59df-78e6-436f-9b27-b64973e34f7d</vt:lpwstr>
  </property>
  <property fmtid="{D5CDD505-2E9C-101B-9397-08002B2CF9AE}" pid="7" name="MSIP_Label_d68af6de-cd8b-46d2-a1d5-482b920c67c1_ActionId">
    <vt:lpwstr>7cc50b20-6bbc-4f44-85e0-3557e510d0fc</vt:lpwstr>
  </property>
  <property fmtid="{D5CDD505-2E9C-101B-9397-08002B2CF9AE}" pid="8" name="MSIP_Label_d68af6de-cd8b-46d2-a1d5-482b920c67c1_ContentBits">
    <vt:lpwstr>0</vt:lpwstr>
  </property>
  <property fmtid="{D5CDD505-2E9C-101B-9397-08002B2CF9AE}" pid="9" name="MSIP_Label_d68af6de-cd8b-46d2-a1d5-482b920c67c1_Tag">
    <vt:lpwstr>10, 3, 0, 1</vt:lpwstr>
  </property>
</Properties>
</file>