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rouge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Red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est rouge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ist 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is red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l'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L'homme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femme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Oui, la pomme est rouge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der Apfel ist 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the apple is red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mange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esse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eat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mange une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esse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 garçon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Junge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enfant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Rémy est un enfant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Rémy ist ein 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Rémy is a child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Woman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