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mujer come una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Frau isst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woman eats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Ela es una mujer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Usted es una mujer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sind 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 eres un nino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bist ein Junge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a 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Él es un nino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ist 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is 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 nino come una manzana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Junge isst einen Apfel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boy eats an apple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Él es un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ist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is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 eres un hombre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bist ein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a 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hombre come una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 isst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 eats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Usted come una manzana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essen einen Apfel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eat an apple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 come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isst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eats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nina come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Das Mädchen isst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girl eats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