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6EF" w:rsidRPr="00B07F1A" w:rsidRDefault="00B07F1A" w:rsidP="00B07F1A">
      <w:pPr>
        <w:pStyle w:val="ListParagraph"/>
        <w:jc w:val="center"/>
        <w:rPr>
          <w:rFonts w:ascii="Elephant" w:hAnsi="Elephant"/>
          <w:b/>
          <w:bCs/>
          <w:i/>
          <w:iCs/>
          <w:strike/>
          <w:color w:val="FF0000"/>
          <w:sz w:val="72"/>
          <w:szCs w:val="72"/>
          <w:u w:val="single"/>
          <w:lang w:val="en-US"/>
        </w:rPr>
      </w:pPr>
      <w:r w:rsidRPr="00B07F1A">
        <w:rPr>
          <w:rFonts w:ascii="Elephant" w:hAnsi="Elephant"/>
          <w:b/>
          <w:bCs/>
          <w:i/>
          <w:iCs/>
          <w:strike/>
          <w:color w:val="FF0000"/>
          <w:sz w:val="72"/>
          <w:szCs w:val="72"/>
          <w:u w:val="single"/>
          <w:lang w:val="en-US"/>
        </w:rPr>
        <w:t>Chemistry</w:t>
      </w:r>
    </w:p>
    <w:p w:rsidR="00B07F1A" w:rsidRPr="00570034" w:rsidRDefault="00B07F1A" w:rsidP="00B07F1A">
      <w:pPr>
        <w:pStyle w:val="Heading1"/>
        <w:numPr>
          <w:ilvl w:val="0"/>
          <w:numId w:val="7"/>
        </w:numPr>
        <w:shd w:val="clear" w:color="auto" w:fill="FFFFFF"/>
        <w:rPr>
          <w:rFonts w:ascii="Algerian" w:hAnsi="Algerian"/>
          <w:i/>
          <w:iCs/>
          <w:color w:val="1B1B1B"/>
          <w:sz w:val="48"/>
          <w:szCs w:val="48"/>
          <w:u w:val="dash"/>
        </w:rPr>
      </w:pPr>
      <w:r w:rsidRPr="00570034">
        <w:rPr>
          <w:rFonts w:ascii="Algerian" w:hAnsi="Algerian"/>
          <w:i/>
          <w:iCs/>
          <w:color w:val="1B1B1B"/>
          <w:sz w:val="48"/>
          <w:szCs w:val="48"/>
          <w:u w:val="dash"/>
        </w:rPr>
        <w:t>Greenhouse Gases</w:t>
      </w:r>
    </w:p>
    <w:p w:rsidR="00B07F1A" w:rsidRPr="00A311F2" w:rsidRDefault="00B07F1A" w:rsidP="009D5F45">
      <w:pPr>
        <w:pStyle w:val="Heading3"/>
        <w:numPr>
          <w:ilvl w:val="0"/>
          <w:numId w:val="9"/>
        </w:numPr>
        <w:shd w:val="clear" w:color="auto" w:fill="FFFFFF"/>
        <w:spacing w:before="480" w:beforeAutospacing="0"/>
        <w:ind w:left="1037" w:hanging="357"/>
        <w:rPr>
          <w:rFonts w:ascii="Arial Black" w:hAnsi="Arial Black"/>
          <w:i/>
          <w:iCs/>
          <w:color w:val="1B1B1B"/>
          <w:sz w:val="36"/>
          <w:szCs w:val="36"/>
        </w:rPr>
      </w:pPr>
      <w:r w:rsidRPr="00A311F2">
        <w:rPr>
          <w:rFonts w:ascii="Arial Black" w:hAnsi="Arial Black"/>
          <w:i/>
          <w:iCs/>
          <w:color w:val="1B1B1B"/>
          <w:sz w:val="36"/>
          <w:szCs w:val="36"/>
          <w:u w:val="double"/>
        </w:rPr>
        <w:t>Importance</w:t>
      </w:r>
      <w:r w:rsidRPr="00A311F2">
        <w:rPr>
          <w:rFonts w:ascii="Arial Black" w:hAnsi="Arial Black"/>
          <w:i/>
          <w:iCs/>
          <w:color w:val="1B1B1B"/>
          <w:sz w:val="36"/>
          <w:szCs w:val="36"/>
        </w:rPr>
        <w:t xml:space="preserve"> </w:t>
      </w:r>
      <w:r w:rsidRPr="00A311F2">
        <w:rPr>
          <w:rFonts w:ascii="Arial Black" w:hAnsi="Arial Black"/>
          <w:i/>
          <w:iCs/>
          <w:color w:val="1B1B1B"/>
          <w:sz w:val="36"/>
          <w:szCs w:val="36"/>
          <w:u w:val="double"/>
        </w:rPr>
        <w:t>of</w:t>
      </w:r>
      <w:r w:rsidRPr="00A311F2">
        <w:rPr>
          <w:rFonts w:ascii="Arial Black" w:hAnsi="Arial Black"/>
          <w:i/>
          <w:iCs/>
          <w:color w:val="1B1B1B"/>
          <w:sz w:val="36"/>
          <w:szCs w:val="36"/>
        </w:rPr>
        <w:t xml:space="preserve"> </w:t>
      </w:r>
      <w:r w:rsidRPr="00A311F2">
        <w:rPr>
          <w:rFonts w:ascii="Arial Black" w:hAnsi="Arial Black"/>
          <w:i/>
          <w:iCs/>
          <w:color w:val="1B1B1B"/>
          <w:sz w:val="36"/>
          <w:szCs w:val="36"/>
          <w:u w:val="double"/>
        </w:rPr>
        <w:t>Greenhouse</w:t>
      </w:r>
      <w:r w:rsidRPr="00A311F2">
        <w:rPr>
          <w:rFonts w:ascii="Arial Black" w:hAnsi="Arial Black"/>
          <w:i/>
          <w:iCs/>
          <w:color w:val="1B1B1B"/>
          <w:sz w:val="36"/>
          <w:szCs w:val="36"/>
        </w:rPr>
        <w:t xml:space="preserve"> </w:t>
      </w:r>
      <w:r w:rsidRPr="00A311F2">
        <w:rPr>
          <w:rFonts w:ascii="Arial Black" w:hAnsi="Arial Black"/>
          <w:i/>
          <w:iCs/>
          <w:color w:val="1B1B1B"/>
          <w:sz w:val="36"/>
          <w:szCs w:val="36"/>
          <w:u w:val="double"/>
        </w:rPr>
        <w:t>Gases</w:t>
      </w:r>
    </w:p>
    <w:p w:rsidR="00B07F1A" w:rsidRPr="00A311F2" w:rsidRDefault="00B07F1A" w:rsidP="00E21863">
      <w:pPr>
        <w:pStyle w:val="NormalWeb"/>
        <w:keepNext/>
        <w:keepLines/>
        <w:widowControl w:val="0"/>
        <w:numPr>
          <w:ilvl w:val="0"/>
          <w:numId w:val="6"/>
        </w:numPr>
        <w:shd w:val="clear" w:color="auto" w:fill="FFFFFF"/>
        <w:suppressAutoHyphens/>
        <w:spacing w:before="0" w:beforeAutospacing="0" w:line="276" w:lineRule="auto"/>
        <w:ind w:left="1077" w:hanging="357"/>
        <w:rPr>
          <w:color w:val="1B1B1B"/>
          <w:sz w:val="31"/>
          <w:szCs w:val="36"/>
        </w:rPr>
      </w:pPr>
      <w:r w:rsidRPr="00A311F2">
        <w:rPr>
          <w:color w:val="1B1B1B"/>
          <w:sz w:val="31"/>
          <w:szCs w:val="36"/>
        </w:rPr>
        <w:t xml:space="preserve">Greenhouse gases, such as carbon dioxide, methane, nitrous oxide, and certain synthetic chemicals, trap some of the Earth's outgoing energy, thus retaining heat in the atmosphere. This heat trapping causes changes in the </w:t>
      </w:r>
      <w:proofErr w:type="spellStart"/>
      <w:r w:rsidRPr="00A311F2">
        <w:rPr>
          <w:color w:val="1B1B1B"/>
          <w:sz w:val="31"/>
          <w:szCs w:val="36"/>
        </w:rPr>
        <w:t>radiative</w:t>
      </w:r>
      <w:proofErr w:type="spellEnd"/>
      <w:r w:rsidRPr="00A311F2">
        <w:rPr>
          <w:color w:val="1B1B1B"/>
          <w:sz w:val="31"/>
          <w:szCs w:val="36"/>
        </w:rPr>
        <w:t xml:space="preserve"> balance of the Earth—the balance between energy received from the sun and emitted from Earth—that alter climate and weather patterns at global and regional scales.</w:t>
      </w:r>
    </w:p>
    <w:p w:rsidR="00570034" w:rsidRDefault="00570034" w:rsidP="00B07F1A">
      <w:pPr>
        <w:rPr>
          <w:rFonts w:ascii="Segoe UI" w:hAnsi="Segoe UI" w:cs="Segoe UI"/>
          <w:color w:val="262936"/>
          <w:sz w:val="21"/>
          <w:szCs w:val="21"/>
          <w:shd w:val="clear" w:color="auto" w:fill="FFFFFF"/>
        </w:rPr>
      </w:pPr>
      <w:r>
        <w:rPr>
          <w:rFonts w:ascii="Arial" w:hAnsi="Arial" w:cs="Arial"/>
          <w:b/>
          <w:bCs/>
          <w:color w:val="202124"/>
          <w:sz w:val="21"/>
          <w:szCs w:val="21"/>
          <w:shd w:val="clear" w:color="auto" w:fill="FFFFFF"/>
        </w:rPr>
        <w:tab/>
      </w:r>
      <w:r>
        <w:rPr>
          <w:rFonts w:ascii="Arial" w:hAnsi="Arial" w:cs="Arial"/>
          <w:b/>
          <w:bCs/>
          <w:color w:val="202124"/>
          <w:sz w:val="21"/>
          <w:szCs w:val="21"/>
          <w:shd w:val="clear" w:color="auto" w:fill="FFFFFF"/>
        </w:rPr>
        <w:tab/>
      </w:r>
      <w:r>
        <w:rPr>
          <w:rFonts w:ascii="Segoe UI" w:hAnsi="Segoe UI" w:cs="Segoe UI"/>
          <w:color w:val="262936"/>
          <w:sz w:val="21"/>
          <w:szCs w:val="21"/>
          <w:shd w:val="clear" w:color="auto" w:fill="FFFFFF"/>
        </w:rPr>
        <w:tab/>
      </w:r>
      <w:r>
        <w:rPr>
          <w:rFonts w:ascii="Segoe UI" w:hAnsi="Segoe UI" w:cs="Segoe UI"/>
          <w:color w:val="262936"/>
          <w:sz w:val="21"/>
          <w:szCs w:val="21"/>
          <w:shd w:val="clear" w:color="auto" w:fill="FFFFFF"/>
        </w:rPr>
        <w:tab/>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tblPr>
      <w:tblGrid>
        <w:gridCol w:w="3764"/>
        <w:gridCol w:w="3822"/>
      </w:tblGrid>
      <w:tr w:rsidR="00570034" w:rsidRPr="00570034" w:rsidTr="009D5F45">
        <w:trPr>
          <w:trHeight w:val="567"/>
          <w:jc w:val="center"/>
        </w:trPr>
        <w:tc>
          <w:tcPr>
            <w:tcW w:w="0" w:type="auto"/>
            <w:shd w:val="clear" w:color="auto" w:fill="D9D9D9" w:themeFill="background1" w:themeFillShade="D9"/>
            <w:vAlign w:val="center"/>
          </w:tcPr>
          <w:p w:rsidR="00570034" w:rsidRPr="00570034" w:rsidRDefault="00570034" w:rsidP="00570034">
            <w:pPr>
              <w:jc w:val="center"/>
              <w:rPr>
                <w:rFonts w:ascii="Arial Black" w:hAnsi="Arial Black" w:cs="Segoe UI"/>
                <w:color w:val="262936"/>
                <w:sz w:val="21"/>
                <w:szCs w:val="21"/>
                <w:shd w:val="clear" w:color="auto" w:fill="FFFFFF"/>
              </w:rPr>
            </w:pPr>
            <w:r w:rsidRPr="00A311F2">
              <w:rPr>
                <w:rFonts w:ascii="Arial Black" w:hAnsi="Arial Black" w:cs="Arial"/>
                <w:b/>
                <w:bCs/>
                <w:color w:val="202124"/>
                <w:sz w:val="21"/>
                <w:szCs w:val="21"/>
                <w:highlight w:val="yellow"/>
                <w:shd w:val="clear" w:color="auto" w:fill="FFFFFF"/>
              </w:rPr>
              <w:t>Greenhouse gas</w:t>
            </w:r>
          </w:p>
        </w:tc>
        <w:tc>
          <w:tcPr>
            <w:tcW w:w="0" w:type="auto"/>
            <w:shd w:val="clear" w:color="auto" w:fill="D9D9D9" w:themeFill="background1" w:themeFillShade="D9"/>
            <w:vAlign w:val="center"/>
          </w:tcPr>
          <w:p w:rsidR="00570034" w:rsidRPr="00A311F2" w:rsidRDefault="00570034" w:rsidP="00570034">
            <w:pPr>
              <w:jc w:val="center"/>
              <w:rPr>
                <w:rFonts w:ascii="Arial Black" w:hAnsi="Arial Black" w:cs="Arial"/>
                <w:color w:val="202124"/>
                <w:sz w:val="21"/>
                <w:szCs w:val="21"/>
                <w:highlight w:val="yellow"/>
                <w:shd w:val="clear" w:color="auto" w:fill="FFFFFF"/>
              </w:rPr>
            </w:pPr>
            <w:r w:rsidRPr="00A311F2">
              <w:rPr>
                <w:rFonts w:ascii="Arial Black" w:hAnsi="Arial Black" w:cs="Arial"/>
                <w:color w:val="202124"/>
                <w:sz w:val="21"/>
                <w:szCs w:val="21"/>
                <w:highlight w:val="yellow"/>
                <w:shd w:val="clear" w:color="auto" w:fill="FFFFFF"/>
              </w:rPr>
              <w:t>Chlorofluorocarbon-12 (CFC-12)</w:t>
            </w:r>
          </w:p>
        </w:tc>
      </w:tr>
      <w:tr w:rsidR="00570034" w:rsidRPr="00570034" w:rsidTr="009D5F45">
        <w:trPr>
          <w:trHeight w:val="567"/>
          <w:jc w:val="center"/>
        </w:trPr>
        <w:tc>
          <w:tcPr>
            <w:tcW w:w="0" w:type="auto"/>
            <w:shd w:val="clear" w:color="auto" w:fill="D9D9D9" w:themeFill="background1" w:themeFillShade="D9"/>
            <w:vAlign w:val="center"/>
          </w:tcPr>
          <w:p w:rsidR="00570034" w:rsidRPr="00570034" w:rsidRDefault="00570034" w:rsidP="00570034">
            <w:pPr>
              <w:jc w:val="center"/>
              <w:rPr>
                <w:rFonts w:ascii="Arial Black" w:hAnsi="Arial Black" w:cs="Segoe UI"/>
                <w:color w:val="262936"/>
                <w:sz w:val="21"/>
                <w:szCs w:val="21"/>
                <w:shd w:val="clear" w:color="auto" w:fill="FFFFFF"/>
              </w:rPr>
            </w:pPr>
            <w:r w:rsidRPr="0069525B">
              <w:rPr>
                <w:rFonts w:ascii="Arial Black" w:hAnsi="Arial Black" w:cs="Segoe UI"/>
                <w:color w:val="262936"/>
                <w:sz w:val="21"/>
                <w:szCs w:val="21"/>
                <w:highlight w:val="cyan"/>
                <w:shd w:val="clear" w:color="auto" w:fill="FFFFFF"/>
              </w:rPr>
              <w:t>Chemical formula</w:t>
            </w:r>
          </w:p>
        </w:tc>
        <w:tc>
          <w:tcPr>
            <w:tcW w:w="0" w:type="auto"/>
            <w:shd w:val="clear" w:color="auto" w:fill="D9D9D9" w:themeFill="background1" w:themeFillShade="D9"/>
            <w:vAlign w:val="center"/>
          </w:tcPr>
          <w:p w:rsidR="00570034" w:rsidRPr="00570034" w:rsidRDefault="0069525B" w:rsidP="00570034">
            <w:pPr>
              <w:jc w:val="center"/>
              <w:rPr>
                <w:rFonts w:ascii="Arial Black" w:hAnsi="Arial Black" w:cs="Arial"/>
                <w:color w:val="202124"/>
                <w:shd w:val="clear" w:color="auto" w:fill="FFFFFF"/>
                <w:vertAlign w:val="subscript"/>
              </w:rPr>
            </w:pPr>
            <w:r w:rsidRPr="0069525B">
              <w:rPr>
                <w:rFonts w:ascii="Arial Black" w:hAnsi="Arial Black" w:cs="Arial"/>
                <w:color w:val="202124"/>
                <w:sz w:val="21"/>
                <w:szCs w:val="21"/>
                <w:highlight w:val="cyan"/>
                <w:shd w:val="clear" w:color="auto" w:fill="FFFFFF"/>
              </w:rPr>
              <w:t>CCL</w:t>
            </w:r>
            <w:r w:rsidRPr="0069525B">
              <w:rPr>
                <w:rFonts w:ascii="Arial Black" w:hAnsi="Arial Black" w:cs="Arial"/>
                <w:color w:val="202124"/>
                <w:highlight w:val="cyan"/>
                <w:shd w:val="clear" w:color="auto" w:fill="FFFFFF"/>
                <w:vertAlign w:val="subscript"/>
              </w:rPr>
              <w:t>2</w:t>
            </w:r>
            <w:r w:rsidRPr="0069525B">
              <w:rPr>
                <w:rFonts w:ascii="Arial Black" w:hAnsi="Arial Black" w:cs="Arial"/>
                <w:color w:val="202124"/>
                <w:sz w:val="21"/>
                <w:szCs w:val="21"/>
                <w:highlight w:val="cyan"/>
                <w:shd w:val="clear" w:color="auto" w:fill="FFFFFF"/>
              </w:rPr>
              <w:t>F</w:t>
            </w:r>
            <w:r w:rsidRPr="0069525B">
              <w:rPr>
                <w:rFonts w:ascii="Arial Black" w:hAnsi="Arial Black" w:cs="Arial"/>
                <w:color w:val="202124"/>
                <w:highlight w:val="cyan"/>
                <w:shd w:val="clear" w:color="auto" w:fill="FFFFFF"/>
                <w:vertAlign w:val="subscript"/>
              </w:rPr>
              <w:t>2</w:t>
            </w:r>
          </w:p>
        </w:tc>
      </w:tr>
      <w:tr w:rsidR="00570034" w:rsidRPr="00570034" w:rsidTr="009D5F45">
        <w:trPr>
          <w:trHeight w:val="567"/>
          <w:jc w:val="center"/>
        </w:trPr>
        <w:tc>
          <w:tcPr>
            <w:tcW w:w="0" w:type="auto"/>
            <w:shd w:val="clear" w:color="auto" w:fill="D9D9D9" w:themeFill="background1" w:themeFillShade="D9"/>
            <w:vAlign w:val="center"/>
          </w:tcPr>
          <w:p w:rsidR="00570034" w:rsidRPr="0069525B" w:rsidRDefault="00570034" w:rsidP="00570034">
            <w:pPr>
              <w:jc w:val="center"/>
              <w:rPr>
                <w:rFonts w:ascii="Arial Black" w:hAnsi="Arial Black" w:cs="Segoe UI"/>
                <w:color w:val="262936"/>
                <w:sz w:val="21"/>
                <w:szCs w:val="21"/>
                <w:highlight w:val="cyan"/>
                <w:shd w:val="clear" w:color="auto" w:fill="FFFFFF"/>
              </w:rPr>
            </w:pPr>
            <w:r w:rsidRPr="0069525B">
              <w:rPr>
                <w:rFonts w:ascii="Arial Black" w:hAnsi="Arial Black" w:cs="Segoe UI"/>
                <w:color w:val="262936"/>
                <w:sz w:val="21"/>
                <w:szCs w:val="21"/>
                <w:highlight w:val="cyan"/>
                <w:shd w:val="clear" w:color="auto" w:fill="FFFFFF"/>
              </w:rPr>
              <w:t>Hydrofluorocarbon-23 (HFC-23)</w:t>
            </w:r>
          </w:p>
        </w:tc>
        <w:tc>
          <w:tcPr>
            <w:tcW w:w="0" w:type="auto"/>
            <w:shd w:val="clear" w:color="auto" w:fill="D9D9D9" w:themeFill="background1" w:themeFillShade="D9"/>
            <w:vAlign w:val="center"/>
          </w:tcPr>
          <w:p w:rsidR="00570034" w:rsidRPr="00570034" w:rsidRDefault="00570034" w:rsidP="00570034">
            <w:pPr>
              <w:jc w:val="center"/>
              <w:rPr>
                <w:rFonts w:ascii="Arial Black" w:hAnsi="Arial Black" w:cs="Segoe UI"/>
                <w:color w:val="262936"/>
                <w:sz w:val="16"/>
                <w:szCs w:val="16"/>
                <w:shd w:val="clear" w:color="auto" w:fill="FFFFFF"/>
                <w:vertAlign w:val="subscript"/>
              </w:rPr>
            </w:pPr>
            <w:r w:rsidRPr="0069525B">
              <w:rPr>
                <w:rFonts w:ascii="Arial Black" w:hAnsi="Arial Black" w:cs="Segoe UI"/>
                <w:color w:val="262936"/>
                <w:sz w:val="21"/>
                <w:szCs w:val="21"/>
                <w:highlight w:val="cyan"/>
                <w:shd w:val="clear" w:color="auto" w:fill="FFFFFF"/>
              </w:rPr>
              <w:t>CHF</w:t>
            </w:r>
            <w:r w:rsidRPr="0069525B">
              <w:rPr>
                <w:rFonts w:ascii="Arial Black" w:hAnsi="Arial Black" w:cs="Segoe UI"/>
                <w:color w:val="262936"/>
                <w:sz w:val="16"/>
                <w:szCs w:val="16"/>
                <w:highlight w:val="cyan"/>
                <w:shd w:val="clear" w:color="auto" w:fill="FFFFFF"/>
                <w:vertAlign w:val="subscript"/>
              </w:rPr>
              <w:t>3</w:t>
            </w:r>
          </w:p>
        </w:tc>
      </w:tr>
      <w:tr w:rsidR="00570034" w:rsidRPr="00570034" w:rsidTr="009D5F45">
        <w:trPr>
          <w:trHeight w:val="567"/>
          <w:jc w:val="center"/>
        </w:trPr>
        <w:tc>
          <w:tcPr>
            <w:tcW w:w="0" w:type="auto"/>
            <w:shd w:val="clear" w:color="auto" w:fill="D9D9D9" w:themeFill="background1" w:themeFillShade="D9"/>
            <w:vAlign w:val="center"/>
          </w:tcPr>
          <w:p w:rsidR="00570034" w:rsidRPr="00570034" w:rsidRDefault="00570034" w:rsidP="00570034">
            <w:pPr>
              <w:jc w:val="center"/>
              <w:rPr>
                <w:rFonts w:ascii="Arial Black" w:hAnsi="Arial Black" w:cs="Segoe UI"/>
                <w:color w:val="262936"/>
                <w:sz w:val="21"/>
                <w:szCs w:val="21"/>
                <w:shd w:val="clear" w:color="auto" w:fill="FFFFFF"/>
              </w:rPr>
            </w:pPr>
            <w:proofErr w:type="spellStart"/>
            <w:r w:rsidRPr="0069525B">
              <w:rPr>
                <w:rFonts w:ascii="Arial Black" w:hAnsi="Arial Black" w:cs="Segoe UI"/>
                <w:color w:val="262936"/>
                <w:sz w:val="21"/>
                <w:szCs w:val="21"/>
                <w:highlight w:val="cyan"/>
                <w:shd w:val="clear" w:color="auto" w:fill="FFFFFF"/>
              </w:rPr>
              <w:t>Sulfur</w:t>
            </w:r>
            <w:proofErr w:type="spellEnd"/>
            <w:r w:rsidRPr="0069525B">
              <w:rPr>
                <w:rFonts w:ascii="Arial Black" w:hAnsi="Arial Black" w:cs="Segoe UI"/>
                <w:color w:val="262936"/>
                <w:sz w:val="21"/>
                <w:szCs w:val="21"/>
                <w:highlight w:val="cyan"/>
                <w:shd w:val="clear" w:color="auto" w:fill="FFFFFF"/>
              </w:rPr>
              <w:t xml:space="preserve"> Hexafluoride</w:t>
            </w:r>
          </w:p>
        </w:tc>
        <w:tc>
          <w:tcPr>
            <w:tcW w:w="0" w:type="auto"/>
            <w:shd w:val="clear" w:color="auto" w:fill="D9D9D9" w:themeFill="background1" w:themeFillShade="D9"/>
            <w:vAlign w:val="center"/>
          </w:tcPr>
          <w:p w:rsidR="00570034" w:rsidRPr="00570034" w:rsidRDefault="00570034" w:rsidP="00570034">
            <w:pPr>
              <w:jc w:val="center"/>
              <w:rPr>
                <w:rFonts w:ascii="Arial Black" w:hAnsi="Arial Black" w:cs="Segoe UI"/>
                <w:color w:val="262936"/>
                <w:sz w:val="16"/>
                <w:szCs w:val="16"/>
                <w:shd w:val="clear" w:color="auto" w:fill="FFFFFF"/>
                <w:vertAlign w:val="subscript"/>
              </w:rPr>
            </w:pPr>
            <w:r w:rsidRPr="0069525B">
              <w:rPr>
                <w:rFonts w:ascii="Arial Black" w:hAnsi="Arial Black" w:cs="Segoe UI"/>
                <w:color w:val="262936"/>
                <w:sz w:val="21"/>
                <w:szCs w:val="21"/>
                <w:highlight w:val="cyan"/>
                <w:shd w:val="clear" w:color="auto" w:fill="FFFFFF"/>
              </w:rPr>
              <w:t>SF</w:t>
            </w:r>
            <w:r w:rsidRPr="0069525B">
              <w:rPr>
                <w:rFonts w:ascii="Arial Black" w:hAnsi="Arial Black" w:cs="Segoe UI"/>
                <w:color w:val="262936"/>
                <w:sz w:val="16"/>
                <w:szCs w:val="16"/>
                <w:highlight w:val="cyan"/>
                <w:shd w:val="clear" w:color="auto" w:fill="FFFFFF"/>
                <w:vertAlign w:val="subscript"/>
              </w:rPr>
              <w:t>6</w:t>
            </w:r>
          </w:p>
        </w:tc>
      </w:tr>
      <w:tr w:rsidR="00570034" w:rsidRPr="00570034" w:rsidTr="009D5F45">
        <w:trPr>
          <w:trHeight w:val="567"/>
          <w:jc w:val="center"/>
        </w:trPr>
        <w:tc>
          <w:tcPr>
            <w:tcW w:w="0" w:type="auto"/>
            <w:shd w:val="clear" w:color="auto" w:fill="D9D9D9" w:themeFill="background1" w:themeFillShade="D9"/>
            <w:vAlign w:val="center"/>
          </w:tcPr>
          <w:p w:rsidR="00570034" w:rsidRPr="00570034" w:rsidRDefault="00570034" w:rsidP="00570034">
            <w:pPr>
              <w:jc w:val="center"/>
              <w:rPr>
                <w:rFonts w:ascii="Arial Black" w:hAnsi="Arial Black" w:cs="Segoe UI"/>
                <w:color w:val="262936"/>
                <w:sz w:val="21"/>
                <w:szCs w:val="21"/>
                <w:shd w:val="clear" w:color="auto" w:fill="FFFFFF"/>
              </w:rPr>
            </w:pPr>
            <w:r w:rsidRPr="0069525B">
              <w:rPr>
                <w:rFonts w:ascii="Arial Black" w:hAnsi="Arial Black" w:cs="Segoe UI"/>
                <w:color w:val="262936"/>
                <w:sz w:val="21"/>
                <w:szCs w:val="21"/>
                <w:highlight w:val="cyan"/>
                <w:shd w:val="clear" w:color="auto" w:fill="FFFFFF"/>
              </w:rPr>
              <w:t xml:space="preserve">Nitrogen </w:t>
            </w:r>
            <w:proofErr w:type="spellStart"/>
            <w:r w:rsidRPr="0069525B">
              <w:rPr>
                <w:rFonts w:ascii="Arial Black" w:hAnsi="Arial Black" w:cs="Segoe UI"/>
                <w:color w:val="262936"/>
                <w:sz w:val="21"/>
                <w:szCs w:val="21"/>
                <w:highlight w:val="cyan"/>
                <w:shd w:val="clear" w:color="auto" w:fill="FFFFFF"/>
              </w:rPr>
              <w:t>Trifluoride</w:t>
            </w:r>
            <w:proofErr w:type="spellEnd"/>
          </w:p>
        </w:tc>
        <w:tc>
          <w:tcPr>
            <w:tcW w:w="0" w:type="auto"/>
            <w:shd w:val="clear" w:color="auto" w:fill="D9D9D9" w:themeFill="background1" w:themeFillShade="D9"/>
            <w:vAlign w:val="center"/>
          </w:tcPr>
          <w:p w:rsidR="00570034" w:rsidRPr="00570034" w:rsidRDefault="00570034" w:rsidP="00570034">
            <w:pPr>
              <w:jc w:val="center"/>
              <w:rPr>
                <w:rFonts w:ascii="Arial Black" w:hAnsi="Arial Black" w:cs="Segoe UI"/>
                <w:color w:val="262936"/>
                <w:sz w:val="21"/>
                <w:szCs w:val="21"/>
                <w:shd w:val="clear" w:color="auto" w:fill="FFFFFF"/>
              </w:rPr>
            </w:pPr>
            <w:r w:rsidRPr="0069525B">
              <w:rPr>
                <w:rFonts w:ascii="Arial Black" w:hAnsi="Arial Black" w:cs="Segoe UI"/>
                <w:color w:val="262936"/>
                <w:sz w:val="21"/>
                <w:szCs w:val="21"/>
                <w:highlight w:val="cyan"/>
                <w:shd w:val="clear" w:color="auto" w:fill="FFFFFF"/>
              </w:rPr>
              <w:t>NF</w:t>
            </w:r>
            <w:r w:rsidRPr="0069525B">
              <w:rPr>
                <w:rFonts w:ascii="Arial Black" w:hAnsi="Arial Black" w:cs="Segoe UI"/>
                <w:color w:val="262936"/>
                <w:sz w:val="16"/>
                <w:szCs w:val="16"/>
                <w:highlight w:val="cyan"/>
                <w:shd w:val="clear" w:color="auto" w:fill="FFFFFF"/>
                <w:vertAlign w:val="subscript"/>
              </w:rPr>
              <w:t>3</w:t>
            </w:r>
          </w:p>
        </w:tc>
      </w:tr>
    </w:tbl>
    <w:p w:rsidR="00A311F2" w:rsidRDefault="00A311F2" w:rsidP="00A311F2">
      <w:pPr>
        <w:pStyle w:val="Heading2"/>
        <w:shd w:val="clear" w:color="auto" w:fill="FFFFFF"/>
        <w:spacing w:before="240" w:line="360" w:lineRule="auto"/>
        <w:ind w:left="720"/>
        <w:rPr>
          <w:rFonts w:ascii="Georgia" w:hAnsi="Georgia"/>
          <w:color w:val="1B1B1B"/>
        </w:rPr>
      </w:pPr>
    </w:p>
    <w:p w:rsidR="00A311F2" w:rsidRPr="00A311F2" w:rsidRDefault="00A311F2" w:rsidP="009D5F45">
      <w:pPr>
        <w:pStyle w:val="Heading2"/>
        <w:numPr>
          <w:ilvl w:val="0"/>
          <w:numId w:val="10"/>
        </w:numPr>
        <w:shd w:val="clear" w:color="auto" w:fill="FFFFFF"/>
        <w:spacing w:before="240" w:line="360" w:lineRule="auto"/>
        <w:ind w:left="1077" w:hanging="357"/>
        <w:rPr>
          <w:rFonts w:ascii="Arial Black" w:hAnsi="Arial Black"/>
          <w:i/>
          <w:iCs/>
          <w:color w:val="1B1B1B"/>
        </w:rPr>
      </w:pPr>
      <w:r w:rsidRPr="00A311F2">
        <w:rPr>
          <w:rFonts w:ascii="Arial Black" w:hAnsi="Arial Black"/>
          <w:i/>
          <w:iCs/>
          <w:color w:val="1B1B1B"/>
          <w:sz w:val="36"/>
          <w:szCs w:val="36"/>
          <w:u w:val="double"/>
        </w:rPr>
        <w:t>Electricity</w:t>
      </w:r>
      <w:r w:rsidRPr="00A311F2">
        <w:rPr>
          <w:rFonts w:ascii="Arial Black" w:hAnsi="Arial Black"/>
          <w:i/>
          <w:iCs/>
          <w:color w:val="1B1B1B"/>
          <w:sz w:val="36"/>
          <w:szCs w:val="36"/>
        </w:rPr>
        <w:t xml:space="preserve"> </w:t>
      </w:r>
      <w:r w:rsidRPr="00A311F2">
        <w:rPr>
          <w:rFonts w:ascii="Arial Black" w:hAnsi="Arial Black"/>
          <w:i/>
          <w:iCs/>
          <w:color w:val="1B1B1B"/>
          <w:sz w:val="36"/>
          <w:szCs w:val="36"/>
          <w:u w:val="double"/>
        </w:rPr>
        <w:t>Reductions</w:t>
      </w:r>
      <w:r w:rsidRPr="00A311F2">
        <w:rPr>
          <w:rFonts w:ascii="Arial Black" w:hAnsi="Arial Black"/>
          <w:i/>
          <w:iCs/>
          <w:color w:val="1B1B1B"/>
          <w:sz w:val="36"/>
          <w:szCs w:val="36"/>
        </w:rPr>
        <w:t xml:space="preserve"> </w:t>
      </w:r>
      <w:r w:rsidRPr="00A311F2">
        <w:rPr>
          <w:rFonts w:ascii="Arial Black" w:hAnsi="Arial Black"/>
          <w:i/>
          <w:iCs/>
          <w:color w:val="1B1B1B"/>
          <w:sz w:val="36"/>
          <w:szCs w:val="36"/>
          <w:u w:val="double"/>
        </w:rPr>
        <w:t>(kilowatt-hours)</w:t>
      </w:r>
    </w:p>
    <w:p w:rsidR="00A311F2" w:rsidRPr="00A311F2" w:rsidRDefault="00A311F2" w:rsidP="0069525B">
      <w:pPr>
        <w:pStyle w:val="NormalWeb"/>
        <w:shd w:val="clear" w:color="auto" w:fill="FFFFFF"/>
        <w:spacing w:before="0" w:beforeAutospacing="0" w:line="276" w:lineRule="auto"/>
        <w:ind w:left="1080"/>
        <w:rPr>
          <w:color w:val="1B1B1B"/>
          <w:sz w:val="31"/>
          <w:szCs w:val="31"/>
        </w:rPr>
      </w:pPr>
      <w:r w:rsidRPr="00A311F2">
        <w:rPr>
          <w:color w:val="1B1B1B"/>
          <w:sz w:val="31"/>
          <w:szCs w:val="31"/>
        </w:rPr>
        <w:t xml:space="preserve">The Greenhouse Gas Equivalencies Calculator uses the </w:t>
      </w:r>
      <w:proofErr w:type="spellStart"/>
      <w:r w:rsidRPr="00A311F2">
        <w:rPr>
          <w:color w:val="1B1B1B"/>
          <w:sz w:val="31"/>
          <w:szCs w:val="31"/>
        </w:rPr>
        <w:t>AVoided</w:t>
      </w:r>
      <w:proofErr w:type="spellEnd"/>
      <w:r w:rsidRPr="00A311F2">
        <w:rPr>
          <w:color w:val="1B1B1B"/>
          <w:sz w:val="31"/>
          <w:szCs w:val="31"/>
        </w:rPr>
        <w:t xml:space="preserve"> Emissions and </w:t>
      </w:r>
      <w:proofErr w:type="spellStart"/>
      <w:r w:rsidRPr="00A311F2">
        <w:rPr>
          <w:color w:val="1B1B1B"/>
          <w:sz w:val="31"/>
          <w:szCs w:val="31"/>
        </w:rPr>
        <w:t>geneRation</w:t>
      </w:r>
      <w:proofErr w:type="spellEnd"/>
      <w:r w:rsidRPr="00A311F2">
        <w:rPr>
          <w:color w:val="1B1B1B"/>
          <w:sz w:val="31"/>
          <w:szCs w:val="31"/>
        </w:rPr>
        <w:t xml:space="preserve"> Tool (AVERT) U.S. national weighted average CO</w:t>
      </w:r>
      <w:r w:rsidRPr="00A311F2">
        <w:rPr>
          <w:color w:val="1B1B1B"/>
          <w:sz w:val="31"/>
          <w:szCs w:val="31"/>
          <w:vertAlign w:val="subscript"/>
        </w:rPr>
        <w:t>2</w:t>
      </w:r>
      <w:r w:rsidRPr="00A311F2">
        <w:rPr>
          <w:color w:val="1B1B1B"/>
          <w:sz w:val="31"/>
          <w:szCs w:val="31"/>
        </w:rPr>
        <w:t> marginal emission rate to convert reductions of kilowatt-hours into avoided units of carbon dioxide emissions.</w:t>
      </w:r>
    </w:p>
    <w:p w:rsidR="00A311F2" w:rsidRPr="00A311F2" w:rsidRDefault="00A311F2" w:rsidP="0069525B">
      <w:pPr>
        <w:pStyle w:val="ListParagraph"/>
        <w:numPr>
          <w:ilvl w:val="0"/>
          <w:numId w:val="10"/>
        </w:numPr>
        <w:shd w:val="clear" w:color="auto" w:fill="FFFFFF"/>
        <w:spacing w:before="240" w:after="100" w:afterAutospacing="1" w:line="240" w:lineRule="auto"/>
        <w:ind w:left="1080"/>
        <w:outlineLvl w:val="2"/>
        <w:rPr>
          <w:rFonts w:ascii="Arial Black" w:eastAsia="Times New Roman" w:hAnsi="Arial Black" w:cs="Times New Roman"/>
          <w:b/>
          <w:bCs/>
          <w:i/>
          <w:iCs/>
          <w:color w:val="1B1B1B"/>
          <w:sz w:val="36"/>
          <w:szCs w:val="36"/>
          <w:lang w:eastAsia="en-IN"/>
        </w:rPr>
      </w:pPr>
      <w:r w:rsidRPr="00A311F2">
        <w:rPr>
          <w:rFonts w:ascii="Arial Black" w:eastAsia="Times New Roman" w:hAnsi="Arial Black" w:cs="Times New Roman"/>
          <w:b/>
          <w:bCs/>
          <w:i/>
          <w:iCs/>
          <w:color w:val="1B1B1B"/>
          <w:sz w:val="36"/>
          <w:szCs w:val="36"/>
          <w:u w:val="double"/>
          <w:lang w:eastAsia="en-IN"/>
        </w:rPr>
        <w:t>Emission</w:t>
      </w:r>
      <w:r w:rsidRPr="00A311F2">
        <w:rPr>
          <w:rFonts w:ascii="Arial Black" w:eastAsia="Times New Roman" w:hAnsi="Arial Black" w:cs="Times New Roman"/>
          <w:b/>
          <w:bCs/>
          <w:i/>
          <w:iCs/>
          <w:color w:val="1B1B1B"/>
          <w:sz w:val="36"/>
          <w:szCs w:val="36"/>
          <w:lang w:eastAsia="en-IN"/>
        </w:rPr>
        <w:t xml:space="preserve"> </w:t>
      </w:r>
      <w:r w:rsidRPr="00A311F2">
        <w:rPr>
          <w:rFonts w:ascii="Arial Black" w:eastAsia="Times New Roman" w:hAnsi="Arial Black" w:cs="Times New Roman"/>
          <w:b/>
          <w:bCs/>
          <w:i/>
          <w:iCs/>
          <w:color w:val="1B1B1B"/>
          <w:sz w:val="36"/>
          <w:szCs w:val="36"/>
          <w:u w:val="double"/>
          <w:lang w:eastAsia="en-IN"/>
        </w:rPr>
        <w:t>Factor</w:t>
      </w:r>
    </w:p>
    <w:p w:rsidR="00A311F2" w:rsidRPr="00A311F2" w:rsidRDefault="00A311F2" w:rsidP="0069525B">
      <w:pPr>
        <w:shd w:val="clear" w:color="auto" w:fill="FFFFFF"/>
        <w:spacing w:after="100" w:afterAutospacing="1" w:line="240" w:lineRule="auto"/>
        <w:ind w:left="1080"/>
        <w:rPr>
          <w:rFonts w:ascii="Helvetica" w:eastAsia="Times New Roman" w:hAnsi="Helvetica" w:cs="Times New Roman"/>
          <w:color w:val="1B1B1B"/>
          <w:sz w:val="23"/>
          <w:szCs w:val="23"/>
          <w:lang w:eastAsia="en-IN"/>
        </w:rPr>
      </w:pPr>
      <w:r w:rsidRPr="00A311F2">
        <w:rPr>
          <w:rFonts w:ascii="Times New Roman" w:eastAsia="Times New Roman" w:hAnsi="Times New Roman" w:cs="Times New Roman"/>
          <w:b/>
          <w:bCs/>
          <w:color w:val="1B1B1B"/>
          <w:sz w:val="31"/>
          <w:szCs w:val="31"/>
          <w:lang w:eastAsia="en-IN"/>
        </w:rPr>
        <w:t xml:space="preserve">1,562.4 lbs </w:t>
      </w:r>
      <w:r w:rsidR="009D5F45">
        <w:rPr>
          <w:rFonts w:ascii="Times New Roman" w:eastAsia="Times New Roman" w:hAnsi="Times New Roman" w:cs="Times New Roman"/>
          <w:b/>
          <w:bCs/>
          <w:color w:val="1B1B1B"/>
          <w:sz w:val="31"/>
          <w:szCs w:val="31"/>
          <w:lang w:eastAsia="en-IN"/>
        </w:rPr>
        <w:t>CO2</w:t>
      </w:r>
      <w:r w:rsidRPr="00A311F2">
        <w:rPr>
          <w:rFonts w:ascii="Times New Roman" w:eastAsia="Times New Roman" w:hAnsi="Times New Roman" w:cs="Times New Roman"/>
          <w:b/>
          <w:bCs/>
          <w:color w:val="1B1B1B"/>
          <w:sz w:val="31"/>
          <w:szCs w:val="31"/>
          <w:vertAlign w:val="subscript"/>
          <w:lang w:eastAsia="en-IN"/>
        </w:rPr>
        <w:t>2</w:t>
      </w:r>
      <w:r w:rsidRPr="00A311F2">
        <w:rPr>
          <w:rFonts w:ascii="Times New Roman" w:eastAsia="Times New Roman" w:hAnsi="Times New Roman" w:cs="Times New Roman"/>
          <w:b/>
          <w:bCs/>
          <w:color w:val="1B1B1B"/>
          <w:sz w:val="31"/>
          <w:szCs w:val="31"/>
          <w:lang w:eastAsia="en-IN"/>
        </w:rPr>
        <w:t>/</w:t>
      </w:r>
      <w:proofErr w:type="spellStart"/>
      <w:r w:rsidRPr="00A311F2">
        <w:rPr>
          <w:rFonts w:ascii="Times New Roman" w:eastAsia="Times New Roman" w:hAnsi="Times New Roman" w:cs="Times New Roman"/>
          <w:b/>
          <w:bCs/>
          <w:color w:val="1B1B1B"/>
          <w:sz w:val="31"/>
          <w:szCs w:val="31"/>
          <w:lang w:eastAsia="en-IN"/>
        </w:rPr>
        <w:t>MWh</w:t>
      </w:r>
      <w:proofErr w:type="spellEnd"/>
      <w:r w:rsidRPr="00A311F2">
        <w:rPr>
          <w:rFonts w:ascii="Times New Roman" w:eastAsia="Times New Roman" w:hAnsi="Times New Roman" w:cs="Times New Roman"/>
          <w:b/>
          <w:bCs/>
          <w:color w:val="1B1B1B"/>
          <w:sz w:val="31"/>
          <w:szCs w:val="31"/>
          <w:lang w:eastAsia="en-IN"/>
        </w:rPr>
        <w:t xml:space="preserve"> × (4.536 × 10</w:t>
      </w:r>
      <w:r w:rsidRPr="00A311F2">
        <w:rPr>
          <w:rFonts w:ascii="Times New Roman" w:eastAsia="Times New Roman" w:hAnsi="Times New Roman" w:cs="Times New Roman"/>
          <w:b/>
          <w:bCs/>
          <w:color w:val="1B1B1B"/>
          <w:sz w:val="31"/>
          <w:szCs w:val="31"/>
          <w:vertAlign w:val="superscript"/>
          <w:lang w:eastAsia="en-IN"/>
        </w:rPr>
        <w:t>-4</w:t>
      </w:r>
      <w:r w:rsidRPr="00A311F2">
        <w:rPr>
          <w:rFonts w:ascii="Times New Roman" w:eastAsia="Times New Roman" w:hAnsi="Times New Roman" w:cs="Times New Roman"/>
          <w:b/>
          <w:bCs/>
          <w:color w:val="1B1B1B"/>
          <w:sz w:val="31"/>
          <w:szCs w:val="31"/>
          <w:lang w:eastAsia="en-IN"/>
        </w:rPr>
        <w:t xml:space="preserve"> metric tons/lb) × 0.001 </w:t>
      </w:r>
      <w:proofErr w:type="spellStart"/>
      <w:r w:rsidRPr="00A311F2">
        <w:rPr>
          <w:rFonts w:ascii="Times New Roman" w:eastAsia="Times New Roman" w:hAnsi="Times New Roman" w:cs="Times New Roman"/>
          <w:b/>
          <w:bCs/>
          <w:color w:val="1B1B1B"/>
          <w:sz w:val="31"/>
          <w:szCs w:val="31"/>
          <w:lang w:eastAsia="en-IN"/>
        </w:rPr>
        <w:t>MWh</w:t>
      </w:r>
      <w:proofErr w:type="spellEnd"/>
      <w:r w:rsidRPr="00A311F2">
        <w:rPr>
          <w:rFonts w:ascii="Times New Roman" w:eastAsia="Times New Roman" w:hAnsi="Times New Roman" w:cs="Times New Roman"/>
          <w:b/>
          <w:bCs/>
          <w:color w:val="1B1B1B"/>
          <w:sz w:val="31"/>
          <w:szCs w:val="31"/>
          <w:lang w:eastAsia="en-IN"/>
        </w:rPr>
        <w:t>/kWh = 7.09 × 10</w:t>
      </w:r>
      <w:r w:rsidRPr="00A311F2">
        <w:rPr>
          <w:rFonts w:ascii="Times New Roman" w:eastAsia="Times New Roman" w:hAnsi="Times New Roman" w:cs="Times New Roman"/>
          <w:b/>
          <w:bCs/>
          <w:color w:val="1B1B1B"/>
          <w:sz w:val="31"/>
          <w:szCs w:val="31"/>
          <w:vertAlign w:val="superscript"/>
          <w:lang w:eastAsia="en-IN"/>
        </w:rPr>
        <w:t>-4</w:t>
      </w:r>
      <w:r w:rsidRPr="00A311F2">
        <w:rPr>
          <w:rFonts w:ascii="Times New Roman" w:eastAsia="Times New Roman" w:hAnsi="Times New Roman" w:cs="Times New Roman"/>
          <w:b/>
          <w:bCs/>
          <w:color w:val="1B1B1B"/>
          <w:sz w:val="31"/>
          <w:szCs w:val="31"/>
          <w:lang w:eastAsia="en-IN"/>
        </w:rPr>
        <w:t> metric tons CO</w:t>
      </w:r>
      <w:r w:rsidRPr="00A311F2">
        <w:rPr>
          <w:rFonts w:ascii="Times New Roman" w:eastAsia="Times New Roman" w:hAnsi="Times New Roman" w:cs="Times New Roman"/>
          <w:b/>
          <w:bCs/>
          <w:color w:val="1B1B1B"/>
          <w:sz w:val="31"/>
          <w:szCs w:val="31"/>
          <w:vertAlign w:val="subscript"/>
          <w:lang w:eastAsia="en-IN"/>
        </w:rPr>
        <w:t>2</w:t>
      </w:r>
      <w:r w:rsidRPr="00A311F2">
        <w:rPr>
          <w:rFonts w:ascii="Times New Roman" w:eastAsia="Times New Roman" w:hAnsi="Times New Roman" w:cs="Times New Roman"/>
          <w:b/>
          <w:bCs/>
          <w:color w:val="1B1B1B"/>
          <w:sz w:val="31"/>
          <w:szCs w:val="31"/>
          <w:lang w:eastAsia="en-IN"/>
        </w:rPr>
        <w:t>/</w:t>
      </w:r>
      <w:proofErr w:type="gramStart"/>
      <w:r w:rsidRPr="00A311F2">
        <w:rPr>
          <w:rFonts w:ascii="Times New Roman" w:eastAsia="Times New Roman" w:hAnsi="Times New Roman" w:cs="Times New Roman"/>
          <w:b/>
          <w:bCs/>
          <w:color w:val="1B1B1B"/>
          <w:sz w:val="31"/>
          <w:szCs w:val="31"/>
          <w:lang w:eastAsia="en-IN"/>
        </w:rPr>
        <w:t>kWh</w:t>
      </w:r>
      <w:proofErr w:type="gramEnd"/>
      <w:r w:rsidRPr="00A311F2">
        <w:rPr>
          <w:rFonts w:ascii="Helvetica" w:eastAsia="Times New Roman" w:hAnsi="Helvetica" w:cs="Times New Roman"/>
          <w:color w:val="1B1B1B"/>
          <w:sz w:val="23"/>
          <w:szCs w:val="23"/>
          <w:lang w:eastAsia="en-IN"/>
        </w:rPr>
        <w:br/>
        <w:t>(AVERT, U.S. national weighted average CO</w:t>
      </w:r>
      <w:r w:rsidRPr="00A311F2">
        <w:rPr>
          <w:rFonts w:ascii="Helvetica" w:eastAsia="Times New Roman" w:hAnsi="Helvetica" w:cs="Times New Roman"/>
          <w:color w:val="1B1B1B"/>
          <w:sz w:val="18"/>
          <w:szCs w:val="18"/>
          <w:lang w:eastAsia="en-IN"/>
        </w:rPr>
        <w:t>2</w:t>
      </w:r>
      <w:r w:rsidRPr="00A311F2">
        <w:rPr>
          <w:rFonts w:ascii="Helvetica" w:eastAsia="Times New Roman" w:hAnsi="Helvetica" w:cs="Times New Roman"/>
          <w:color w:val="1B1B1B"/>
          <w:sz w:val="23"/>
          <w:szCs w:val="23"/>
          <w:lang w:eastAsia="en-IN"/>
        </w:rPr>
        <w:t> marginal emission rate, year 2019 data)</w:t>
      </w:r>
    </w:p>
    <w:p w:rsidR="00A311F2" w:rsidRPr="0069525B" w:rsidRDefault="00A311F2" w:rsidP="0069525B">
      <w:pPr>
        <w:pStyle w:val="ListParagraph"/>
        <w:numPr>
          <w:ilvl w:val="0"/>
          <w:numId w:val="14"/>
        </w:numPr>
        <w:shd w:val="clear" w:color="auto" w:fill="FFFFFF"/>
        <w:spacing w:after="100" w:afterAutospacing="1" w:line="240" w:lineRule="auto"/>
        <w:rPr>
          <w:rFonts w:ascii="Elephant" w:eastAsia="Times New Roman" w:hAnsi="Elephant" w:cs="Times New Roman"/>
          <w:b/>
          <w:bCs/>
          <w:color w:val="1B1B1B"/>
          <w:sz w:val="32"/>
          <w:szCs w:val="32"/>
          <w:u w:val="double"/>
          <w:lang w:eastAsia="en-IN"/>
        </w:rPr>
      </w:pPr>
      <w:r w:rsidRPr="0069525B">
        <w:rPr>
          <w:rFonts w:ascii="Elephant" w:eastAsia="Times New Roman" w:hAnsi="Elephant" w:cs="Times New Roman"/>
          <w:b/>
          <w:bCs/>
          <w:color w:val="1B1B1B"/>
          <w:sz w:val="32"/>
          <w:szCs w:val="32"/>
          <w:u w:val="double"/>
          <w:lang w:eastAsia="en-IN"/>
        </w:rPr>
        <w:lastRenderedPageBreak/>
        <w:t>Notes</w:t>
      </w:r>
      <w:r w:rsidR="0069525B" w:rsidRPr="0069525B">
        <w:rPr>
          <w:rFonts w:ascii="Elephant" w:eastAsia="Times New Roman" w:hAnsi="Elephant" w:cs="Times New Roman"/>
          <w:b/>
          <w:bCs/>
          <w:color w:val="1B1B1B"/>
          <w:sz w:val="32"/>
          <w:szCs w:val="32"/>
          <w:u w:val="double"/>
          <w:lang w:eastAsia="en-IN"/>
        </w:rPr>
        <w:t>:</w:t>
      </w:r>
    </w:p>
    <w:p w:rsidR="00A311F2" w:rsidRPr="00A311F2" w:rsidRDefault="00A311F2" w:rsidP="0069525B">
      <w:pPr>
        <w:numPr>
          <w:ilvl w:val="0"/>
          <w:numId w:val="13"/>
        </w:numPr>
        <w:shd w:val="clear" w:color="auto" w:fill="FFFFFF"/>
        <w:tabs>
          <w:tab w:val="clear" w:pos="720"/>
          <w:tab w:val="num" w:pos="360"/>
        </w:tabs>
        <w:spacing w:before="100" w:beforeAutospacing="1" w:after="60"/>
        <w:ind w:left="360"/>
        <w:rPr>
          <w:rFonts w:ascii="Times New Roman" w:eastAsia="Times New Roman" w:hAnsi="Times New Roman" w:cs="Times New Roman"/>
          <w:color w:val="1B1B1B"/>
          <w:sz w:val="28"/>
          <w:szCs w:val="28"/>
          <w:lang w:eastAsia="en-IN"/>
        </w:rPr>
      </w:pPr>
      <w:r w:rsidRPr="00A311F2">
        <w:rPr>
          <w:rFonts w:ascii="Times New Roman" w:eastAsia="Times New Roman" w:hAnsi="Times New Roman" w:cs="Times New Roman"/>
          <w:color w:val="1B1B1B"/>
          <w:sz w:val="28"/>
          <w:szCs w:val="28"/>
          <w:lang w:eastAsia="en-IN"/>
        </w:rPr>
        <w:t xml:space="preserve">This </w:t>
      </w:r>
      <w:r w:rsidR="0069525B" w:rsidRPr="0069525B">
        <w:rPr>
          <w:rFonts w:ascii="Times New Roman" w:eastAsia="Times New Roman" w:hAnsi="Times New Roman" w:cs="Times New Roman"/>
          <w:color w:val="1B1B1B"/>
          <w:sz w:val="28"/>
          <w:szCs w:val="28"/>
          <w:lang w:eastAsia="en-IN"/>
        </w:rPr>
        <w:t xml:space="preserve">Calculation Does Not Include Any Greenhouse Gases Other Than </w:t>
      </w:r>
      <w:r w:rsidRPr="00A311F2">
        <w:rPr>
          <w:rFonts w:ascii="Times New Roman" w:eastAsia="Times New Roman" w:hAnsi="Times New Roman" w:cs="Times New Roman"/>
          <w:color w:val="1B1B1B"/>
          <w:sz w:val="28"/>
          <w:szCs w:val="28"/>
          <w:lang w:eastAsia="en-IN"/>
        </w:rPr>
        <w:t>CO</w:t>
      </w:r>
      <w:r w:rsidRPr="00A311F2">
        <w:rPr>
          <w:rFonts w:ascii="Times New Roman" w:eastAsia="Times New Roman" w:hAnsi="Times New Roman" w:cs="Times New Roman"/>
          <w:color w:val="1B1B1B"/>
          <w:sz w:val="28"/>
          <w:szCs w:val="28"/>
          <w:vertAlign w:val="subscript"/>
          <w:lang w:eastAsia="en-IN"/>
        </w:rPr>
        <w:t>2</w:t>
      </w:r>
      <w:r w:rsidR="0069525B" w:rsidRPr="0069525B">
        <w:rPr>
          <w:rFonts w:ascii="Times New Roman" w:eastAsia="Times New Roman" w:hAnsi="Times New Roman" w:cs="Times New Roman"/>
          <w:color w:val="1B1B1B"/>
          <w:sz w:val="28"/>
          <w:szCs w:val="28"/>
          <w:lang w:eastAsia="en-IN"/>
        </w:rPr>
        <w:t>.</w:t>
      </w:r>
    </w:p>
    <w:p w:rsidR="00A311F2" w:rsidRPr="00A311F2" w:rsidRDefault="00A311F2" w:rsidP="0069525B">
      <w:pPr>
        <w:numPr>
          <w:ilvl w:val="0"/>
          <w:numId w:val="13"/>
        </w:numPr>
        <w:shd w:val="clear" w:color="auto" w:fill="FFFFFF"/>
        <w:tabs>
          <w:tab w:val="clear" w:pos="720"/>
          <w:tab w:val="num" w:pos="360"/>
        </w:tabs>
        <w:spacing w:before="100" w:beforeAutospacing="1" w:after="60"/>
        <w:ind w:left="360"/>
        <w:rPr>
          <w:rFonts w:ascii="Times New Roman" w:eastAsia="Times New Roman" w:hAnsi="Times New Roman" w:cs="Times New Roman"/>
          <w:color w:val="1B1B1B"/>
          <w:sz w:val="28"/>
          <w:szCs w:val="28"/>
          <w:lang w:eastAsia="en-IN"/>
        </w:rPr>
      </w:pPr>
      <w:r w:rsidRPr="00A311F2">
        <w:rPr>
          <w:rFonts w:ascii="Times New Roman" w:eastAsia="Times New Roman" w:hAnsi="Times New Roman" w:cs="Times New Roman"/>
          <w:color w:val="1B1B1B"/>
          <w:sz w:val="28"/>
          <w:szCs w:val="28"/>
          <w:lang w:eastAsia="en-IN"/>
        </w:rPr>
        <w:t xml:space="preserve">This </w:t>
      </w:r>
      <w:r w:rsidR="0069525B" w:rsidRPr="0069525B">
        <w:rPr>
          <w:rFonts w:ascii="Times New Roman" w:eastAsia="Times New Roman" w:hAnsi="Times New Roman" w:cs="Times New Roman"/>
          <w:color w:val="1B1B1B"/>
          <w:sz w:val="28"/>
          <w:szCs w:val="28"/>
          <w:lang w:eastAsia="en-IN"/>
        </w:rPr>
        <w:t>Calculation Includes Line Losses.</w:t>
      </w:r>
    </w:p>
    <w:p w:rsidR="00A311F2" w:rsidRPr="00A311F2" w:rsidRDefault="00A311F2" w:rsidP="0069525B">
      <w:pPr>
        <w:numPr>
          <w:ilvl w:val="0"/>
          <w:numId w:val="13"/>
        </w:numPr>
        <w:shd w:val="clear" w:color="auto" w:fill="FFFFFF"/>
        <w:tabs>
          <w:tab w:val="clear" w:pos="720"/>
          <w:tab w:val="num" w:pos="360"/>
        </w:tabs>
        <w:spacing w:before="100" w:beforeAutospacing="1" w:after="0"/>
        <w:ind w:left="360"/>
        <w:rPr>
          <w:rFonts w:ascii="Times New Roman" w:eastAsia="Times New Roman" w:hAnsi="Times New Roman" w:cs="Times New Roman"/>
          <w:color w:val="1B1B1B"/>
          <w:sz w:val="28"/>
          <w:szCs w:val="28"/>
          <w:lang w:eastAsia="en-IN"/>
        </w:rPr>
      </w:pPr>
      <w:r w:rsidRPr="00A311F2">
        <w:rPr>
          <w:rFonts w:ascii="Times New Roman" w:eastAsia="Times New Roman" w:hAnsi="Times New Roman" w:cs="Times New Roman"/>
          <w:color w:val="1B1B1B"/>
          <w:sz w:val="28"/>
          <w:szCs w:val="28"/>
          <w:lang w:eastAsia="en-IN"/>
        </w:rPr>
        <w:t xml:space="preserve">Regional </w:t>
      </w:r>
      <w:r w:rsidR="0069525B" w:rsidRPr="0069525B">
        <w:rPr>
          <w:rFonts w:ascii="Times New Roman" w:eastAsia="Times New Roman" w:hAnsi="Times New Roman" w:cs="Times New Roman"/>
          <w:color w:val="1B1B1B"/>
          <w:sz w:val="28"/>
          <w:szCs w:val="28"/>
          <w:lang w:eastAsia="en-IN"/>
        </w:rPr>
        <w:t xml:space="preserve">Marginal Emission Rates Are Also Available On </w:t>
      </w:r>
      <w:proofErr w:type="gramStart"/>
      <w:r w:rsidR="0069525B" w:rsidRPr="0069525B">
        <w:rPr>
          <w:rFonts w:ascii="Times New Roman" w:eastAsia="Times New Roman" w:hAnsi="Times New Roman" w:cs="Times New Roman"/>
          <w:color w:val="1B1B1B"/>
          <w:sz w:val="28"/>
          <w:szCs w:val="28"/>
          <w:lang w:eastAsia="en-IN"/>
        </w:rPr>
        <w:t>The</w:t>
      </w:r>
      <w:proofErr w:type="gramEnd"/>
      <w:r w:rsidR="0069525B" w:rsidRPr="0069525B">
        <w:rPr>
          <w:rFonts w:ascii="Times New Roman" w:eastAsia="Times New Roman" w:hAnsi="Times New Roman" w:cs="Times New Roman"/>
          <w:color w:val="1B1B1B"/>
          <w:sz w:val="28"/>
          <w:szCs w:val="28"/>
          <w:lang w:eastAsia="en-IN"/>
        </w:rPr>
        <w:t> </w:t>
      </w:r>
      <w:hyperlink r:id="rId5" w:history="1">
        <w:r w:rsidRPr="0069525B">
          <w:rPr>
            <w:rFonts w:ascii="Times New Roman" w:eastAsia="Times New Roman" w:hAnsi="Times New Roman" w:cs="Times New Roman"/>
            <w:color w:val="005EA2"/>
            <w:sz w:val="28"/>
            <w:szCs w:val="28"/>
            <w:u w:val="single"/>
            <w:lang w:eastAsia="en-IN"/>
          </w:rPr>
          <w:t>AVERT</w:t>
        </w:r>
      </w:hyperlink>
      <w:r w:rsidRPr="00A311F2">
        <w:rPr>
          <w:rFonts w:ascii="Times New Roman" w:eastAsia="Times New Roman" w:hAnsi="Times New Roman" w:cs="Times New Roman"/>
          <w:color w:val="1B1B1B"/>
          <w:sz w:val="28"/>
          <w:szCs w:val="28"/>
          <w:lang w:eastAsia="en-IN"/>
        </w:rPr>
        <w:t> </w:t>
      </w:r>
      <w:r w:rsidR="0069525B" w:rsidRPr="0069525B">
        <w:rPr>
          <w:rFonts w:ascii="Times New Roman" w:eastAsia="Times New Roman" w:hAnsi="Times New Roman" w:cs="Times New Roman"/>
          <w:color w:val="1B1B1B"/>
          <w:sz w:val="28"/>
          <w:szCs w:val="28"/>
          <w:lang w:eastAsia="en-IN"/>
        </w:rPr>
        <w:t>Web Page.</w:t>
      </w:r>
    </w:p>
    <w:p w:rsidR="00A311F2" w:rsidRPr="00A311F2" w:rsidRDefault="00A311F2" w:rsidP="00A311F2">
      <w:pPr>
        <w:pStyle w:val="Heading3"/>
        <w:numPr>
          <w:ilvl w:val="0"/>
          <w:numId w:val="12"/>
        </w:numPr>
        <w:shd w:val="clear" w:color="auto" w:fill="FFFFFF"/>
        <w:spacing w:before="240" w:beforeAutospacing="0"/>
        <w:rPr>
          <w:rFonts w:ascii="Arial Black" w:hAnsi="Arial Black"/>
          <w:i/>
          <w:iCs/>
          <w:color w:val="1B1B1B"/>
          <w:sz w:val="36"/>
          <w:szCs w:val="36"/>
          <w:u w:val="double"/>
        </w:rPr>
      </w:pPr>
      <w:r w:rsidRPr="00A311F2">
        <w:rPr>
          <w:rFonts w:ascii="Arial Black" w:hAnsi="Arial Black"/>
          <w:i/>
          <w:iCs/>
          <w:color w:val="1B1B1B"/>
          <w:sz w:val="36"/>
          <w:szCs w:val="36"/>
          <w:u w:val="double"/>
        </w:rPr>
        <w:t>Calculation</w:t>
      </w:r>
    </w:p>
    <w:p w:rsidR="00A311F2" w:rsidRPr="00A311F2" w:rsidRDefault="00A311F2" w:rsidP="00A311F2">
      <w:pPr>
        <w:pStyle w:val="NormalWeb"/>
        <w:shd w:val="clear" w:color="auto" w:fill="FFFFFF"/>
        <w:spacing w:before="0" w:beforeAutospacing="0"/>
        <w:ind w:left="720"/>
        <w:rPr>
          <w:color w:val="1B1B1B"/>
          <w:sz w:val="31"/>
          <w:szCs w:val="31"/>
        </w:rPr>
      </w:pPr>
      <w:r w:rsidRPr="00A311F2">
        <w:rPr>
          <w:rStyle w:val="Strong"/>
          <w:color w:val="1B1B1B"/>
          <w:sz w:val="31"/>
          <w:szCs w:val="31"/>
          <w:highlight w:val="green"/>
        </w:rPr>
        <w:t xml:space="preserve">8,887 grams </w:t>
      </w:r>
      <w:r w:rsidRPr="00A311F2">
        <w:rPr>
          <w:rStyle w:val="Strong"/>
          <w:color w:val="1B1B1B"/>
          <w:sz w:val="31"/>
          <w:szCs w:val="31"/>
        </w:rPr>
        <w:t>of CO</w:t>
      </w:r>
      <w:r w:rsidRPr="00A311F2">
        <w:rPr>
          <w:rStyle w:val="Strong"/>
          <w:color w:val="1B1B1B"/>
          <w:sz w:val="31"/>
          <w:szCs w:val="31"/>
          <w:vertAlign w:val="subscript"/>
        </w:rPr>
        <w:t>2</w:t>
      </w:r>
      <w:r w:rsidRPr="00A311F2">
        <w:rPr>
          <w:rStyle w:val="Strong"/>
          <w:color w:val="1B1B1B"/>
          <w:sz w:val="31"/>
          <w:szCs w:val="31"/>
        </w:rPr>
        <w:t xml:space="preserve">/gallon of gasoline = </w:t>
      </w:r>
      <w:r w:rsidRPr="00A311F2">
        <w:rPr>
          <w:rStyle w:val="Strong"/>
          <w:color w:val="1B1B1B"/>
          <w:sz w:val="31"/>
          <w:szCs w:val="31"/>
          <w:highlight w:val="green"/>
        </w:rPr>
        <w:t>8.887 × 10</w:t>
      </w:r>
      <w:r w:rsidRPr="00A311F2">
        <w:rPr>
          <w:rStyle w:val="Strong"/>
          <w:color w:val="1B1B1B"/>
          <w:sz w:val="31"/>
          <w:szCs w:val="31"/>
          <w:highlight w:val="green"/>
          <w:vertAlign w:val="superscript"/>
        </w:rPr>
        <w:t>-3</w:t>
      </w:r>
      <w:r w:rsidRPr="00A311F2">
        <w:rPr>
          <w:rStyle w:val="Strong"/>
          <w:color w:val="1B1B1B"/>
          <w:sz w:val="31"/>
          <w:szCs w:val="31"/>
          <w:highlight w:val="green"/>
        </w:rPr>
        <w:t> </w:t>
      </w:r>
      <w:r w:rsidRPr="00A311F2">
        <w:rPr>
          <w:rStyle w:val="Strong"/>
          <w:color w:val="1B1B1B"/>
          <w:sz w:val="31"/>
          <w:szCs w:val="31"/>
        </w:rPr>
        <w:t>metric tons CO</w:t>
      </w:r>
      <w:r w:rsidRPr="00A311F2">
        <w:rPr>
          <w:rStyle w:val="Strong"/>
          <w:color w:val="1B1B1B"/>
          <w:sz w:val="31"/>
          <w:szCs w:val="31"/>
          <w:vertAlign w:val="subscript"/>
        </w:rPr>
        <w:t>2</w:t>
      </w:r>
      <w:r w:rsidRPr="00A311F2">
        <w:rPr>
          <w:rStyle w:val="Strong"/>
          <w:color w:val="1B1B1B"/>
          <w:sz w:val="31"/>
          <w:szCs w:val="31"/>
        </w:rPr>
        <w:t xml:space="preserve">/gallon of </w:t>
      </w:r>
      <w:r w:rsidRPr="00A311F2">
        <w:rPr>
          <w:rStyle w:val="Strong"/>
          <w:color w:val="1B1B1B"/>
          <w:sz w:val="31"/>
          <w:szCs w:val="31"/>
          <w:highlight w:val="green"/>
        </w:rPr>
        <w:t>gasoline.</w:t>
      </w:r>
    </w:p>
    <w:p w:rsidR="00570034" w:rsidRPr="00A311F2" w:rsidRDefault="00570034" w:rsidP="00B07F1A">
      <w:pPr>
        <w:rPr>
          <w:rFonts w:ascii="Times New Roman" w:hAnsi="Times New Roman" w:cs="Times New Roman"/>
          <w:b/>
          <w:bCs/>
          <w:i/>
          <w:iCs/>
          <w:sz w:val="31"/>
          <w:szCs w:val="31"/>
          <w:u w:val="single"/>
          <w:lang w:val="en-US"/>
        </w:rPr>
      </w:pPr>
    </w:p>
    <w:sectPr w:rsidR="00570034" w:rsidRPr="00A311F2" w:rsidSect="00A311F2">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4A16"/>
    <w:multiLevelType w:val="hybridMultilevel"/>
    <w:tmpl w:val="F06E33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6B13CD"/>
    <w:multiLevelType w:val="hybridMultilevel"/>
    <w:tmpl w:val="C756C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3F4CD9"/>
    <w:multiLevelType w:val="multilevel"/>
    <w:tmpl w:val="AE34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A84A66"/>
    <w:multiLevelType w:val="hybridMultilevel"/>
    <w:tmpl w:val="E6C4A22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3C891A1D"/>
    <w:multiLevelType w:val="hybridMultilevel"/>
    <w:tmpl w:val="09C87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997B9B"/>
    <w:multiLevelType w:val="hybridMultilevel"/>
    <w:tmpl w:val="89420C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4F595678"/>
    <w:multiLevelType w:val="multilevel"/>
    <w:tmpl w:val="F5BA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913A8"/>
    <w:multiLevelType w:val="hybridMultilevel"/>
    <w:tmpl w:val="5A1EC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89C2D91"/>
    <w:multiLevelType w:val="hybridMultilevel"/>
    <w:tmpl w:val="94644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2E04FD"/>
    <w:multiLevelType w:val="hybridMultilevel"/>
    <w:tmpl w:val="307EC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0184BA4"/>
    <w:multiLevelType w:val="hybridMultilevel"/>
    <w:tmpl w:val="2BE45366"/>
    <w:lvl w:ilvl="0" w:tplc="5066AE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B9627DC"/>
    <w:multiLevelType w:val="multilevel"/>
    <w:tmpl w:val="BD0AA1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6295857"/>
    <w:multiLevelType w:val="multilevel"/>
    <w:tmpl w:val="AFB2EC5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AD1EBA"/>
    <w:multiLevelType w:val="hybridMultilevel"/>
    <w:tmpl w:val="7D1E6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8"/>
  </w:num>
  <w:num w:numId="5">
    <w:abstractNumId w:val="9"/>
  </w:num>
  <w:num w:numId="6">
    <w:abstractNumId w:val="1"/>
  </w:num>
  <w:num w:numId="7">
    <w:abstractNumId w:val="7"/>
  </w:num>
  <w:num w:numId="8">
    <w:abstractNumId w:val="3"/>
  </w:num>
  <w:num w:numId="9">
    <w:abstractNumId w:val="0"/>
  </w:num>
  <w:num w:numId="10">
    <w:abstractNumId w:val="13"/>
  </w:num>
  <w:num w:numId="11">
    <w:abstractNumId w:val="2"/>
  </w:num>
  <w:num w:numId="12">
    <w:abstractNumId w:val="11"/>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savePreviewPicture/>
  <w:compat/>
  <w:rsids>
    <w:rsidRoot w:val="00B07F1A"/>
    <w:rsid w:val="001B49ED"/>
    <w:rsid w:val="004576EF"/>
    <w:rsid w:val="00570034"/>
    <w:rsid w:val="0069525B"/>
    <w:rsid w:val="009D5F45"/>
    <w:rsid w:val="00A311F2"/>
    <w:rsid w:val="00B07F1A"/>
    <w:rsid w:val="00E21863"/>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6EF"/>
  </w:style>
  <w:style w:type="paragraph" w:styleId="Heading1">
    <w:name w:val="heading 1"/>
    <w:basedOn w:val="Normal"/>
    <w:next w:val="Normal"/>
    <w:link w:val="Heading1Char"/>
    <w:uiPriority w:val="9"/>
    <w:qFormat/>
    <w:rsid w:val="00B07F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31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07F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7F1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07F1A"/>
    <w:rPr>
      <w:color w:val="0000FF"/>
      <w:u w:val="single"/>
    </w:rPr>
  </w:style>
  <w:style w:type="paragraph" w:styleId="NormalWeb">
    <w:name w:val="Normal (Web)"/>
    <w:basedOn w:val="Normal"/>
    <w:uiPriority w:val="99"/>
    <w:semiHidden/>
    <w:unhideWhenUsed/>
    <w:rsid w:val="00B07F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07F1A"/>
    <w:pPr>
      <w:ind w:left="720"/>
      <w:contextualSpacing/>
    </w:pPr>
  </w:style>
  <w:style w:type="character" w:customStyle="1" w:styleId="Heading1Char">
    <w:name w:val="Heading 1 Char"/>
    <w:basedOn w:val="DefaultParagraphFont"/>
    <w:link w:val="Heading1"/>
    <w:uiPriority w:val="9"/>
    <w:rsid w:val="00B07F1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5700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A311F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A311F2"/>
    <w:rPr>
      <w:b/>
      <w:bCs/>
    </w:rPr>
  </w:style>
</w:styles>
</file>

<file path=word/webSettings.xml><?xml version="1.0" encoding="utf-8"?>
<w:webSettings xmlns:r="http://schemas.openxmlformats.org/officeDocument/2006/relationships" xmlns:w="http://schemas.openxmlformats.org/wordprocessingml/2006/main">
  <w:divs>
    <w:div w:id="144470879">
      <w:bodyDiv w:val="1"/>
      <w:marLeft w:val="0"/>
      <w:marRight w:val="0"/>
      <w:marTop w:val="0"/>
      <w:marBottom w:val="0"/>
      <w:divBdr>
        <w:top w:val="none" w:sz="0" w:space="0" w:color="auto"/>
        <w:left w:val="none" w:sz="0" w:space="0" w:color="auto"/>
        <w:bottom w:val="none" w:sz="0" w:space="0" w:color="auto"/>
        <w:right w:val="none" w:sz="0" w:space="0" w:color="auto"/>
      </w:divBdr>
      <w:divsChild>
        <w:div w:id="2008901279">
          <w:marLeft w:val="0"/>
          <w:marRight w:val="0"/>
          <w:marTop w:val="0"/>
          <w:marBottom w:val="0"/>
          <w:divBdr>
            <w:top w:val="none" w:sz="0" w:space="0" w:color="auto"/>
            <w:left w:val="none" w:sz="0" w:space="0" w:color="auto"/>
            <w:bottom w:val="none" w:sz="0" w:space="0" w:color="auto"/>
            <w:right w:val="none" w:sz="0" w:space="0" w:color="auto"/>
          </w:divBdr>
          <w:divsChild>
            <w:div w:id="5225980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8694267">
      <w:bodyDiv w:val="1"/>
      <w:marLeft w:val="0"/>
      <w:marRight w:val="0"/>
      <w:marTop w:val="0"/>
      <w:marBottom w:val="0"/>
      <w:divBdr>
        <w:top w:val="none" w:sz="0" w:space="0" w:color="auto"/>
        <w:left w:val="none" w:sz="0" w:space="0" w:color="auto"/>
        <w:bottom w:val="none" w:sz="0" w:space="0" w:color="auto"/>
        <w:right w:val="none" w:sz="0" w:space="0" w:color="auto"/>
      </w:divBdr>
    </w:div>
    <w:div w:id="291057964">
      <w:bodyDiv w:val="1"/>
      <w:marLeft w:val="0"/>
      <w:marRight w:val="0"/>
      <w:marTop w:val="0"/>
      <w:marBottom w:val="0"/>
      <w:divBdr>
        <w:top w:val="none" w:sz="0" w:space="0" w:color="auto"/>
        <w:left w:val="none" w:sz="0" w:space="0" w:color="auto"/>
        <w:bottom w:val="none" w:sz="0" w:space="0" w:color="auto"/>
        <w:right w:val="none" w:sz="0" w:space="0" w:color="auto"/>
      </w:divBdr>
    </w:div>
    <w:div w:id="804349591">
      <w:bodyDiv w:val="1"/>
      <w:marLeft w:val="0"/>
      <w:marRight w:val="0"/>
      <w:marTop w:val="0"/>
      <w:marBottom w:val="0"/>
      <w:divBdr>
        <w:top w:val="none" w:sz="0" w:space="0" w:color="auto"/>
        <w:left w:val="none" w:sz="0" w:space="0" w:color="auto"/>
        <w:bottom w:val="none" w:sz="0" w:space="0" w:color="auto"/>
        <w:right w:val="none" w:sz="0" w:space="0" w:color="auto"/>
      </w:divBdr>
    </w:div>
    <w:div w:id="804390318">
      <w:bodyDiv w:val="1"/>
      <w:marLeft w:val="0"/>
      <w:marRight w:val="0"/>
      <w:marTop w:val="0"/>
      <w:marBottom w:val="0"/>
      <w:divBdr>
        <w:top w:val="none" w:sz="0" w:space="0" w:color="auto"/>
        <w:left w:val="none" w:sz="0" w:space="0" w:color="auto"/>
        <w:bottom w:val="none" w:sz="0" w:space="0" w:color="auto"/>
        <w:right w:val="none" w:sz="0" w:space="0" w:color="auto"/>
      </w:divBdr>
    </w:div>
    <w:div w:id="1683237701">
      <w:bodyDiv w:val="1"/>
      <w:marLeft w:val="0"/>
      <w:marRight w:val="0"/>
      <w:marTop w:val="0"/>
      <w:marBottom w:val="0"/>
      <w:divBdr>
        <w:top w:val="none" w:sz="0" w:space="0" w:color="auto"/>
        <w:left w:val="none" w:sz="0" w:space="0" w:color="auto"/>
        <w:bottom w:val="none" w:sz="0" w:space="0" w:color="auto"/>
        <w:right w:val="none" w:sz="0" w:space="0" w:color="auto"/>
      </w:divBdr>
    </w:div>
    <w:div w:id="1880698609">
      <w:bodyDiv w:val="1"/>
      <w:marLeft w:val="0"/>
      <w:marRight w:val="0"/>
      <w:marTop w:val="0"/>
      <w:marBottom w:val="0"/>
      <w:divBdr>
        <w:top w:val="none" w:sz="0" w:space="0" w:color="auto"/>
        <w:left w:val="none" w:sz="0" w:space="0" w:color="auto"/>
        <w:bottom w:val="none" w:sz="0" w:space="0" w:color="auto"/>
        <w:right w:val="none" w:sz="0" w:space="0" w:color="auto"/>
      </w:divBdr>
    </w:div>
    <w:div w:id="197501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pa.gov/statelocalenergy/download-av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218</Words>
  <Characters>1249</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Greenhouse Gases</vt:lpstr>
      <vt:lpstr>        Importance of Greenhouse Gases</vt:lpstr>
      <vt:lpstr>    </vt:lpstr>
      <vt:lpstr>    Electricity Reductions (kilowatt-hours)</vt:lpstr>
      <vt:lpstr>        Emission Factor</vt:lpstr>
      <vt:lpstr>        Calculation</vt:lpstr>
    </vt:vector>
  </TitlesOfParts>
  <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Practical_02</dc:title>
  <dc:subject>Office Automation Tool</dc:subject>
  <dc:creator>Himanshu Kasundra</dc:creator>
  <cp:keywords>Word File </cp:keywords>
  <dc:description>*****Practical_02 (21010101075)*****
This document only for read.</dc:description>
  <cp:lastModifiedBy>DELL</cp:lastModifiedBy>
  <cp:revision>3</cp:revision>
  <dcterms:created xsi:type="dcterms:W3CDTF">2022-03-11T17:08:00Z</dcterms:created>
  <dcterms:modified xsi:type="dcterms:W3CDTF">2022-03-11T17:58:00Z</dcterms:modified>
  <cp:category>Word File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