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Calibri" w:cs="Calibri" w:eastAsia="Calibri" w:hAnsi="Calibri"/>
          <w:b/>
          <w:bCs/>
          <w:color w:val="1F3864"/>
          <w:sz w:val="64"/>
          <w:szCs w:val="64"/>
        </w:rPr>
        <w:t xml:space="preserve">EduSphere</w:t>
      </w:r>
    </w:p>
    <w:p>
      <w:pPr>
        <w:spacing w:after="40"/>
        <w:jc w:val="center"/>
      </w:pPr>
      <w:r>
        <w:rPr>
          <w:rFonts w:ascii="Calibri" w:cs="Calibri" w:eastAsia="Calibri" w:hAnsi="Calibri"/>
          <w:color w:val="2E74B5"/>
          <w:sz w:val="34"/>
          <w:szCs w:val="34"/>
        </w:rPr>
        <w:t xml:space="preserve">Backend Case Study</w:t>
      </w:r>
    </w:p>
    <w:p>
      <w:pPr>
        <w:spacing w:after="600"/>
        <w:jc w:val="center"/>
      </w:pPr>
      <w:r>
        <w:rPr>
          <w:rFonts w:ascii="Calibri" w:cs="Calibri" w:eastAsia="Calibri" w:hAnsi="Calibri"/>
          <w:i/>
          <w:iCs/>
          <w:color w:val="555555"/>
          <w:sz w:val="24"/>
          <w:szCs w:val="24"/>
        </w:rPr>
        <w:t xml:space="preserve">A Hybrid Microservices Architecture for Backend Engineering Training</w:t>
      </w:r>
    </w:p>
    <w:p>
      <w:pPr>
        <w:spacing w:after="60"/>
        <w:jc w:val="center"/>
      </w:pPr>
      <w:r>
        <w:rPr>
          <w:rFonts w:ascii="Calibri" w:cs="Calibri" w:eastAsia="Calibri" w:hAnsi="Calibri"/>
          <w:color w:val="444444"/>
          <w:sz w:val="20"/>
          <w:szCs w:val="20"/>
        </w:rPr>
        <w:t xml:space="preserve">Document Type:  Technical Case Study — For Review</w:t>
      </w:r>
    </w:p>
    <w:p>
      <w:pPr>
        <w:spacing w:after="60"/>
        <w:jc w:val="center"/>
      </w:pPr>
      <w:r>
        <w:rPr>
          <w:rFonts w:ascii="Calibri" w:cs="Calibri" w:eastAsia="Calibri" w:hAnsi="Calibri"/>
          <w:color w:val="444444"/>
          <w:sz w:val="20"/>
          <w:szCs w:val="20"/>
        </w:rPr>
        <w:t xml:space="preserve">Development Timeline:  8–9 Days</w:t>
      </w:r>
    </w:p>
    <w:p>
      <w:pPr>
        <w:spacing w:after="60"/>
        <w:jc w:val="center"/>
      </w:pPr>
      <w:r>
        <w:rPr>
          <w:rFonts w:ascii="Calibri" w:cs="Calibri" w:eastAsia="Calibri" w:hAnsi="Calibri"/>
          <w:color w:val="444444"/>
          <w:sz w:val="20"/>
          <w:szCs w:val="20"/>
        </w:rPr>
        <w:t xml:space="preserve">Date:  August 11, 2026</w:t>
      </w:r>
    </w:p>
    <w:p>
      <w:pPr>
        <w:spacing w:after="60"/>
        <w:jc w:val="center"/>
      </w:pPr>
      <w:r>
        <w:rPr>
          <w:rFonts w:ascii="Calibri" w:cs="Calibri" w:eastAsia="Calibri" w:hAnsi="Calibri"/>
          <w:color w:val="444444"/>
          <w:sz w:val="20"/>
          <w:szCs w:val="20"/>
        </w:rPr>
        <w:t xml:space="preserve">Status:  Draft — Pending Review</w:t>
      </w:r>
    </w:p>
    <w:p>
      <w:r>
        <w:br w:type="page"/>
      </w:r>
    </w:p>
    <w:p>
      <w:pPr>
        <w:sectPr>
          <w:pgSz w:w="12240" w:h="15840" w:orient="portrait"/>
          <w:pgMar w:top="1152" w:right="1152" w:bottom="1152" w:left="1152" w:header="708" w:footer="708" w:gutter="0"/>
          <w:pgNumType/>
          <w:docGrid w:linePitch="360"/>
        </w:sectPr>
      </w:pPr>
    </w:p>
    <w:p>
      <w:pPr>
        <w:pStyle w:val="Heading1"/>
        <w:spacing w:after="160" w:before="360"/>
      </w:pPr>
      <w:r>
        <w:t xml:space="preserve">Table of Contents</w:t>
      </w:r>
    </w:p>
    <w:p>
      <w:pPr>
        <w:tabs>
          <w:tab w:val="right" w:pos="9026" w:leader="dot"/>
        </w:tabs>
        <w:spacing w:after="130"/>
      </w:pPr>
      <w:r>
        <w:rPr>
          <w:rFonts w:ascii="Calibri" w:cs="Calibri" w:eastAsia="Calibri" w:hAnsi="Calibri"/>
          <w:color w:val="222222"/>
          <w:sz w:val="22"/>
          <w:szCs w:val="22"/>
        </w:rPr>
        <w:t xml:space="preserve">1.  Problem Statement</w:t>
      </w:r>
      <w:r>
        <w:rPr>
          <w:rFonts w:ascii="Calibri" w:cs="Calibri" w:eastAsia="Calibri" w:hAnsi="Calibri"/>
          <w:color w:val="222222"/>
          <w:sz w:val="22"/>
          <w:szCs w:val="22"/>
        </w:rPr>
        <w:t xml:space="preserve">	3</w:t>
      </w:r>
    </w:p>
    <w:p>
      <w:pPr>
        <w:tabs>
          <w:tab w:val="right" w:pos="9026" w:leader="dot"/>
        </w:tabs>
        <w:spacing w:after="130"/>
      </w:pPr>
      <w:r>
        <w:rPr>
          <w:rFonts w:ascii="Calibri" w:cs="Calibri" w:eastAsia="Calibri" w:hAnsi="Calibri"/>
          <w:color w:val="222222"/>
          <w:sz w:val="22"/>
          <w:szCs w:val="22"/>
        </w:rPr>
        <w:t xml:space="preserve">2.  Objective</w:t>
      </w:r>
      <w:r>
        <w:rPr>
          <w:rFonts w:ascii="Calibri" w:cs="Calibri" w:eastAsia="Calibri" w:hAnsi="Calibri"/>
          <w:color w:val="222222"/>
          <w:sz w:val="22"/>
          <w:szCs w:val="22"/>
        </w:rPr>
        <w:t xml:space="preserve">	3</w:t>
      </w:r>
    </w:p>
    <w:p>
      <w:pPr>
        <w:tabs>
          <w:tab w:val="right" w:pos="9026" w:leader="dot"/>
        </w:tabs>
        <w:spacing w:after="130"/>
      </w:pPr>
      <w:r>
        <w:rPr>
          <w:rFonts w:ascii="Calibri" w:cs="Calibri" w:eastAsia="Calibri" w:hAnsi="Calibri"/>
          <w:color w:val="222222"/>
          <w:sz w:val="22"/>
          <w:szCs w:val="22"/>
        </w:rPr>
        <w:t xml:space="preserve">3.  Architecture Decision — Defining the Service Boundaries</w:t>
      </w:r>
      <w:r>
        <w:rPr>
          <w:rFonts w:ascii="Calibri" w:cs="Calibri" w:eastAsia="Calibri" w:hAnsi="Calibri"/>
          <w:color w:val="222222"/>
          <w:sz w:val="22"/>
          <w:szCs w:val="22"/>
        </w:rPr>
        <w:t xml:space="preserve">	3</w:t>
      </w:r>
    </w:p>
    <w:p>
      <w:pPr>
        <w:tabs>
          <w:tab w:val="right" w:pos="9026" w:leader="dot"/>
        </w:tabs>
        <w:spacing w:after="130"/>
      </w:pPr>
      <w:r>
        <w:rPr>
          <w:rFonts w:ascii="Calibri" w:cs="Calibri" w:eastAsia="Calibri" w:hAnsi="Calibri"/>
          <w:color w:val="222222"/>
          <w:sz w:val="22"/>
          <w:szCs w:val="22"/>
        </w:rPr>
        <w:t xml:space="preserve">4.  Final Architecture</w:t>
      </w:r>
      <w:r>
        <w:rPr>
          <w:rFonts w:ascii="Calibri" w:cs="Calibri" w:eastAsia="Calibri" w:hAnsi="Calibri"/>
          <w:color w:val="222222"/>
          <w:sz w:val="22"/>
          <w:szCs w:val="22"/>
        </w:rPr>
        <w:t xml:space="preserve">	4</w:t>
      </w:r>
    </w:p>
    <w:p>
      <w:pPr>
        <w:tabs>
          <w:tab w:val="right" w:pos="9026" w:leader="dot"/>
        </w:tabs>
        <w:spacing w:after="130"/>
      </w:pPr>
      <w:r>
        <w:rPr>
          <w:rFonts w:ascii="Calibri" w:cs="Calibri" w:eastAsia="Calibri" w:hAnsi="Calibri"/>
          <w:color w:val="222222"/>
          <w:sz w:val="22"/>
          <w:szCs w:val="22"/>
        </w:rPr>
        <w:t xml:space="preserve">5.  Technology Stack</w:t>
      </w:r>
      <w:r>
        <w:rPr>
          <w:rFonts w:ascii="Calibri" w:cs="Calibri" w:eastAsia="Calibri" w:hAnsi="Calibri"/>
          <w:color w:val="222222"/>
          <w:sz w:val="22"/>
          <w:szCs w:val="22"/>
        </w:rPr>
        <w:t xml:space="preserve">	5</w:t>
      </w:r>
    </w:p>
    <w:p>
      <w:pPr>
        <w:tabs>
          <w:tab w:val="right" w:pos="9026" w:leader="dot"/>
        </w:tabs>
        <w:spacing w:after="130"/>
      </w:pPr>
      <w:r>
        <w:rPr>
          <w:rFonts w:ascii="Calibri" w:cs="Calibri" w:eastAsia="Calibri" w:hAnsi="Calibri"/>
          <w:color w:val="222222"/>
          <w:sz w:val="22"/>
          <w:szCs w:val="22"/>
        </w:rPr>
        <w:t xml:space="preserve">6.  Service Breakdown and API Endpoints</w:t>
      </w:r>
      <w:r>
        <w:rPr>
          <w:rFonts w:ascii="Calibri" w:cs="Calibri" w:eastAsia="Calibri" w:hAnsi="Calibri"/>
          <w:color w:val="222222"/>
          <w:sz w:val="22"/>
          <w:szCs w:val="22"/>
        </w:rPr>
        <w:t xml:space="preserve">	6</w:t>
      </w:r>
    </w:p>
    <w:p>
      <w:pPr>
        <w:tabs>
          <w:tab w:val="right" w:pos="9026" w:leader="dot"/>
        </w:tabs>
        <w:spacing w:after="130"/>
      </w:pPr>
      <w:r>
        <w:rPr>
          <w:rFonts w:ascii="Calibri" w:cs="Calibri" w:eastAsia="Calibri" w:hAnsi="Calibri"/>
          <w:color w:val="222222"/>
          <w:sz w:val="22"/>
          <w:szCs w:val="22"/>
        </w:rPr>
        <w:t xml:space="preserve">7.  Database Design</w:t>
      </w:r>
      <w:r>
        <w:rPr>
          <w:rFonts w:ascii="Calibri" w:cs="Calibri" w:eastAsia="Calibri" w:hAnsi="Calibri"/>
          <w:color w:val="222222"/>
          <w:sz w:val="22"/>
          <w:szCs w:val="22"/>
        </w:rPr>
        <w:t xml:space="preserve">	7</w:t>
      </w:r>
    </w:p>
    <w:p>
      <w:pPr>
        <w:tabs>
          <w:tab w:val="right" w:pos="9026" w:leader="dot"/>
        </w:tabs>
        <w:spacing w:after="130"/>
      </w:pPr>
      <w:r>
        <w:rPr>
          <w:rFonts w:ascii="Calibri" w:cs="Calibri" w:eastAsia="Calibri" w:hAnsi="Calibri"/>
          <w:color w:val="222222"/>
          <w:sz w:val="22"/>
          <w:szCs w:val="22"/>
        </w:rPr>
        <w:t xml:space="preserve">8.  Clean Architecture and Cross-Service Rules</w:t>
      </w:r>
      <w:r>
        <w:rPr>
          <w:rFonts w:ascii="Calibri" w:cs="Calibri" w:eastAsia="Calibri" w:hAnsi="Calibri"/>
          <w:color w:val="222222"/>
          <w:sz w:val="22"/>
          <w:szCs w:val="22"/>
        </w:rPr>
        <w:t xml:space="preserve">	8</w:t>
      </w:r>
    </w:p>
    <w:p>
      <w:pPr>
        <w:tabs>
          <w:tab w:val="right" w:pos="9026" w:leader="dot"/>
        </w:tabs>
        <w:spacing w:after="130"/>
      </w:pPr>
      <w:r>
        <w:rPr>
          <w:rFonts w:ascii="Calibri" w:cs="Calibri" w:eastAsia="Calibri" w:hAnsi="Calibri"/>
          <w:color w:val="222222"/>
          <w:sz w:val="22"/>
          <w:szCs w:val="22"/>
        </w:rPr>
        <w:t xml:space="preserve">9.  Backend Quality: Validation, Exception Handling, and Logging</w:t>
      </w:r>
      <w:r>
        <w:rPr>
          <w:rFonts w:ascii="Calibri" w:cs="Calibri" w:eastAsia="Calibri" w:hAnsi="Calibri"/>
          <w:color w:val="222222"/>
          <w:sz w:val="22"/>
          <w:szCs w:val="22"/>
        </w:rPr>
        <w:t xml:space="preserve">	9</w:t>
      </w:r>
    </w:p>
    <w:p>
      <w:pPr>
        <w:tabs>
          <w:tab w:val="right" w:pos="9026" w:leader="dot"/>
        </w:tabs>
        <w:spacing w:after="130"/>
      </w:pPr>
      <w:r>
        <w:rPr>
          <w:rFonts w:ascii="Calibri" w:cs="Calibri" w:eastAsia="Calibri" w:hAnsi="Calibri"/>
          <w:color w:val="222222"/>
          <w:sz w:val="22"/>
          <w:szCs w:val="22"/>
        </w:rPr>
        <w:t xml:space="preserve">10.  Testing Strategy</w:t>
      </w:r>
      <w:r>
        <w:rPr>
          <w:rFonts w:ascii="Calibri" w:cs="Calibri" w:eastAsia="Calibri" w:hAnsi="Calibri"/>
          <w:color w:val="222222"/>
          <w:sz w:val="22"/>
          <w:szCs w:val="22"/>
        </w:rPr>
        <w:t xml:space="preserve">	9</w:t>
      </w:r>
    </w:p>
    <w:p>
      <w:pPr>
        <w:tabs>
          <w:tab w:val="right" w:pos="9026" w:leader="dot"/>
        </w:tabs>
        <w:spacing w:after="130"/>
      </w:pPr>
      <w:r>
        <w:rPr>
          <w:rFonts w:ascii="Calibri" w:cs="Calibri" w:eastAsia="Calibri" w:hAnsi="Calibri"/>
          <w:color w:val="222222"/>
          <w:sz w:val="22"/>
          <w:szCs w:val="22"/>
        </w:rPr>
        <w:t xml:space="preserve">11.  Containerization and API Documentation</w:t>
      </w:r>
      <w:r>
        <w:rPr>
          <w:rFonts w:ascii="Calibri" w:cs="Calibri" w:eastAsia="Calibri" w:hAnsi="Calibri"/>
          <w:color w:val="222222"/>
          <w:sz w:val="22"/>
          <w:szCs w:val="22"/>
        </w:rPr>
        <w:t xml:space="preserve">	10</w:t>
      </w:r>
    </w:p>
    <w:p>
      <w:pPr>
        <w:tabs>
          <w:tab w:val="right" w:pos="9026" w:leader="dot"/>
        </w:tabs>
        <w:spacing w:after="130"/>
      </w:pPr>
      <w:r>
        <w:rPr>
          <w:rFonts w:ascii="Calibri" w:cs="Calibri" w:eastAsia="Calibri" w:hAnsi="Calibri"/>
          <w:color w:val="222222"/>
          <w:sz w:val="22"/>
          <w:szCs w:val="22"/>
        </w:rPr>
        <w:t xml:space="preserve">12.  Explicitly Out of Scope</w:t>
      </w:r>
      <w:r>
        <w:rPr>
          <w:rFonts w:ascii="Calibri" w:cs="Calibri" w:eastAsia="Calibri" w:hAnsi="Calibri"/>
          <w:color w:val="222222"/>
          <w:sz w:val="22"/>
          <w:szCs w:val="22"/>
        </w:rPr>
        <w:t xml:space="preserve">	10</w:t>
      </w:r>
    </w:p>
    <w:p>
      <w:pPr>
        <w:tabs>
          <w:tab w:val="right" w:pos="9026" w:leader="dot"/>
        </w:tabs>
        <w:spacing w:after="130"/>
      </w:pPr>
      <w:r>
        <w:rPr>
          <w:rFonts w:ascii="Calibri" w:cs="Calibri" w:eastAsia="Calibri" w:hAnsi="Calibri"/>
          <w:color w:val="222222"/>
          <w:sz w:val="22"/>
          <w:szCs w:val="22"/>
        </w:rPr>
        <w:t xml:space="preserve">13.  Final Functional Scope</w:t>
      </w:r>
      <w:r>
        <w:rPr>
          <w:rFonts w:ascii="Calibri" w:cs="Calibri" w:eastAsia="Calibri" w:hAnsi="Calibri"/>
          <w:color w:val="222222"/>
          <w:sz w:val="22"/>
          <w:szCs w:val="22"/>
        </w:rPr>
        <w:t xml:space="preserve">	11</w:t>
      </w:r>
    </w:p>
    <w:p>
      <w:pPr>
        <w:tabs>
          <w:tab w:val="right" w:pos="9026" w:leader="dot"/>
        </w:tabs>
        <w:spacing w:after="130"/>
      </w:pPr>
      <w:r>
        <w:rPr>
          <w:rFonts w:ascii="Calibri" w:cs="Calibri" w:eastAsia="Calibri" w:hAnsi="Calibri"/>
          <w:color w:val="222222"/>
          <w:sz w:val="22"/>
          <w:szCs w:val="22"/>
        </w:rPr>
        <w:t xml:space="preserve">14.  Development Timeline (8–9 Days)</w:t>
      </w:r>
      <w:r>
        <w:rPr>
          <w:rFonts w:ascii="Calibri" w:cs="Calibri" w:eastAsia="Calibri" w:hAnsi="Calibri"/>
          <w:color w:val="222222"/>
          <w:sz w:val="22"/>
          <w:szCs w:val="22"/>
        </w:rPr>
        <w:t xml:space="preserve">	11</w:t>
      </w:r>
    </w:p>
    <w:p>
      <w:pPr>
        <w:tabs>
          <w:tab w:val="right" w:pos="9026" w:leader="dot"/>
        </w:tabs>
        <w:spacing w:after="130"/>
      </w:pPr>
      <w:r>
        <w:rPr>
          <w:rFonts w:ascii="Calibri" w:cs="Calibri" w:eastAsia="Calibri" w:hAnsi="Calibri"/>
          <w:color w:val="222222"/>
          <w:sz w:val="22"/>
          <w:szCs w:val="22"/>
        </w:rPr>
        <w:t xml:space="preserve">15.  Definition of Done</w:t>
      </w:r>
      <w:r>
        <w:rPr>
          <w:rFonts w:ascii="Calibri" w:cs="Calibri" w:eastAsia="Calibri" w:hAnsi="Calibri"/>
          <w:color w:val="222222"/>
          <w:sz w:val="22"/>
          <w:szCs w:val="22"/>
        </w:rPr>
        <w:t xml:space="preserve">	12</w:t>
      </w:r>
    </w:p>
    <w:p>
      <w:pPr>
        <w:tabs>
          <w:tab w:val="right" w:pos="9026" w:leader="dot"/>
        </w:tabs>
        <w:spacing w:after="130"/>
      </w:pPr>
      <w:r>
        <w:rPr>
          <w:rFonts w:ascii="Calibri" w:cs="Calibri" w:eastAsia="Calibri" w:hAnsi="Calibri"/>
          <w:color w:val="222222"/>
          <w:sz w:val="22"/>
          <w:szCs w:val="22"/>
        </w:rPr>
        <w:t xml:space="preserve">16.  Summary Statement</w:t>
      </w:r>
      <w:r>
        <w:rPr>
          <w:rFonts w:ascii="Calibri" w:cs="Calibri" w:eastAsia="Calibri" w:hAnsi="Calibri"/>
          <w:color w:val="222222"/>
          <w:sz w:val="22"/>
          <w:szCs w:val="22"/>
        </w:rPr>
        <w:t xml:space="preserve">	12</w:t>
      </w:r>
    </w:p>
    <w:p>
      <w:r>
        <w:br w:type="page"/>
      </w:r>
    </w:p>
    <w:p>
      <w:pPr>
        <w:pStyle w:val="Heading1"/>
        <w:spacing w:after="160" w:before="360"/>
      </w:pPr>
      <w:r>
        <w:t xml:space="preserve">1. Problem Statement</w:t>
      </w:r>
    </w:p>
    <w:p>
      <w:pPr>
        <w:spacing w:after="160" w:line="276"/>
      </w:pPr>
      <w:r>
        <w:rPr>
          <w:rFonts w:ascii="Calibri" w:cs="Calibri" w:eastAsia="Calibri" w:hAnsi="Calibri"/>
          <w:sz w:val="22"/>
          <w:szCs w:val="22"/>
        </w:rPr>
        <w:t xml:space="preserve">Educational institutions and online training organizations need a system through which students can access courses, instructors can manage learning content, and administrators can manage users and the overall platform.</w:t>
      </w:r>
    </w:p>
    <w:p>
      <w:pPr>
        <w:spacing w:after="160" w:line="276"/>
      </w:pPr>
      <w:r>
        <w:rPr>
          <w:rFonts w:ascii="Calibri" w:cs="Calibri" w:eastAsia="Calibri" w:hAnsi="Calibri"/>
          <w:sz w:val="22"/>
          <w:szCs w:val="22"/>
        </w:rPr>
        <w:t xml:space="preserve">This document defines a focused backend architecture for EduSphere that centers on the concepts most worth demonstrating in a training context: REST API design, authentication and authorization, service boundaries, Clean Architecture, and automated testing — deliberately scoped to be buildable end-to-end in 8–9 days.</w:t>
      </w:r>
    </w:p>
    <w:p>
      <w:pPr>
        <w:pStyle w:val="Heading1"/>
        <w:spacing w:after="160" w:before="360"/>
      </w:pPr>
      <w:r>
        <w:t xml:space="preserve">2. Objective</w:t>
      </w:r>
    </w:p>
    <w:p>
      <w:pPr>
        <w:spacing w:after="160" w:line="276"/>
      </w:pPr>
      <w:r>
        <w:rPr>
          <w:rFonts w:ascii="Calibri" w:cs="Calibri" w:eastAsia="Calibri" w:hAnsi="Calibri"/>
          <w:sz w:val="22"/>
          <w:szCs w:val="22"/>
        </w:rPr>
        <w:t xml:space="preserve">The objective of this project is not to build a feature-rich Learning Management System. The objective is to demonstrate the ability to design and implement a backend system using Clean Architecture, a hybrid microservices approach, JWT-based authentication, Entity Framework Core, SQL Server, and unit testing — and to be able to explain every design decision behind it.</w:t>
      </w:r>
    </w:p>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tcW w:type="pct" w:w="100%"/>
            <w:shd w:fill="F5F8FC" w:val="clear"/>
            <w:tcMar>
              <w:top w:type="dxa" w:w="200"/>
              <w:left w:type="dxa" w:w="260"/>
              <w:bottom w:type="dxa" w:w="200"/>
              <w:right w:type="dxa" w:w="260"/>
            </w:tcMar>
          </w:tcPr>
          <w:p>
            <w:pPr>
              <w:spacing w:after="120" w:line="276"/>
            </w:pPr>
            <w:r>
              <w:rPr>
                <w:rFonts w:ascii="Calibri" w:cs="Calibri" w:eastAsia="Calibri" w:hAnsi="Calibri"/>
                <w:i/>
                <w:iCs/>
                <w:color w:val="333333"/>
                <w:sz w:val="21"/>
                <w:szCs w:val="21"/>
              </w:rPr>
              <w:t xml:space="preserve">A useful test for this project: if a reviewer asks “explain your architecture,” every design decision below should be answerable without saying “this part was generated for me.”</w:t>
            </w:r>
          </w:p>
        </w:tc>
      </w:tr>
    </w:tbl>
    <w:p>
      <w:pPr>
        <w:pStyle w:val="Heading1"/>
        <w:spacing w:after="160" w:before="360"/>
      </w:pPr>
      <w:r>
        <w:t xml:space="preserve">3. Architecture Decision — Defining the Service Boundaries</w:t>
      </w:r>
    </w:p>
    <w:p>
      <w:pPr>
        <w:spacing w:after="160" w:line="276"/>
      </w:pPr>
      <w:r>
        <w:rPr>
          <w:rFonts w:ascii="Calibri" w:cs="Calibri" w:eastAsia="Calibri" w:hAnsi="Calibri"/>
          <w:sz w:val="22"/>
          <w:szCs w:val="22"/>
        </w:rPr>
        <w:t xml:space="preserve">A domain justifies its own microservice when it has a distinct bounded context, owns data that no other domain needs to access directly, and has a genuine reason to evolve or scale independently. Applying this test to the core LMS domains produces the following boundaries:</w:t>
      </w:r>
    </w:p>
    <w:p>
      <w:pPr>
        <w:pStyle w:val="Heading3"/>
        <w:spacing w:after="100" w:before="200"/>
      </w:pPr>
      <w:r>
        <w:t xml:space="preserve">Identity Service</w:t>
      </w:r>
    </w:p>
    <w:p>
      <w:pPr>
        <w:spacing w:after="160" w:line="276"/>
      </w:pPr>
      <w:r>
        <w:rPr>
          <w:rFonts w:ascii="Calibri" w:cs="Calibri" w:eastAsia="Calibri" w:hAnsi="Calibri"/>
          <w:sz w:val="22"/>
          <w:szCs w:val="22"/>
        </w:rPr>
        <w:t xml:space="preserve">Every other domain depends on identity; identity depends on nothing else. This is the clearest possible service boundary and is implemented as an independent microservice.</w:t>
      </w:r>
    </w:p>
    <w:p>
      <w:pPr>
        <w:pStyle w:val="Heading3"/>
        <w:spacing w:after="100" w:before="200"/>
      </w:pPr>
      <w:r>
        <w:t xml:space="preserve">Course Service</w:t>
      </w:r>
    </w:p>
    <w:p>
      <w:pPr>
        <w:spacing w:after="160" w:line="276"/>
      </w:pPr>
      <w:r>
        <w:rPr>
          <w:rFonts w:ascii="Calibri" w:cs="Calibri" w:eastAsia="Calibri" w:hAnsi="Calibri"/>
          <w:sz w:val="22"/>
          <w:szCs w:val="22"/>
        </w:rPr>
        <w:t xml:space="preserve">Course management is a self-contained catalog domain. An instructor builds and publishes content independently of enrollment or progress data, and this domain can evolve on its own schedule. It is implemented as the second independent microservice.</w:t>
      </w:r>
    </w:p>
    <w:p>
      <w:pPr>
        <w:pStyle w:val="Heading3"/>
        <w:spacing w:after="100" w:before="200"/>
      </w:pPr>
      <w:r>
        <w:t xml:space="preserve">EduSphere.Core (Modular Monolith)</w:t>
      </w:r>
    </w:p>
    <w:p>
      <w:pPr>
        <w:spacing w:after="160" w:line="276"/>
      </w:pPr>
      <w:r>
        <w:rPr>
          <w:rFonts w:ascii="Calibri" w:cs="Calibri" w:eastAsia="Calibri" w:hAnsi="Calibri"/>
          <w:sz w:val="22"/>
          <w:szCs w:val="22"/>
        </w:rPr>
        <w:t xml:space="preserve">Enrollment, progress tracking, quizzes, and administration are all tightly coupled to a single workflow: a student progressing through a course they are already enrolled in. Quiz results and progress records only have meaning in the context of an enrollment, and administration is largely read-only aggregation over the other two services. Splitting these into separate microservices would introduce distributed-system overhead without a corresponding benefit at this scale, so they are implemented as modules within a single core application.</w:t>
      </w:r>
    </w:p>
    <w:p>
      <w:pPr>
        <w:pStyle w:val="Heading3"/>
        <w:spacing w:after="100" w:before="200"/>
      </w:pPr>
      <w:r>
        <w:t xml:space="preserve">Notifications</w:t>
      </w:r>
    </w:p>
    <w:p>
      <w:pPr>
        <w:spacing w:after="160" w:line="276"/>
      </w:pPr>
      <w:r>
        <w:rPr>
          <w:rFonts w:ascii="Calibri" w:cs="Calibri" w:eastAsia="Calibri" w:hAnsi="Calibri"/>
          <w:sz w:val="22"/>
          <w:szCs w:val="22"/>
        </w:rPr>
        <w:t xml:space="preserve">Notifications are a cross-cutting concern that would otherwise require asynchronous messaging infrastructure (e.g., RabbitMQ) to deliver reliably. With no such infrastructure in this architecture and no frontend to surface notifications, this capability is out of scope for the current exercise (see Section 12 for an optional future extension).</w:t>
      </w:r>
    </w:p>
    <w:p>
      <w:pPr>
        <w:pStyle w:val="Heading3"/>
        <w:spacing w:after="100" w:before="200"/>
      </w:pPr>
      <w:r>
        <w:t xml:space="preserve">API Gateway</w:t>
      </w:r>
    </w:p>
    <w:p>
      <w:pPr>
        <w:spacing w:after="160" w:line="276"/>
      </w:pPr>
      <w:r>
        <w:rPr>
          <w:rFonts w:ascii="Calibri" w:cs="Calibri" w:eastAsia="Calibri" w:hAnsi="Calibri"/>
          <w:sz w:val="22"/>
          <w:szCs w:val="22"/>
        </w:rPr>
        <w:t xml:space="preserve">Although the system has been reduced to two microservices and one modular monolith, an API Gateway is retained as the single entry point for all client traffic. With three independently addressable backend applications, a gateway removes the need for a client to know each service's host and port directly, centralizes JWT validation and routing at one layer, and reflects standard practice for any system a client is expected to integrate against — even a small one. It is implemented using YARP, kept deliberately thin (routing and auth only, no transformation logic), so it adds a single well-understood layer rather than material complexity.</w:t>
      </w:r>
    </w:p>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tcW w:type="pct" w:w="100%"/>
            <w:shd w:fill="F5F8FC" w:val="clear"/>
            <w:tcMar>
              <w:top w:type="dxa" w:w="200"/>
              <w:left w:type="dxa" w:w="260"/>
              <w:bottom w:type="dxa" w:w="200"/>
              <w:right w:type="dxa" w:w="260"/>
            </w:tcMar>
          </w:tcPr>
          <w:p>
            <w:pPr>
              <w:spacing w:after="120" w:line="276"/>
            </w:pPr>
            <w:r>
              <w:rPr>
                <w:rFonts w:ascii="Calibri" w:cs="Calibri" w:eastAsia="Calibri" w:hAnsi="Calibri"/>
                <w:i/>
                <w:iCs/>
                <w:color w:val="333333"/>
                <w:sz w:val="21"/>
                <w:szCs w:val="21"/>
              </w:rPr>
              <w:t xml:space="preserve">“Authentication and course management have independent bounded contexts and can evolve separately, so they are implemented as deployable microservices. Enrollment, progress, and quiz functionality are tightly coupled to the same workflow, so they are kept together as modules in a core service to avoid unnecessary distributed-system complexity. A single API Gateway sits in front of all three, giving clients one consistent entry point without adding messaging or orchestration complexity behind it.”</w:t>
            </w:r>
          </w:p>
        </w:tc>
      </w:tr>
    </w:tbl>
    <w:p>
      <w:pPr>
        <w:pStyle w:val="Heading1"/>
        <w:spacing w:after="160" w:before="360"/>
      </w:pPr>
      <w:r>
        <w:t xml:space="preserve">4. Final Architecture</w:t>
      </w:r>
    </w:p>
    <w:p>
      <w:pPr>
        <w:spacing w:after="160" w:line="276"/>
      </w:pPr>
      <w:r>
        <w:rPr>
          <w:rFonts w:ascii="Calibri" w:cs="Calibri" w:eastAsia="Calibri" w:hAnsi="Calibri"/>
          <w:sz w:val="22"/>
          <w:szCs w:val="22"/>
        </w:rPr>
        <w:t xml:space="preserve">The system consists of an API Gateway plus three independently runnable backend applications, each backend service with its own database:</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                          Client</w:t>
            </w:r>
          </w:p>
          <w:p>
            <w:pPr>
              <w:spacing w:after="0"/>
            </w:pPr>
            <w:r>
              <w:rPr>
                <w:rFonts w:ascii="Consolas" w:cs="Consolas" w:eastAsia="Consolas" w:hAnsi="Consolas"/>
                <w:color w:val="333333"/>
                <w:sz w:val="18"/>
                <w:szCs w:val="18"/>
              </w:rPr>
              <w:t xml:space="preserve">                    Postman / Swagger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API Gateway |   (YARP)</w:t>
            </w:r>
          </w:p>
          <w:p>
            <w:pPr>
              <w:spacing w:after="0"/>
            </w:pPr>
            <w:r>
              <w:rPr>
                <w:rFonts w:ascii="Consolas" w:cs="Consolas" w:eastAsia="Consolas" w:hAnsi="Consolas"/>
                <w:color w:val="333333"/>
                <w:sz w:val="18"/>
                <w:szCs w:val="18"/>
              </w:rPr>
              <w:t xml:space="preserve">                    |    :5000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                 |</w:t>
            </w:r>
          </w:p>
          <w:p>
            <w:pPr>
              <w:spacing w:after="0"/>
            </w:pPr>
            <w:r>
              <w:rPr>
                <w:rFonts w:ascii="Consolas" w:cs="Consolas" w:eastAsia="Consolas" w:hAnsi="Consolas"/>
                <w:color w:val="333333"/>
                <w:sz w:val="18"/>
                <w:szCs w:val="18"/>
              </w:rPr>
              <w:t xml:space="preserve">        v                 v                 v</w:t>
            </w:r>
          </w:p>
          <w:p>
            <w:pPr>
              <w:spacing w:after="0"/>
            </w:pPr>
            <w:r>
              <w:rPr>
                <w:rFonts w:ascii="Consolas" w:cs="Consolas" w:eastAsia="Consolas" w:hAnsi="Consolas"/>
                <w:color w:val="333333"/>
                <w:sz w:val="18"/>
                <w:szCs w:val="18"/>
              </w:rPr>
              <w:t xml:space="preserve">  Identity Service   Course Service    EduSphere Core</w:t>
            </w:r>
          </w:p>
          <w:p>
            <w:pPr>
              <w:spacing w:after="0"/>
            </w:pPr>
            <w:r>
              <w:rPr>
                <w:rFonts w:ascii="Consolas" w:cs="Consolas" w:eastAsia="Consolas" w:hAnsi="Consolas"/>
                <w:color w:val="333333"/>
                <w:sz w:val="18"/>
                <w:szCs w:val="18"/>
              </w:rPr>
              <w:t xml:space="preserve">    (Microservice)    (Microservice)   (Modular Monolith)</w:t>
            </w:r>
          </w:p>
          <w:p>
            <w:pPr>
              <w:spacing w:after="0"/>
            </w:pPr>
            <w:r>
              <w:rPr>
                <w:rFonts w:ascii="Consolas" w:cs="Consolas" w:eastAsia="Consolas" w:hAnsi="Consolas"/>
                <w:color w:val="333333"/>
                <w:sz w:val="18"/>
                <w:szCs w:val="18"/>
              </w:rPr>
              <w:t xml:space="preserve">      :5001               :5002              :5003</w:t>
            </w:r>
          </w:p>
          <w:p>
            <w:pPr>
              <w:spacing w:after="0"/>
            </w:pPr>
            <w:r>
              <w:rPr>
                <w:rFonts w:ascii="Consolas" w:cs="Consolas" w:eastAsia="Consolas" w:hAnsi="Consolas"/>
                <w:color w:val="333333"/>
                <w:sz w:val="18"/>
                <w:szCs w:val="18"/>
              </w:rPr>
              <w:t xml:space="preserve">        |                 |                 |</w:t>
            </w:r>
          </w:p>
          <w:p>
            <w:pPr>
              <w:spacing w:after="0"/>
            </w:pPr>
            <w:r>
              <w:rPr>
                <w:rFonts w:ascii="Consolas" w:cs="Consolas" w:eastAsia="Consolas" w:hAnsi="Consolas"/>
                <w:color w:val="333333"/>
                <w:sz w:val="18"/>
                <w:szCs w:val="18"/>
              </w:rPr>
              <w:t xml:space="preserve">        |                 |        +--------+--------+</w:t>
            </w:r>
          </w:p>
          <w:p>
            <w:pPr>
              <w:spacing w:after="0"/>
            </w:pPr>
            <w:r>
              <w:rPr>
                <w:rFonts w:ascii="Consolas" w:cs="Consolas" w:eastAsia="Consolas" w:hAnsi="Consolas"/>
                <w:color w:val="333333"/>
                <w:sz w:val="18"/>
                <w:szCs w:val="18"/>
              </w:rPr>
              <w:t xml:space="preserve">        |                 |        |        |        |</w:t>
            </w:r>
          </w:p>
          <w:p>
            <w:pPr>
              <w:spacing w:after="0"/>
            </w:pPr>
            <w:r>
              <w:rPr>
                <w:rFonts w:ascii="Consolas" w:cs="Consolas" w:eastAsia="Consolas" w:hAnsi="Consolas"/>
                <w:color w:val="333333"/>
                <w:sz w:val="18"/>
                <w:szCs w:val="18"/>
              </w:rPr>
              <w:t xml:space="preserve">        |                 |   Enrollment Progress   Quiz + Admin</w:t>
            </w:r>
          </w:p>
          <w:p>
            <w:pPr>
              <w:spacing w:after="0"/>
            </w:pPr>
            <w:r>
              <w:rPr>
                <w:rFonts w:ascii="Consolas" w:cs="Consolas" w:eastAsia="Consolas" w:hAnsi="Consolas"/>
                <w:color w:val="333333"/>
                <w:sz w:val="18"/>
                <w:szCs w:val="18"/>
              </w:rPr>
              <w:t xml:space="preserve">        |                 |        |        |        |</w:t>
            </w:r>
          </w:p>
          <w:p>
            <w:pPr>
              <w:spacing w:after="0"/>
            </w:pPr>
            <w:r>
              <w:rPr>
                <w:rFonts w:ascii="Consolas" w:cs="Consolas" w:eastAsia="Consolas" w:hAnsi="Consolas"/>
                <w:color w:val="333333"/>
                <w:sz w:val="18"/>
                <w:szCs w:val="18"/>
              </w:rPr>
              <w:t xml:space="preserve">        v                 v                 v</w:t>
            </w:r>
          </w:p>
          <w:p>
            <w:pPr>
              <w:spacing w:after="0"/>
            </w:pPr>
            <w:r>
              <w:rPr>
                <w:rFonts w:ascii="Consolas" w:cs="Consolas" w:eastAsia="Consolas" w:hAnsi="Consolas"/>
                <w:color w:val="333333"/>
                <w:sz w:val="18"/>
                <w:szCs w:val="18"/>
              </w:rPr>
              <w:t xml:space="preserve">   IdentityDb          CourseDb          CoreDb</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SQL Server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No Frontend  ·  No RabbitMQ  ·  No Email/SMS</w:t>
            </w:r>
          </w:p>
          <w:p>
            <w:pPr>
              <w:spacing w:after="0"/>
            </w:pPr>
            <w:r>
              <w:rPr>
                <w:rFonts w:ascii="Consolas" w:cs="Consolas" w:eastAsia="Consolas" w:hAnsi="Consolas"/>
                <w:color w:val="333333"/>
                <w:sz w:val="18"/>
                <w:szCs w:val="18"/>
              </w:rPr>
              <w:t xml:space="preserve">  + API Gateway  + JWT  + EF Core  + Clean Architecture</w:t>
            </w:r>
          </w:p>
          <w:p>
            <w:pPr>
              <w:spacing w:after="0"/>
            </w:pPr>
            <w:r>
              <w:rPr>
                <w:rFonts w:ascii="Consolas" w:cs="Consolas" w:eastAsia="Consolas" w:hAnsi="Consolas"/>
                <w:color w:val="333333"/>
                <w:sz w:val="18"/>
                <w:szCs w:val="18"/>
              </w:rPr>
              <w:t xml:space="preserve">  + REST  + xUnit/Moq  + Docker  + Swagger</w:t>
            </w:r>
          </w:p>
        </w:tc>
      </w:tr>
    </w:tbl>
    <w:p>
      <w:pPr>
        <w:spacing w:after="120"/>
      </w:pPr>
    </w:p>
    <w:p>
      <w:pPr>
        <w:spacing w:after="160" w:line="276"/>
      </w:pPr>
      <w:r>
        <w:rPr>
          <w:rFonts w:ascii="Calibri" w:cs="Calibri" w:eastAsia="Calibri" w:hAnsi="Calibri"/>
          <w:sz w:val="22"/>
          <w:szCs w:val="22"/>
        </w:rPr>
        <w:t xml:space="preserve">All client traffic enters through the API Gateway, which routes requests to the appropriate backend service and validates the JWT before forwarding. Internally, EduSphere.Core communicates with Identity Service and Course Service directly over synchronous HTTP (bypassing the gateway for service-to-service calls) when it needs to validate a user or confirm a course exists. No service accesses another service's database directly (Section 8).</w:t>
      </w:r>
    </w:p>
    <w:p>
      <w:pPr>
        <w:pStyle w:val="Heading3"/>
        <w:spacing w:after="100" w:before="200"/>
      </w:pPr>
      <w:r>
        <w:t xml:space="preserve">Solution Structure</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EduSphere/</w:t>
            </w:r>
          </w:p>
          <w:p>
            <w:pPr>
              <w:spacing w:after="0"/>
            </w:pPr>
            <w:r>
              <w:rPr>
                <w:rFonts w:ascii="Consolas" w:cs="Consolas" w:eastAsia="Consolas" w:hAnsi="Consolas"/>
                <w:color w:val="333333"/>
                <w:sz w:val="18"/>
                <w:szCs w:val="18"/>
              </w:rPr>
              <w:t xml:space="preserve">|-- backend/</w:t>
            </w:r>
          </w:p>
          <w:p>
            <w:pPr>
              <w:spacing w:after="0"/>
            </w:pPr>
            <w:r>
              <w:rPr>
                <w:rFonts w:ascii="Consolas" w:cs="Consolas" w:eastAsia="Consolas" w:hAnsi="Consolas"/>
                <w:color w:val="333333"/>
                <w:sz w:val="18"/>
                <w:szCs w:val="18"/>
              </w:rPr>
              <w:t xml:space="preserve">|   |-- ApiGateway/            (YARP reverse proxy, routing + JWT validation)</w:t>
            </w:r>
          </w:p>
          <w:p>
            <w:pPr>
              <w:spacing w:after="0"/>
            </w:pPr>
            <w:r>
              <w:rPr>
                <w:rFonts w:ascii="Consolas" w:cs="Consolas" w:eastAsia="Consolas" w:hAnsi="Consolas"/>
                <w:color w:val="333333"/>
                <w:sz w:val="18"/>
                <w:szCs w:val="18"/>
              </w:rPr>
              <w:t xml:space="preserve">|   |-- IdentityService/</w:t>
            </w:r>
          </w:p>
          <w:p>
            <w:pPr>
              <w:spacing w:after="0"/>
            </w:pPr>
            <w:r>
              <w:rPr>
                <w:rFonts w:ascii="Consolas" w:cs="Consolas" w:eastAsia="Consolas" w:hAnsi="Consolas"/>
                <w:color w:val="333333"/>
                <w:sz w:val="18"/>
                <w:szCs w:val="18"/>
              </w:rPr>
              <w:t xml:space="preserve">|   |   |-- Identity.Domain/</w:t>
            </w:r>
          </w:p>
          <w:p>
            <w:pPr>
              <w:spacing w:after="0"/>
            </w:pPr>
            <w:r>
              <w:rPr>
                <w:rFonts w:ascii="Consolas" w:cs="Consolas" w:eastAsia="Consolas" w:hAnsi="Consolas"/>
                <w:color w:val="333333"/>
                <w:sz w:val="18"/>
                <w:szCs w:val="18"/>
              </w:rPr>
              <w:t xml:space="preserve">|   |   |-- Identity.Application/</w:t>
            </w:r>
          </w:p>
          <w:p>
            <w:pPr>
              <w:spacing w:after="0"/>
            </w:pPr>
            <w:r>
              <w:rPr>
                <w:rFonts w:ascii="Consolas" w:cs="Consolas" w:eastAsia="Consolas" w:hAnsi="Consolas"/>
                <w:color w:val="333333"/>
                <w:sz w:val="18"/>
                <w:szCs w:val="18"/>
              </w:rPr>
              <w:t xml:space="preserve">|   |   |-- Identity.Infrastructure/</w:t>
            </w:r>
          </w:p>
          <w:p>
            <w:pPr>
              <w:spacing w:after="0"/>
            </w:pPr>
            <w:r>
              <w:rPr>
                <w:rFonts w:ascii="Consolas" w:cs="Consolas" w:eastAsia="Consolas" w:hAnsi="Consolas"/>
                <w:color w:val="333333"/>
                <w:sz w:val="18"/>
                <w:szCs w:val="18"/>
              </w:rPr>
              <w:t xml:space="preserve">|   |   `-- Identity.API/</w:t>
            </w:r>
          </w:p>
          <w:p>
            <w:pPr>
              <w:spacing w:after="0"/>
            </w:pPr>
            <w:r>
              <w:rPr>
                <w:rFonts w:ascii="Consolas" w:cs="Consolas" w:eastAsia="Consolas" w:hAnsi="Consolas"/>
                <w:color w:val="333333"/>
                <w:sz w:val="18"/>
                <w:szCs w:val="18"/>
              </w:rPr>
              <w:t xml:space="preserve">|   |-- CourseService/</w:t>
            </w:r>
          </w:p>
          <w:p>
            <w:pPr>
              <w:spacing w:after="0"/>
            </w:pPr>
            <w:r>
              <w:rPr>
                <w:rFonts w:ascii="Consolas" w:cs="Consolas" w:eastAsia="Consolas" w:hAnsi="Consolas"/>
                <w:color w:val="333333"/>
                <w:sz w:val="18"/>
                <w:szCs w:val="18"/>
              </w:rPr>
              <w:t xml:space="preserve">|   |   |-- Course.Domain/</w:t>
            </w:r>
          </w:p>
          <w:p>
            <w:pPr>
              <w:spacing w:after="0"/>
            </w:pPr>
            <w:r>
              <w:rPr>
                <w:rFonts w:ascii="Consolas" w:cs="Consolas" w:eastAsia="Consolas" w:hAnsi="Consolas"/>
                <w:color w:val="333333"/>
                <w:sz w:val="18"/>
                <w:szCs w:val="18"/>
              </w:rPr>
              <w:t xml:space="preserve">|   |   |-- Course.Application/</w:t>
            </w:r>
          </w:p>
          <w:p>
            <w:pPr>
              <w:spacing w:after="0"/>
            </w:pPr>
            <w:r>
              <w:rPr>
                <w:rFonts w:ascii="Consolas" w:cs="Consolas" w:eastAsia="Consolas" w:hAnsi="Consolas"/>
                <w:color w:val="333333"/>
                <w:sz w:val="18"/>
                <w:szCs w:val="18"/>
              </w:rPr>
              <w:t xml:space="preserve">|   |   |-- Course.Infrastructure/</w:t>
            </w:r>
          </w:p>
          <w:p>
            <w:pPr>
              <w:spacing w:after="0"/>
            </w:pPr>
            <w:r>
              <w:rPr>
                <w:rFonts w:ascii="Consolas" w:cs="Consolas" w:eastAsia="Consolas" w:hAnsi="Consolas"/>
                <w:color w:val="333333"/>
                <w:sz w:val="18"/>
                <w:szCs w:val="18"/>
              </w:rPr>
              <w:t xml:space="preserve">|   |   `-- Course.API/</w:t>
            </w:r>
          </w:p>
          <w:p>
            <w:pPr>
              <w:spacing w:after="0"/>
            </w:pPr>
            <w:r>
              <w:rPr>
                <w:rFonts w:ascii="Consolas" w:cs="Consolas" w:eastAsia="Consolas" w:hAnsi="Consolas"/>
                <w:color w:val="333333"/>
                <w:sz w:val="18"/>
                <w:szCs w:val="18"/>
              </w:rPr>
              <w:t xml:space="preserve">|   |-- EduSphere.Core/</w:t>
            </w:r>
          </w:p>
          <w:p>
            <w:pPr>
              <w:spacing w:after="0"/>
            </w:pPr>
            <w:r>
              <w:rPr>
                <w:rFonts w:ascii="Consolas" w:cs="Consolas" w:eastAsia="Consolas" w:hAnsi="Consolas"/>
                <w:color w:val="333333"/>
                <w:sz w:val="18"/>
                <w:szCs w:val="18"/>
              </w:rPr>
              <w:t xml:space="preserve">|   |   |-- Core.Domain/       (Enrollment, Progress, Quiz, Question, QuizAttempt)</w:t>
            </w:r>
          </w:p>
          <w:p>
            <w:pPr>
              <w:spacing w:after="0"/>
            </w:pPr>
            <w:r>
              <w:rPr>
                <w:rFonts w:ascii="Consolas" w:cs="Consolas" w:eastAsia="Consolas" w:hAnsi="Consolas"/>
                <w:color w:val="333333"/>
                <w:sz w:val="18"/>
                <w:szCs w:val="18"/>
              </w:rPr>
              <w:t xml:space="preserve">|   |   |-- Core.Application/  (includes HTTP clients to Identity + Course)</w:t>
            </w:r>
          </w:p>
          <w:p>
            <w:pPr>
              <w:spacing w:after="0"/>
            </w:pPr>
            <w:r>
              <w:rPr>
                <w:rFonts w:ascii="Consolas" w:cs="Consolas" w:eastAsia="Consolas" w:hAnsi="Consolas"/>
                <w:color w:val="333333"/>
                <w:sz w:val="18"/>
                <w:szCs w:val="18"/>
              </w:rPr>
              <w:t xml:space="preserve">|   |   |-- Core.Infrastructure/</w:t>
            </w:r>
          </w:p>
          <w:p>
            <w:pPr>
              <w:spacing w:after="0"/>
            </w:pPr>
            <w:r>
              <w:rPr>
                <w:rFonts w:ascii="Consolas" w:cs="Consolas" w:eastAsia="Consolas" w:hAnsi="Consolas"/>
                <w:color w:val="333333"/>
                <w:sz w:val="18"/>
                <w:szCs w:val="18"/>
              </w:rPr>
              <w:t xml:space="preserve">|   |   `-- Core.API/</w:t>
            </w:r>
          </w:p>
          <w:p>
            <w:pPr>
              <w:spacing w:after="0"/>
            </w:pPr>
            <w:r>
              <w:rPr>
                <w:rFonts w:ascii="Consolas" w:cs="Consolas" w:eastAsia="Consolas" w:hAnsi="Consolas"/>
                <w:color w:val="333333"/>
                <w:sz w:val="18"/>
                <w:szCs w:val="18"/>
              </w:rPr>
              <w:t xml:space="preserve">|   `-- shared/</w:t>
            </w:r>
          </w:p>
          <w:p>
            <w:pPr>
              <w:spacing w:after="0"/>
            </w:pPr>
            <w:r>
              <w:rPr>
                <w:rFonts w:ascii="Consolas" w:cs="Consolas" w:eastAsia="Consolas" w:hAnsi="Consolas"/>
                <w:color w:val="333333"/>
                <w:sz w:val="18"/>
                <w:szCs w:val="18"/>
              </w:rPr>
              <w:t xml:space="preserve">|       `-- SharedKernel/      (common exceptions, middleware, base entity)</w:t>
            </w:r>
          </w:p>
          <w:p>
            <w:pPr>
              <w:spacing w:after="0"/>
            </w:pPr>
            <w:r>
              <w:rPr>
                <w:rFonts w:ascii="Consolas" w:cs="Consolas" w:eastAsia="Consolas" w:hAnsi="Consolas"/>
                <w:color w:val="333333"/>
                <w:sz w:val="18"/>
                <w:szCs w:val="18"/>
              </w:rPr>
              <w:t xml:space="preserve">|-- tests/</w:t>
            </w:r>
          </w:p>
          <w:p>
            <w:pPr>
              <w:spacing w:after="0"/>
            </w:pPr>
            <w:r>
              <w:rPr>
                <w:rFonts w:ascii="Consolas" w:cs="Consolas" w:eastAsia="Consolas" w:hAnsi="Consolas"/>
                <w:color w:val="333333"/>
                <w:sz w:val="18"/>
                <w:szCs w:val="18"/>
              </w:rPr>
              <w:t xml:space="preserve">|   |-- Identity.UnitTests/</w:t>
            </w:r>
          </w:p>
          <w:p>
            <w:pPr>
              <w:spacing w:after="0"/>
            </w:pPr>
            <w:r>
              <w:rPr>
                <w:rFonts w:ascii="Consolas" w:cs="Consolas" w:eastAsia="Consolas" w:hAnsi="Consolas"/>
                <w:color w:val="333333"/>
                <w:sz w:val="18"/>
                <w:szCs w:val="18"/>
              </w:rPr>
              <w:t xml:space="preserve">|   |-- Course.UnitTests/</w:t>
            </w:r>
          </w:p>
          <w:p>
            <w:pPr>
              <w:spacing w:after="0"/>
            </w:pPr>
            <w:r>
              <w:rPr>
                <w:rFonts w:ascii="Consolas" w:cs="Consolas" w:eastAsia="Consolas" w:hAnsi="Consolas"/>
                <w:color w:val="333333"/>
                <w:sz w:val="18"/>
                <w:szCs w:val="18"/>
              </w:rPr>
              <w:t xml:space="preserve">|   `-- Core.UnitTests/</w:t>
            </w:r>
          </w:p>
          <w:p>
            <w:pPr>
              <w:spacing w:after="0"/>
            </w:pPr>
            <w:r>
              <w:rPr>
                <w:rFonts w:ascii="Consolas" w:cs="Consolas" w:eastAsia="Consolas" w:hAnsi="Consolas"/>
                <w:color w:val="333333"/>
                <w:sz w:val="18"/>
                <w:szCs w:val="18"/>
              </w:rPr>
              <w:t xml:space="preserve">`-- docker-compose.yml</w:t>
            </w:r>
          </w:p>
        </w:tc>
      </w:tr>
    </w:tbl>
    <w:p>
      <w:pPr>
        <w:pStyle w:val="Heading1"/>
        <w:spacing w:after="160" w:before="360"/>
      </w:pPr>
      <w:r>
        <w:t xml:space="preserve">5. Technology Stack</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600"/>
        <w:gridCol w:w="3400"/>
        <w:gridCol w:w="336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Component</w:t>
            </w:r>
          </w:p>
        </w:tc>
        <w:tc>
          <w:tcPr>
            <w:tcW w:type="dxa" w:w="3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c>
          <w:tcPr>
            <w:tcW w:type="dxa" w:w="336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Backend</w:t>
            </w:r>
          </w:p>
        </w:tc>
        <w:tc>
          <w:tcPr>
            <w:tcW w:type="dxa" w:w="3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.NET 10, ASP.NET Core, EF Core</w:t>
            </w:r>
          </w:p>
        </w:tc>
        <w:tc>
          <w:tcPr>
            <w:tcW w:type="dxa" w:w="33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w:t>
            </w:r>
          </w:p>
        </w:tc>
      </w:tr>
      <w:tr>
        <w:tc>
          <w:tcPr>
            <w:tcW w:type="dxa" w:w="26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API Gateway</w:t>
            </w:r>
          </w:p>
        </w:tc>
        <w:tc>
          <w:tcPr>
            <w:tcW w:type="dxa" w:w="3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YARP (Yet Another Reverse Proxy)</w:t>
            </w:r>
          </w:p>
        </w:tc>
        <w:tc>
          <w:tcPr>
            <w:tcW w:type="dxa" w:w="33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Single entry point; routes to Identity, Course, and Core</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Database</w:t>
            </w:r>
          </w:p>
        </w:tc>
        <w:tc>
          <w:tcPr>
            <w:tcW w:type="dxa" w:w="3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SQL Server 2022</w:t>
            </w:r>
          </w:p>
        </w:tc>
        <w:tc>
          <w:tcPr>
            <w:tcW w:type="dxa" w:w="33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IdentityDb, CourseDb, CoreDb — one per deployable unit</w:t>
            </w:r>
          </w:p>
        </w:tc>
      </w:tr>
      <w:tr>
        <w:tc>
          <w:tcPr>
            <w:tcW w:type="dxa" w:w="26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Inter-service communication</w:t>
            </w:r>
          </w:p>
        </w:tc>
        <w:tc>
          <w:tcPr>
            <w:tcW w:type="dxa" w:w="3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HttpClient (synchronous REST)</w:t>
            </w:r>
          </w:p>
        </w:tc>
        <w:tc>
          <w:tcPr>
            <w:tcW w:type="dxa" w:w="33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No message broker</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Authentication</w:t>
            </w:r>
          </w:p>
        </w:tc>
        <w:tc>
          <w:tcPr>
            <w:tcW w:type="dxa" w:w="3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JWT bearer tokens</w:t>
            </w:r>
          </w:p>
        </w:tc>
        <w:tc>
          <w:tcPr>
            <w:tcW w:type="dxa" w:w="33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Issued by Identity Service; validated by all three applications</w:t>
            </w:r>
          </w:p>
        </w:tc>
      </w:tr>
      <w:tr>
        <w:tc>
          <w:tcPr>
            <w:tcW w:type="dxa" w:w="26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Authorization</w:t>
            </w:r>
          </w:p>
        </w:tc>
        <w:tc>
          <w:tcPr>
            <w:tcW w:type="dxa" w:w="3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Role-based (Student, Instructor, Admin)</w:t>
            </w:r>
          </w:p>
        </w:tc>
        <w:tc>
          <w:tcPr>
            <w:tcW w:type="dxa" w:w="33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Testing</w:t>
            </w:r>
          </w:p>
        </w:tc>
        <w:tc>
          <w:tcPr>
            <w:tcW w:type="dxa" w:w="3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xUnit + Moq</w:t>
            </w:r>
          </w:p>
        </w:tc>
        <w:tc>
          <w:tcPr>
            <w:tcW w:type="dxa" w:w="33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Business logic only, not EF Core itself</w:t>
            </w:r>
          </w:p>
        </w:tc>
      </w:tr>
      <w:tr>
        <w:tc>
          <w:tcPr>
            <w:tcW w:type="dxa" w:w="26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API documentation</w:t>
            </w:r>
          </w:p>
        </w:tc>
        <w:tc>
          <w:tcPr>
            <w:tcW w:type="dxa" w:w="3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Swagger / OpenAPI, per service</w:t>
            </w:r>
          </w:p>
        </w:tc>
        <w:tc>
          <w:tcPr>
            <w:tcW w:type="dxa" w:w="33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Primary demonstration interface — no frontend</w:t>
            </w:r>
          </w:p>
        </w:tc>
      </w:tr>
      <w:tr>
        <w:tc>
          <w:tcPr>
            <w:tcW w:type="dxa" w:w="26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Containers</w:t>
            </w:r>
          </w:p>
        </w:tc>
        <w:tc>
          <w:tcPr>
            <w:tcW w:type="dxa" w:w="3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Docker + Docker Compose</w:t>
            </w:r>
          </w:p>
        </w:tc>
        <w:tc>
          <w:tcPr>
            <w:tcW w:type="dxa" w:w="33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4 API containers (gateway + 3 services) + SQL Server</w:t>
            </w:r>
          </w:p>
        </w:tc>
      </w:tr>
    </w:tbl>
    <w:p>
      <w:pPr>
        <w:pStyle w:val="Heading1"/>
        <w:spacing w:after="160" w:before="360"/>
      </w:pPr>
      <w:r>
        <w:t xml:space="preserve">6. Service Breakdown and API Endpoints</w:t>
      </w:r>
    </w:p>
    <w:p>
      <w:pPr>
        <w:pStyle w:val="Heading2"/>
        <w:spacing w:after="120" w:before="260"/>
      </w:pPr>
      <w:r>
        <w:t xml:space="preserve">7.1  API Gateway — Port 5000</w:t>
      </w:r>
    </w:p>
    <w:p>
      <w:pPr>
        <w:spacing w:after="160" w:line="276"/>
      </w:pPr>
      <w:r>
        <w:rPr>
          <w:rFonts w:ascii="Calibri" w:cs="Calibri" w:eastAsia="Calibri" w:hAnsi="Calibri"/>
          <w:sz w:val="22"/>
          <w:szCs w:val="22"/>
        </w:rPr>
        <w:t xml:space="preserve">The single point of entry for all clients. Routes incoming requests to the correct backend service by path prefix and validates the JWT before forwarding — individual services no longer need to be reached directly during normal use, though each still exposes its own Swagger for local development and debugging.</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/api/auth/*          -&gt; Identity Service   (:5001)</w:t>
            </w:r>
          </w:p>
          <w:p>
            <w:pPr>
              <w:spacing w:after="0"/>
            </w:pPr>
            <w:r>
              <w:rPr>
                <w:rFonts w:ascii="Consolas" w:cs="Consolas" w:eastAsia="Consolas" w:hAnsi="Consolas"/>
                <w:color w:val="333333"/>
                <w:sz w:val="18"/>
                <w:szCs w:val="18"/>
              </w:rPr>
              <w:t xml:space="preserve">/api/users/*         -&gt; Identity Service   (:5001)</w:t>
            </w:r>
          </w:p>
          <w:p>
            <w:pPr>
              <w:spacing w:after="0"/>
            </w:pPr>
            <w:r>
              <w:rPr>
                <w:rFonts w:ascii="Consolas" w:cs="Consolas" w:eastAsia="Consolas" w:hAnsi="Consolas"/>
                <w:color w:val="333333"/>
                <w:sz w:val="18"/>
                <w:szCs w:val="18"/>
              </w:rPr>
              <w:t xml:space="preserve">/api/courses/*       -&gt; Course Service     (:5002)</w:t>
            </w:r>
          </w:p>
          <w:p>
            <w:pPr>
              <w:spacing w:after="0"/>
            </w:pPr>
            <w:r>
              <w:rPr>
                <w:rFonts w:ascii="Consolas" w:cs="Consolas" w:eastAsia="Consolas" w:hAnsi="Consolas"/>
                <w:color w:val="333333"/>
                <w:sz w:val="18"/>
                <w:szCs w:val="18"/>
              </w:rPr>
              <w:t xml:space="preserve">/api/sections/*      -&gt; Course Service     (:5002)</w:t>
            </w:r>
          </w:p>
          <w:p>
            <w:pPr>
              <w:spacing w:after="0"/>
            </w:pPr>
            <w:r>
              <w:rPr>
                <w:rFonts w:ascii="Consolas" w:cs="Consolas" w:eastAsia="Consolas" w:hAnsi="Consolas"/>
                <w:color w:val="333333"/>
                <w:sz w:val="18"/>
                <w:szCs w:val="18"/>
              </w:rPr>
              <w:t xml:space="preserve">/api/enrollments/*   -&gt; EduSphere.Core     (:5003)</w:t>
            </w:r>
          </w:p>
          <w:p>
            <w:pPr>
              <w:spacing w:after="0"/>
            </w:pPr>
            <w:r>
              <w:rPr>
                <w:rFonts w:ascii="Consolas" w:cs="Consolas" w:eastAsia="Consolas" w:hAnsi="Consolas"/>
                <w:color w:val="333333"/>
                <w:sz w:val="18"/>
                <w:szCs w:val="18"/>
              </w:rPr>
              <w:t xml:space="preserve">/api/progress/*      -&gt; EduSphere.Core     (:5003)</w:t>
            </w:r>
          </w:p>
          <w:p>
            <w:pPr>
              <w:spacing w:after="0"/>
            </w:pPr>
            <w:r>
              <w:rPr>
                <w:rFonts w:ascii="Consolas" w:cs="Consolas" w:eastAsia="Consolas" w:hAnsi="Consolas"/>
                <w:color w:val="333333"/>
                <w:sz w:val="18"/>
                <w:szCs w:val="18"/>
              </w:rPr>
              <w:t xml:space="preserve">/api/quizzes/*       -&gt; EduSphere.Core     (:5003)</w:t>
            </w:r>
          </w:p>
          <w:p>
            <w:pPr>
              <w:spacing w:after="0"/>
            </w:pPr>
            <w:r>
              <w:rPr>
                <w:rFonts w:ascii="Consolas" w:cs="Consolas" w:eastAsia="Consolas" w:hAnsi="Consolas"/>
                <w:color w:val="333333"/>
                <w:sz w:val="18"/>
                <w:szCs w:val="18"/>
              </w:rPr>
              <w:t xml:space="preserve">/api/admin/*         -&gt; EduSphere.Core     (:5003)</w:t>
            </w:r>
          </w:p>
          <w:p>
            <w:pPr>
              <w:spacing w:after="0"/>
            </w:pPr>
            <w:r>
              <w:rPr>
                <w:rFonts w:ascii="Consolas" w:cs="Consolas" w:eastAsia="Consolas" w:hAnsi="Consolas"/>
                <w:color w:val="333333"/>
                <w:sz w:val="18"/>
                <w:szCs w:val="18"/>
              </w:rPr>
              <w:t xml:space="preserve">/health              -&gt; aggregated health of all three services</w:t>
            </w:r>
          </w:p>
        </w:tc>
      </w:tr>
    </w:tbl>
    <w:p>
      <w:pPr>
        <w:pStyle w:val="Heading2"/>
        <w:spacing w:after="120" w:before="260"/>
      </w:pPr>
      <w:r>
        <w:t xml:space="preserve">7.2  Identity Service — Port 5001</w:t>
      </w:r>
    </w:p>
    <w:p>
      <w:pPr>
        <w:spacing w:after="160" w:line="276"/>
      </w:pPr>
      <w:r>
        <w:rPr>
          <w:rFonts w:ascii="Calibri" w:cs="Calibri" w:eastAsia="Calibri" w:hAnsi="Calibri"/>
          <w:sz w:val="22"/>
          <w:szCs w:val="22"/>
        </w:rPr>
        <w:t xml:space="preserve">Handles registration, login, JWT issuance, and role management.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POST /api/auth/register</w:t>
            </w:r>
          </w:p>
          <w:p>
            <w:pPr>
              <w:spacing w:after="0"/>
            </w:pPr>
            <w:r>
              <w:rPr>
                <w:rFonts w:ascii="Consolas" w:cs="Consolas" w:eastAsia="Consolas" w:hAnsi="Consolas"/>
                <w:color w:val="333333"/>
                <w:sz w:val="18"/>
                <w:szCs w:val="18"/>
              </w:rPr>
              <w:t xml:space="preserve">POST /api/auth/login</w:t>
            </w:r>
          </w:p>
          <w:p>
            <w:pPr>
              <w:spacing w:after="0"/>
            </w:pPr>
            <w:r>
              <w:rPr>
                <w:rFonts w:ascii="Consolas" w:cs="Consolas" w:eastAsia="Consolas" w:hAnsi="Consolas"/>
                <w:color w:val="333333"/>
                <w:sz w:val="18"/>
                <w:szCs w:val="18"/>
              </w:rPr>
              <w:t xml:space="preserve">GET  /api/users/{id}</w:t>
            </w:r>
          </w:p>
          <w:p>
            <w:pPr>
              <w:spacing w:after="0"/>
            </w:pPr>
            <w:r>
              <w:rPr>
                <w:rFonts w:ascii="Consolas" w:cs="Consolas" w:eastAsia="Consolas" w:hAnsi="Consolas"/>
                <w:color w:val="333333"/>
                <w:sz w:val="18"/>
                <w:szCs w:val="18"/>
              </w:rPr>
              <w:t xml:space="preserve">GET  /api/users</w:t>
            </w:r>
          </w:p>
          <w:p>
            <w:pPr>
              <w:spacing w:after="0"/>
            </w:pPr>
            <w:r>
              <w:rPr>
                <w:rFonts w:ascii="Consolas" w:cs="Consolas" w:eastAsia="Consolas" w:hAnsi="Consolas"/>
                <w:color w:val="333333"/>
                <w:sz w:val="18"/>
                <w:szCs w:val="18"/>
              </w:rPr>
              <w:t xml:space="preserve">PUT  /api/users/{id}</w:t>
            </w:r>
          </w:p>
          <w:p>
            <w:pPr>
              <w:spacing w:after="0"/>
            </w:pPr>
            <w:r>
              <w:rPr>
                <w:rFonts w:ascii="Consolas" w:cs="Consolas" w:eastAsia="Consolas" w:hAnsi="Consolas"/>
                <w:color w:val="333333"/>
                <w:sz w:val="18"/>
                <w:szCs w:val="18"/>
              </w:rPr>
              <w:t xml:space="preserve">GET  /health</w:t>
            </w:r>
          </w:p>
        </w:tc>
      </w:tr>
    </w:tbl>
    <w:p>
      <w:pPr>
        <w:pStyle w:val="Heading2"/>
        <w:spacing w:after="120" w:before="260"/>
      </w:pPr>
      <w:r>
        <w:t xml:space="preserve">7.3  Course Service — Port 5002</w:t>
      </w:r>
    </w:p>
    <w:p>
      <w:pPr>
        <w:spacing w:after="160" w:line="276"/>
      </w:pPr>
      <w:r>
        <w:rPr>
          <w:rFonts w:ascii="Calibri" w:cs="Calibri" w:eastAsia="Calibri" w:hAnsi="Calibri"/>
          <w:sz w:val="22"/>
          <w:szCs w:val="22"/>
        </w:rPr>
        <w:t xml:space="preserve">Handles course, section, and lesson management. Course ownership is tracked via InstructorId, a plain identifier — never a foreign key into IdentityDb.</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POST   /api/courses</w:t>
            </w:r>
          </w:p>
          <w:p>
            <w:pPr>
              <w:spacing w:after="0"/>
            </w:pPr>
            <w:r>
              <w:rPr>
                <w:rFonts w:ascii="Consolas" w:cs="Consolas" w:eastAsia="Consolas" w:hAnsi="Consolas"/>
                <w:color w:val="333333"/>
                <w:sz w:val="18"/>
                <w:szCs w:val="18"/>
              </w:rPr>
              <w:t xml:space="preserve">GET    /api/courses</w:t>
            </w:r>
          </w:p>
          <w:p>
            <w:pPr>
              <w:spacing w:after="0"/>
            </w:pPr>
            <w:r>
              <w:rPr>
                <w:rFonts w:ascii="Consolas" w:cs="Consolas" w:eastAsia="Consolas" w:hAnsi="Consolas"/>
                <w:color w:val="333333"/>
                <w:sz w:val="18"/>
                <w:szCs w:val="18"/>
              </w:rPr>
              <w:t xml:space="preserve">GET    /api/courses/{id}</w:t>
            </w:r>
          </w:p>
          <w:p>
            <w:pPr>
              <w:spacing w:after="0"/>
            </w:pPr>
            <w:r>
              <w:rPr>
                <w:rFonts w:ascii="Consolas" w:cs="Consolas" w:eastAsia="Consolas" w:hAnsi="Consolas"/>
                <w:color w:val="333333"/>
                <w:sz w:val="18"/>
                <w:szCs w:val="18"/>
              </w:rPr>
              <w:t xml:space="preserve">PUT    /api/courses/{id}</w:t>
            </w:r>
          </w:p>
          <w:p>
            <w:pPr>
              <w:spacing w:after="0"/>
            </w:pPr>
            <w:r>
              <w:rPr>
                <w:rFonts w:ascii="Consolas" w:cs="Consolas" w:eastAsia="Consolas" w:hAnsi="Consolas"/>
                <w:color w:val="333333"/>
                <w:sz w:val="18"/>
                <w:szCs w:val="18"/>
              </w:rPr>
              <w:t xml:space="preserve">DELETE /api/courses/{id}</w:t>
            </w:r>
          </w:p>
          <w:p>
            <w:pPr>
              <w:spacing w:after="0"/>
            </w:pPr>
            <w:r>
              <w:rPr>
                <w:rFonts w:ascii="Consolas" w:cs="Consolas" w:eastAsia="Consolas" w:hAnsi="Consolas"/>
                <w:color w:val="333333"/>
                <w:sz w:val="18"/>
                <w:szCs w:val="18"/>
              </w:rPr>
              <w:t xml:space="preserve">POST   /api/courses/{courseId}/sections</w:t>
            </w:r>
          </w:p>
          <w:p>
            <w:pPr>
              <w:spacing w:after="0"/>
            </w:pPr>
            <w:r>
              <w:rPr>
                <w:rFonts w:ascii="Consolas" w:cs="Consolas" w:eastAsia="Consolas" w:hAnsi="Consolas"/>
                <w:color w:val="333333"/>
                <w:sz w:val="18"/>
                <w:szCs w:val="18"/>
              </w:rPr>
              <w:t xml:space="preserve">GET    /api/courses/{courseId}/sections</w:t>
            </w:r>
          </w:p>
          <w:p>
            <w:pPr>
              <w:spacing w:after="0"/>
            </w:pPr>
            <w:r>
              <w:rPr>
                <w:rFonts w:ascii="Consolas" w:cs="Consolas" w:eastAsia="Consolas" w:hAnsi="Consolas"/>
                <w:color w:val="333333"/>
                <w:sz w:val="18"/>
                <w:szCs w:val="18"/>
              </w:rPr>
              <w:t xml:space="preserve">POST   /api/sections/{sectionId}/lessons</w:t>
            </w:r>
          </w:p>
          <w:p>
            <w:pPr>
              <w:spacing w:after="0"/>
            </w:pPr>
            <w:r>
              <w:rPr>
                <w:rFonts w:ascii="Consolas" w:cs="Consolas" w:eastAsia="Consolas" w:hAnsi="Consolas"/>
                <w:color w:val="333333"/>
                <w:sz w:val="18"/>
                <w:szCs w:val="18"/>
              </w:rPr>
              <w:t xml:space="preserve">GET    /api/sections/{sectionId}/lessons</w:t>
            </w:r>
          </w:p>
          <w:p>
            <w:pPr>
              <w:spacing w:after="0"/>
            </w:pPr>
            <w:r>
              <w:rPr>
                <w:rFonts w:ascii="Consolas" w:cs="Consolas" w:eastAsia="Consolas" w:hAnsi="Consolas"/>
                <w:color w:val="333333"/>
                <w:sz w:val="18"/>
                <w:szCs w:val="18"/>
              </w:rPr>
              <w:t xml:space="preserve">GET    /health</w:t>
            </w:r>
          </w:p>
        </w:tc>
      </w:tr>
    </w:tbl>
    <w:p>
      <w:pPr>
        <w:pStyle w:val="Heading2"/>
        <w:spacing w:after="120" w:before="260"/>
      </w:pPr>
      <w:r>
        <w:t xml:space="preserve">7.4  EduSphere.Core — Port 5003 (Modules, Not Services)</w:t>
      </w:r>
    </w:p>
    <w:p>
      <w:pPr>
        <w:pStyle w:val="Heading3"/>
        <w:spacing w:after="100" w:before="200"/>
      </w:pPr>
      <w:r>
        <w:t xml:space="preserve">Enrollment Module</w:t>
      </w:r>
    </w:p>
    <w:p>
      <w:pPr>
        <w:spacing w:after="160" w:line="276"/>
      </w:pPr>
      <w:r>
        <w:rPr>
          <w:rFonts w:ascii="Calibri" w:cs="Calibri" w:eastAsia="Calibri" w:hAnsi="Calibri"/>
          <w:sz w:val="22"/>
          <w:szCs w:val="22"/>
        </w:rPr>
        <w:t xml:space="preserve">On enrollment, Core validates the caller's JWT, calls Course Service (GET /api/courses/{id}) to confirm the course exists and is published, then writes the enrollment record. This is a synchronous call within the request path — no shared database, no event.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POST   /api/enrollments</w:t>
            </w:r>
          </w:p>
          <w:p>
            <w:pPr>
              <w:spacing w:after="0"/>
            </w:pPr>
            <w:r>
              <w:rPr>
                <w:rFonts w:ascii="Consolas" w:cs="Consolas" w:eastAsia="Consolas" w:hAnsi="Consolas"/>
                <w:color w:val="333333"/>
                <w:sz w:val="18"/>
                <w:szCs w:val="18"/>
              </w:rPr>
              <w:t xml:space="preserve">GET    /api/enrollments/my</w:t>
            </w:r>
          </w:p>
          <w:p>
            <w:pPr>
              <w:spacing w:after="0"/>
            </w:pPr>
            <w:r>
              <w:rPr>
                <w:rFonts w:ascii="Consolas" w:cs="Consolas" w:eastAsia="Consolas" w:hAnsi="Consolas"/>
                <w:color w:val="333333"/>
                <w:sz w:val="18"/>
                <w:szCs w:val="18"/>
              </w:rPr>
              <w:t xml:space="preserve">GET    /api/enrollments/{id}</w:t>
            </w:r>
          </w:p>
          <w:p>
            <w:pPr>
              <w:spacing w:after="0"/>
            </w:pPr>
            <w:r>
              <w:rPr>
                <w:rFonts w:ascii="Consolas" w:cs="Consolas" w:eastAsia="Consolas" w:hAnsi="Consolas"/>
                <w:color w:val="333333"/>
                <w:sz w:val="18"/>
                <w:szCs w:val="18"/>
              </w:rPr>
              <w:t xml:space="preserve">DELETE /api/enrollments/{id}</w:t>
            </w:r>
          </w:p>
        </w:tc>
      </w:tr>
    </w:tbl>
    <w:p>
      <w:pPr>
        <w:pStyle w:val="Heading3"/>
        <w:spacing w:after="100" w:before="200"/>
      </w:pPr>
      <w:r>
        <w:t xml:space="preserve">Progress Module</w:t>
      </w:r>
    </w:p>
    <w:p>
      <w:pPr>
        <w:spacing w:after="160" w:line="276"/>
      </w:pPr>
      <w:r>
        <w:rPr>
          <w:rFonts w:ascii="Calibri" w:cs="Calibri" w:eastAsia="Calibri" w:hAnsi="Calibri"/>
          <w:sz w:val="22"/>
          <w:szCs w:val="22"/>
        </w:rPr>
        <w:t xml:space="preserve">Intentionally minimal — completion tracking only, no analytics.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POST /api/progress/complete      { enrollmentId, lessonId }</w:t>
            </w:r>
          </w:p>
          <w:p>
            <w:pPr>
              <w:spacing w:after="0"/>
            </w:pPr>
            <w:r>
              <w:rPr>
                <w:rFonts w:ascii="Consolas" w:cs="Consolas" w:eastAsia="Consolas" w:hAnsi="Consolas"/>
                <w:color w:val="333333"/>
                <w:sz w:val="18"/>
                <w:szCs w:val="18"/>
              </w:rPr>
              <w:t xml:space="preserve">GET  /api/progress/course/{courseId}</w:t>
            </w:r>
          </w:p>
        </w:tc>
      </w:tr>
    </w:tbl>
    <w:p>
      <w:pPr>
        <w:pStyle w:val="Heading3"/>
        <w:spacing w:after="100" w:before="200"/>
      </w:pPr>
      <w:r>
        <w:t xml:space="preserve">Quiz Module</w:t>
      </w:r>
    </w:p>
    <w:p>
      <w:pPr>
        <w:spacing w:after="160" w:line="276"/>
      </w:pPr>
      <w:r>
        <w:rPr>
          <w:rFonts w:ascii="Calibri" w:cs="Calibri" w:eastAsia="Calibri" w:hAnsi="Calibri"/>
          <w:sz w:val="22"/>
          <w:szCs w:val="22"/>
        </w:rPr>
        <w:t xml:space="preserve">Scoped to demonstrate meaningful business logic — score calculation — without building a full examination engine.</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POST /api/quizzes</w:t>
            </w:r>
          </w:p>
          <w:p>
            <w:pPr>
              <w:spacing w:after="0"/>
            </w:pPr>
            <w:r>
              <w:rPr>
                <w:rFonts w:ascii="Consolas" w:cs="Consolas" w:eastAsia="Consolas" w:hAnsi="Consolas"/>
                <w:color w:val="333333"/>
                <w:sz w:val="18"/>
                <w:szCs w:val="18"/>
              </w:rPr>
              <w:t xml:space="preserve">POST /api/quizzes/{quizId}/questions</w:t>
            </w:r>
          </w:p>
          <w:p>
            <w:pPr>
              <w:spacing w:after="0"/>
            </w:pPr>
            <w:r>
              <w:rPr>
                <w:rFonts w:ascii="Consolas" w:cs="Consolas" w:eastAsia="Consolas" w:hAnsi="Consolas"/>
                <w:color w:val="333333"/>
                <w:sz w:val="18"/>
                <w:szCs w:val="18"/>
              </w:rPr>
              <w:t xml:space="preserve">GET  /api/quizzes/{quizId}</w:t>
            </w:r>
          </w:p>
          <w:p>
            <w:pPr>
              <w:spacing w:after="0"/>
            </w:pPr>
            <w:r>
              <w:rPr>
                <w:rFonts w:ascii="Consolas" w:cs="Consolas" w:eastAsia="Consolas" w:hAnsi="Consolas"/>
                <w:color w:val="333333"/>
                <w:sz w:val="18"/>
                <w:szCs w:val="18"/>
              </w:rPr>
              <w:t xml:space="preserve">POST /api/quizzes/{quizId}/submit</w:t>
            </w:r>
          </w:p>
          <w:p>
            <w:pPr>
              <w:spacing w:after="0"/>
            </w:pPr>
            <w:r>
              <w:rPr>
                <w:rFonts w:ascii="Consolas" w:cs="Consolas" w:eastAsia="Consolas" w:hAnsi="Consolas"/>
                <w:color w:val="333333"/>
                <w:sz w:val="18"/>
                <w:szCs w:val="18"/>
              </w:rPr>
              <w:t xml:space="preserve">GET  /api/quizzes/{quizId}/results</w:t>
            </w:r>
          </w:p>
        </w:tc>
      </w:tr>
    </w:tbl>
    <w:p>
      <w:pPr>
        <w:pStyle w:val="Heading3"/>
        <w:spacing w:after="100" w:before="200"/>
      </w:pPr>
      <w:r>
        <w:t xml:space="preserve">Admin Module</w:t>
      </w:r>
    </w:p>
    <w:p>
      <w:pPr>
        <w:spacing w:after="160" w:line="276"/>
      </w:pPr>
      <w:r>
        <w:rPr>
          <w:rFonts w:ascii="Calibri" w:cs="Calibri" w:eastAsia="Calibri" w:hAnsi="Calibri"/>
          <w:sz w:val="22"/>
          <w:szCs w:val="22"/>
        </w:rPr>
        <w:t xml:space="preserve">Read-only aggregation. No dashboard-specific endpoints, since there is no frontend.</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GET /api/admin/users        (aggregates from Identity Service)</w:t>
            </w:r>
          </w:p>
          <w:p>
            <w:pPr>
              <w:spacing w:after="0"/>
            </w:pPr>
            <w:r>
              <w:rPr>
                <w:rFonts w:ascii="Consolas" w:cs="Consolas" w:eastAsia="Consolas" w:hAnsi="Consolas"/>
                <w:color w:val="333333"/>
                <w:sz w:val="18"/>
                <w:szCs w:val="18"/>
              </w:rPr>
              <w:t xml:space="preserve">GET /api/admin/courses      (aggregates from Course Service)</w:t>
            </w:r>
          </w:p>
          <w:p>
            <w:pPr>
              <w:spacing w:after="0"/>
            </w:pPr>
            <w:r>
              <w:rPr>
                <w:rFonts w:ascii="Consolas" w:cs="Consolas" w:eastAsia="Consolas" w:hAnsi="Consolas"/>
                <w:color w:val="333333"/>
                <w:sz w:val="18"/>
                <w:szCs w:val="18"/>
              </w:rPr>
              <w:t xml:space="preserve">GET /api/admin/health</w:t>
            </w:r>
          </w:p>
        </w:tc>
      </w:tr>
    </w:tbl>
    <w:p>
      <w:pPr>
        <w:pStyle w:val="Heading1"/>
        <w:spacing w:after="160" w:before="360"/>
      </w:pPr>
      <w:r>
        <w:t xml:space="preserve">7. Database Design</w:t>
      </w:r>
    </w:p>
    <w:p>
      <w:pPr>
        <w:spacing w:after="160" w:line="276"/>
      </w:pPr>
      <w:r>
        <w:rPr>
          <w:rFonts w:ascii="Calibri" w:cs="Calibri" w:eastAsia="Calibri" w:hAnsi="Calibri"/>
          <w:sz w:val="22"/>
          <w:szCs w:val="22"/>
        </w:rPr>
        <w:t xml:space="preserve">A single SQL Server instance hosts three databases. Each deployable unit owns its data exclusively; there are no cross-database foreign keys.</w:t>
      </w:r>
    </w:p>
    <w:p>
      <w:pPr>
        <w:pStyle w:val="Heading2"/>
        <w:spacing w:after="120" w:before="260"/>
      </w:pPr>
      <w:r>
        <w:t xml:space="preserve">8.1  IdentityDb</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696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Table</w:t>
            </w:r>
          </w:p>
        </w:tc>
        <w:tc>
          <w:tcPr>
            <w:tcW w:type="dxa" w:w="696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Columns</w:t>
            </w:r>
          </w:p>
        </w:tc>
      </w:tr>
      <w:tr>
        <w:tc>
          <w:tcPr>
            <w:tcW w:type="dxa" w:w="2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Users</w:t>
            </w:r>
          </w:p>
        </w:tc>
        <w:tc>
          <w:tcPr>
            <w:tcW w:type="dxa" w:w="6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Id, Name, Email, PasswordHash, Role, CreatedAt</w:t>
            </w:r>
          </w:p>
        </w:tc>
      </w:tr>
    </w:tbl>
    <w:p>
      <w:pPr>
        <w:pStyle w:val="Heading2"/>
        <w:spacing w:after="120" w:before="260"/>
      </w:pPr>
      <w:r>
        <w:t xml:space="preserve">8.2  CourseDb</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696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Table</w:t>
            </w:r>
          </w:p>
        </w:tc>
        <w:tc>
          <w:tcPr>
            <w:tcW w:type="dxa" w:w="696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Columns</w:t>
            </w:r>
          </w:p>
        </w:tc>
      </w:tr>
      <w:tr>
        <w:tc>
          <w:tcPr>
            <w:tcW w:type="dxa" w:w="2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Courses</w:t>
            </w:r>
          </w:p>
        </w:tc>
        <w:tc>
          <w:tcPr>
            <w:tcW w:type="dxa" w:w="6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Id, Title, Description, InstructorId, IsPublished, CreatedAt</w:t>
            </w:r>
          </w:p>
        </w:tc>
      </w:tr>
      <w:tr>
        <w:tc>
          <w:tcPr>
            <w:tcW w:type="dxa" w:w="2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Sections</w:t>
            </w:r>
          </w:p>
        </w:tc>
        <w:tc>
          <w:tcPr>
            <w:tcW w:type="dxa" w:w="69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Id, CourseId, Title, Order</w:t>
            </w:r>
          </w:p>
        </w:tc>
      </w:tr>
      <w:tr>
        <w:tc>
          <w:tcPr>
            <w:tcW w:type="dxa" w:w="2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Lessons</w:t>
            </w:r>
          </w:p>
        </w:tc>
        <w:tc>
          <w:tcPr>
            <w:tcW w:type="dxa" w:w="6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Id, SectionId, Title, Content, Order</w:t>
            </w:r>
          </w:p>
        </w:tc>
      </w:tr>
    </w:tbl>
    <w:p>
      <w:pPr>
        <w:spacing w:after="160" w:line="276"/>
      </w:pPr>
      <w:r>
        <w:rPr>
          <w:rFonts w:ascii="Calibri" w:cs="Calibri" w:eastAsia="Calibri" w:hAnsi="Calibri"/>
          <w:sz w:val="22"/>
          <w:szCs w:val="22"/>
        </w:rPr>
        <w:t xml:space="preserve">InstructorId is stored as a plain identifier and is never a foreign key into IdentityDb — this reflects the microservice data-ownership principle in practice.</w:t>
      </w:r>
    </w:p>
    <w:p>
      <w:pPr>
        <w:pStyle w:val="Heading2"/>
        <w:spacing w:after="120" w:before="260"/>
      </w:pPr>
      <w:r>
        <w:t xml:space="preserve">8.3  CoreDb</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696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Table</w:t>
            </w:r>
          </w:p>
        </w:tc>
        <w:tc>
          <w:tcPr>
            <w:tcW w:type="dxa" w:w="696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Columns</w:t>
            </w:r>
          </w:p>
        </w:tc>
      </w:tr>
      <w:tr>
        <w:tc>
          <w:tcPr>
            <w:tcW w:type="dxa" w:w="2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Enrollments</w:t>
            </w:r>
          </w:p>
        </w:tc>
        <w:tc>
          <w:tcPr>
            <w:tcW w:type="dxa" w:w="6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Id, StudentId, CourseId, EnrolledAt</w:t>
            </w:r>
          </w:p>
        </w:tc>
      </w:tr>
      <w:tr>
        <w:tc>
          <w:tcPr>
            <w:tcW w:type="dxa" w:w="2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Progress</w:t>
            </w:r>
          </w:p>
        </w:tc>
        <w:tc>
          <w:tcPr>
            <w:tcW w:type="dxa" w:w="69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Id, EnrollmentId, LessonId, Completed, CompletedAt</w:t>
            </w:r>
          </w:p>
        </w:tc>
      </w:tr>
      <w:tr>
        <w:tc>
          <w:tcPr>
            <w:tcW w:type="dxa" w:w="2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Quizzes</w:t>
            </w:r>
          </w:p>
        </w:tc>
        <w:tc>
          <w:tcPr>
            <w:tcW w:type="dxa" w:w="6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Id, CourseId, Title</w:t>
            </w:r>
          </w:p>
        </w:tc>
      </w:tr>
      <w:tr>
        <w:tc>
          <w:tcPr>
            <w:tcW w:type="dxa" w:w="2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Questions</w:t>
            </w:r>
          </w:p>
        </w:tc>
        <w:tc>
          <w:tcPr>
            <w:tcW w:type="dxa" w:w="69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Id, QuizId, QuestionText, OptionA, OptionB, OptionC, OptionD, CorrectOption</w:t>
            </w:r>
          </w:p>
        </w:tc>
      </w:tr>
      <w:tr>
        <w:tc>
          <w:tcPr>
            <w:tcW w:type="dxa" w:w="2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QuizAttempts</w:t>
            </w:r>
          </w:p>
        </w:tc>
        <w:tc>
          <w:tcPr>
            <w:tcW w:type="dxa" w:w="6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Id, QuizId, StudentId, Score, AttemptedAt</w:t>
            </w:r>
          </w:p>
        </w:tc>
      </w:tr>
    </w:tbl>
    <w:p>
      <w:pPr>
        <w:pStyle w:val="Heading1"/>
        <w:spacing w:after="160" w:before="360"/>
      </w:pPr>
      <w:r>
        <w:t xml:space="preserve">8. Clean Architecture and Cross-Service Rules</w:t>
      </w:r>
    </w:p>
    <w:p>
      <w:pPr>
        <w:spacing w:after="160" w:line="276"/>
      </w:pPr>
      <w:r>
        <w:rPr>
          <w:rFonts w:ascii="Calibri" w:cs="Calibri" w:eastAsia="Calibri" w:hAnsi="Calibri"/>
          <w:sz w:val="22"/>
          <w:szCs w:val="22"/>
        </w:rPr>
        <w:t xml:space="preserve">All three deployable units follow the same four-layer structure and dependency direction:</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        API</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w:t>
            </w:r>
          </w:p>
          <w:p>
            <w:pPr>
              <w:spacing w:after="0"/>
            </w:pPr>
            <w:r>
              <w:rPr>
                <w:rFonts w:ascii="Consolas" w:cs="Consolas" w:eastAsia="Consolas" w:hAnsi="Consolas"/>
                <w:color w:val="333333"/>
                <w:sz w:val="18"/>
                <w:szCs w:val="18"/>
              </w:rPr>
              <w:t xml:space="preserve">    Application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v</w:t>
            </w:r>
          </w:p>
          <w:p>
            <w:pPr>
              <w:spacing w:after="0"/>
            </w:pPr>
            <w:r>
              <w:rPr>
                <w:rFonts w:ascii="Consolas" w:cs="Consolas" w:eastAsia="Consolas" w:hAnsi="Consolas"/>
                <w:color w:val="333333"/>
                <w:sz w:val="18"/>
                <w:szCs w:val="18"/>
              </w:rPr>
              <w:t xml:space="preserve">       Domain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Infrastructure --&gt; Application</w:t>
            </w:r>
          </w:p>
          <w:p>
            <w:pPr>
              <w:spacing w:after="0"/>
            </w:pPr>
            <w:r>
              <w:rPr>
                <w:rFonts w:ascii="Consolas" w:cs="Consolas" w:eastAsia="Consolas" w:hAnsi="Consolas"/>
                <w:color w:val="333333"/>
                <w:sz w:val="18"/>
                <w:szCs w:val="18"/>
              </w:rPr>
              <w:t xml:space="preserve">Infrastructure --&gt; Domain</w:t>
            </w:r>
          </w:p>
        </w:tc>
      </w:tr>
    </w:tbl>
    <w:p>
      <w:pPr>
        <w:spacing w:after="120"/>
      </w:pP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696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696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Responsibility</w:t>
            </w:r>
          </w:p>
        </w:tc>
      </w:tr>
      <w:tr>
        <w:tc>
          <w:tcPr>
            <w:tcW w:type="dxa" w:w="2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Domain</w:t>
            </w:r>
          </w:p>
        </w:tc>
        <w:tc>
          <w:tcPr>
            <w:tcW w:type="dxa" w:w="6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Entities, enums, domain rules. No infrastructure dependency.</w:t>
            </w:r>
          </w:p>
        </w:tc>
      </w:tr>
      <w:tr>
        <w:tc>
          <w:tcPr>
            <w:tcW w:type="dxa" w:w="2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Application</w:t>
            </w:r>
          </w:p>
        </w:tc>
        <w:tc>
          <w:tcPr>
            <w:tcW w:type="dxa" w:w="69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DTOs, interfaces, use-case / service classes, orchestration.</w:t>
            </w:r>
          </w:p>
        </w:tc>
      </w:tr>
      <w:tr>
        <w:tc>
          <w:tcPr>
            <w:tcW w:type="dxa" w:w="2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Infrastructure</w:t>
            </w:r>
          </w:p>
        </w:tc>
        <w:tc>
          <w:tcPr>
            <w:tcW w:type="dxa" w:w="6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EF Core, DbContext, repository implementations, JWT logic, HttpClient wrappers.</w:t>
            </w:r>
          </w:p>
        </w:tc>
      </w:tr>
      <w:tr>
        <w:tc>
          <w:tcPr>
            <w:tcW w:type="dxa" w:w="2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API</w:t>
            </w:r>
          </w:p>
        </w:tc>
        <w:tc>
          <w:tcPr>
            <w:tcW w:type="dxa" w:w="69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Controllers, dependency injection, middleware, authentication configuration.</w:t>
            </w:r>
          </w:p>
        </w:tc>
      </w:tr>
    </w:tbl>
    <w:p>
      <w:pPr>
        <w:spacing w:after="120"/>
      </w:pPr>
    </w:p>
    <w:p>
      <w:pPr>
        <w:pStyle w:val="Heading3"/>
        <w:spacing w:after="100" w:before="200"/>
      </w:pPr>
      <w:r>
        <w:t xml:space="preserve">Cross-Service Data Access Rule</w:t>
      </w:r>
    </w:p>
    <w:p>
      <w:pPr>
        <w:spacing w:after="160" w:line="276"/>
      </w:pPr>
      <w:r>
        <w:rPr>
          <w:rFonts w:ascii="Calibri" w:cs="Calibri" w:eastAsia="Calibri" w:hAnsi="Calibri"/>
          <w:sz w:val="22"/>
          <w:szCs w:val="22"/>
        </w:rPr>
        <w:t xml:space="preserve">No service reads another service's database directly. This is the single most important rule in the system and the one most worth being able to demonstrate.</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NOT ALLOWED:  Core  --&gt;  reads IdentityDb.Users directly</w:t>
            </w:r>
          </w:p>
          <w:p>
            <w:pPr>
              <w:spacing w:after="0"/>
            </w:pPr>
            <w:r>
              <w:rPr>
                <w:rFonts w:ascii="Consolas" w:cs="Consolas" w:eastAsia="Consolas" w:hAnsi="Consolas"/>
                <w:color w:val="333333"/>
                <w:sz w:val="18"/>
                <w:szCs w:val="18"/>
              </w:rPr>
              <w:t xml:space="preserve">REQUIRED:     Core  --&gt;  HTTP  --&gt;  Identity Service  --&gt;  IdentityDb</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REQUIRED:     Core  --&gt;  HTTP  --&gt;  Course Service    --&gt;  CourseDb</w:t>
            </w:r>
          </w:p>
        </w:tc>
      </w:tr>
    </w:tbl>
    <w:p>
      <w:pPr>
        <w:pStyle w:val="Heading1"/>
        <w:spacing w:after="160" w:before="360"/>
      </w:pPr>
      <w:r>
        <w:t xml:space="preserve">9. Backend Quality: Validation, Exception Handling, and Logging</w:t>
      </w:r>
    </w:p>
    <w:p>
      <w:pPr>
        <w:spacing w:after="160" w:line="276"/>
      </w:pPr>
      <w:r>
        <w:rPr>
          <w:rFonts w:ascii="Calibri" w:cs="Calibri" w:eastAsia="Calibri" w:hAnsi="Calibri"/>
          <w:sz w:val="22"/>
          <w:szCs w:val="22"/>
        </w:rPr>
        <w:t xml:space="preserve">These elements are small to implement but materially improve how the system reads under review, and should not be deprioritized in favor of additional CRUD endpoints.</w:t>
      </w:r>
    </w:p>
    <w:p>
      <w:pPr>
        <w:pStyle w:val="Heading3"/>
        <w:spacing w:after="100" w:before="200"/>
      </w:pPr>
      <w:r>
        <w:t xml:space="preserve">Validation</w:t>
      </w:r>
    </w:p>
    <w:p>
      <w:pPr>
        <w:spacing w:after="160" w:line="276"/>
      </w:pPr>
      <w:r>
        <w:rPr>
          <w:rFonts w:ascii="Calibri" w:cs="Calibri" w:eastAsia="Calibri" w:hAnsi="Calibri"/>
          <w:sz w:val="22"/>
          <w:szCs w:val="22"/>
        </w:rPr>
        <w:t xml:space="preserve">Required-field and format validation on every write endpoint (e.g., email format, minimum password length, required Title / InstructorId / CourseId). A lightweight approach — data annotations or manual checks — is sufficient.</w:t>
      </w:r>
    </w:p>
    <w:p>
      <w:pPr>
        <w:pStyle w:val="Heading3"/>
        <w:spacing w:after="100" w:before="200"/>
      </w:pPr>
      <w:r>
        <w:t xml:space="preserve">Global Exception Handling</w:t>
      </w:r>
    </w:p>
    <w:p>
      <w:pPr>
        <w:spacing w:after="160" w:line="276"/>
      </w:pPr>
      <w:r>
        <w:rPr>
          <w:rFonts w:ascii="Calibri" w:cs="Calibri" w:eastAsia="Calibri" w:hAnsi="Calibri"/>
          <w:sz w:val="22"/>
          <w:szCs w:val="22"/>
        </w:rPr>
        <w:t xml:space="preserve">A consistent error response shape replaces raw framework errors: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"statusCode": 404,</w:t>
            </w:r>
          </w:p>
          <w:p>
            <w:pPr>
              <w:spacing w:after="0"/>
            </w:pPr>
            <w:r>
              <w:rPr>
                <w:rFonts w:ascii="Consolas" w:cs="Consolas" w:eastAsia="Consolas" w:hAnsi="Consolas"/>
                <w:color w:val="333333"/>
                <w:sz w:val="18"/>
                <w:szCs w:val="18"/>
              </w:rPr>
              <w:t xml:space="preserve">  "message": "Course not found"</w:t>
            </w:r>
          </w:p>
          <w:p>
            <w:pPr>
              <w:spacing w:after="0"/>
            </w:pPr>
            <w:r>
              <w:rPr>
                <w:rFonts w:ascii="Consolas" w:cs="Consolas" w:eastAsia="Consolas" w:hAnsi="Consolas"/>
                <w:color w:val="333333"/>
                <w:sz w:val="18"/>
                <w:szCs w:val="18"/>
              </w:rPr>
              <w:t xml:space="preserve">}</w:t>
            </w:r>
          </w:p>
        </w:tc>
      </w:tr>
    </w:tbl>
    <w:p>
      <w:pPr>
        <w:pStyle w:val="Heading3"/>
        <w:spacing w:after="100" w:before="200"/>
      </w:pPr>
      <w:r>
        <w:t xml:space="preserve">Logging</w:t>
      </w:r>
    </w:p>
    <w:p>
      <w:pPr>
        <w:spacing w:after="160" w:line="276"/>
      </w:pPr>
      <w:r>
        <w:rPr>
          <w:rFonts w:ascii="Calibri" w:cs="Calibri" w:eastAsia="Calibri" w:hAnsi="Calibri"/>
          <w:sz w:val="22"/>
          <w:szCs w:val="22"/>
        </w:rPr>
        <w:t xml:space="preserve">Basic structured logging at Information / Warning / Error levels around key actions — user registered, course published, enrollment created, exceptions caught. A centralized logging pipeline is not required for this scope.</w:t>
      </w:r>
    </w:p>
    <w:p>
      <w:pPr>
        <w:pStyle w:val="Heading1"/>
        <w:spacing w:after="160" w:before="360"/>
      </w:pPr>
      <w:r>
        <w:t xml:space="preserve">10. Testing Strategy</w:t>
      </w:r>
    </w:p>
    <w:p>
      <w:pPr>
        <w:spacing w:after="160" w:line="276"/>
      </w:pPr>
      <w:r>
        <w:rPr>
          <w:rFonts w:ascii="Calibri" w:cs="Calibri" w:eastAsia="Calibri" w:hAnsi="Calibri"/>
          <w:sz w:val="22"/>
          <w:szCs w:val="22"/>
        </w:rPr>
        <w:t xml:space="preserve">Unit testing is a mandatory deliverable, not an afterthought. Tests target the Application layer — the code containing actual business decisions — with repositories and HTTP clients mocked via Moq so no test touches a live database. EF Core itself and thin controllers are not unit tested.</w:t>
      </w:r>
    </w:p>
    <w:p>
      <w:pPr>
        <w:spacing w:after="160" w:line="276"/>
      </w:pPr>
      <w:r>
        <w:rPr>
          <w:rFonts w:ascii="Calibri" w:cs="Calibri" w:eastAsia="Calibri" w:hAnsi="Calibri"/>
          <w:b/>
          <w:bCs/>
          <w:sz w:val="22"/>
          <w:szCs w:val="22"/>
        </w:rPr>
        <w:t xml:space="preserve">Target: </w:t>
      </w:r>
      <w:r>
        <w:rPr>
          <w:rFonts w:ascii="Calibri" w:cs="Calibri" w:eastAsia="Calibri" w:hAnsi="Calibri"/>
          <w:sz w:val="22"/>
          <w:szCs w:val="22"/>
        </w:rPr>
        <w:t xml:space="preserve">approximately 20–30 meaningful tests. This is a realistic and defensible figure for an 8–9 day timeline — preferable to a larger number of shallow, low-value tests.</w:t>
      </w:r>
    </w:p>
    <w:p>
      <w:pPr>
        <w:pStyle w:val="Heading3"/>
        <w:spacing w:after="100" w:before="200"/>
      </w:pPr>
      <w:r>
        <w:t xml:space="preserve">Identity.UnitTests</w:t>
      </w:r>
    </w:p>
    <w:p>
      <w:pPr>
        <w:pStyle w:val="ListParagraph"/>
        <w:numPr>
          <w:ilvl w:val="0"/>
          <w:numId w:val="1"/>
        </w:numPr>
        <w:spacing w:after="80"/>
      </w:pPr>
      <w:r>
        <w:rPr>
          <w:rFonts w:ascii="Calibri" w:cs="Calibri" w:eastAsia="Calibri" w:hAnsi="Calibri"/>
          <w:sz w:val="22"/>
          <w:szCs w:val="22"/>
        </w:rPr>
        <w:t xml:space="preserve">Login_WithValidCredentials_ReturnsToken</w:t>
      </w:r>
    </w:p>
    <w:p>
      <w:pPr>
        <w:pStyle w:val="ListParagraph"/>
        <w:numPr>
          <w:ilvl w:val="0"/>
          <w:numId w:val="1"/>
        </w:numPr>
        <w:spacing w:after="80"/>
      </w:pPr>
      <w:r>
        <w:rPr>
          <w:rFonts w:ascii="Calibri" w:cs="Calibri" w:eastAsia="Calibri" w:hAnsi="Calibri"/>
          <w:sz w:val="22"/>
          <w:szCs w:val="22"/>
        </w:rPr>
        <w:t xml:space="preserve">Login_WithInvalidPassword_ThrowsException</w:t>
      </w:r>
    </w:p>
    <w:p>
      <w:pPr>
        <w:pStyle w:val="ListParagraph"/>
        <w:numPr>
          <w:ilvl w:val="0"/>
          <w:numId w:val="1"/>
        </w:numPr>
        <w:spacing w:after="80"/>
      </w:pPr>
      <w:r>
        <w:rPr>
          <w:rFonts w:ascii="Calibri" w:cs="Calibri" w:eastAsia="Calibri" w:hAnsi="Calibri"/>
          <w:sz w:val="22"/>
          <w:szCs w:val="22"/>
        </w:rPr>
        <w:t xml:space="preserve">Register_WithExistingEmail_Fails</w:t>
      </w:r>
    </w:p>
    <w:p>
      <w:pPr>
        <w:pStyle w:val="ListParagraph"/>
        <w:numPr>
          <w:ilvl w:val="0"/>
          <w:numId w:val="1"/>
        </w:numPr>
        <w:spacing w:after="80"/>
      </w:pPr>
      <w:r>
        <w:rPr>
          <w:rFonts w:ascii="Calibri" w:cs="Calibri" w:eastAsia="Calibri" w:hAnsi="Calibri"/>
          <w:sz w:val="22"/>
          <w:szCs w:val="22"/>
        </w:rPr>
        <w:t xml:space="preserve">Register_WithValidData_CreatesUser</w:t>
      </w:r>
    </w:p>
    <w:p>
      <w:pPr>
        <w:pStyle w:val="Heading3"/>
        <w:spacing w:after="100" w:before="200"/>
      </w:pPr>
      <w:r>
        <w:t xml:space="preserve">Course.UnitTests</w:t>
      </w:r>
    </w:p>
    <w:p>
      <w:pPr>
        <w:pStyle w:val="ListParagraph"/>
        <w:numPr>
          <w:ilvl w:val="0"/>
          <w:numId w:val="1"/>
        </w:numPr>
        <w:spacing w:after="80"/>
      </w:pPr>
      <w:r>
        <w:rPr>
          <w:rFonts w:ascii="Calibri" w:cs="Calibri" w:eastAsia="Calibri" w:hAnsi="Calibri"/>
          <w:sz w:val="22"/>
          <w:szCs w:val="22"/>
        </w:rPr>
        <w:t xml:space="preserve">CreateCourse_WithValidData_CreatesCourse</w:t>
      </w:r>
    </w:p>
    <w:p>
      <w:pPr>
        <w:pStyle w:val="ListParagraph"/>
        <w:numPr>
          <w:ilvl w:val="0"/>
          <w:numId w:val="1"/>
        </w:numPr>
        <w:spacing w:after="80"/>
      </w:pPr>
      <w:r>
        <w:rPr>
          <w:rFonts w:ascii="Calibri" w:cs="Calibri" w:eastAsia="Calibri" w:hAnsi="Calibri"/>
          <w:sz w:val="22"/>
          <w:szCs w:val="22"/>
        </w:rPr>
        <w:t xml:space="preserve">CreateCourse_WithEmptyTitle_Fails</w:t>
      </w:r>
    </w:p>
    <w:p>
      <w:pPr>
        <w:pStyle w:val="ListParagraph"/>
        <w:numPr>
          <w:ilvl w:val="0"/>
          <w:numId w:val="1"/>
        </w:numPr>
        <w:spacing w:after="80"/>
      </w:pPr>
      <w:r>
        <w:rPr>
          <w:rFonts w:ascii="Calibri" w:cs="Calibri" w:eastAsia="Calibri" w:hAnsi="Calibri"/>
          <w:sz w:val="22"/>
          <w:szCs w:val="22"/>
        </w:rPr>
        <w:t xml:space="preserve">GetCourse_WithInvalidId_ThrowsNotFound</w:t>
      </w:r>
    </w:p>
    <w:p>
      <w:pPr>
        <w:pStyle w:val="ListParagraph"/>
        <w:numPr>
          <w:ilvl w:val="0"/>
          <w:numId w:val="1"/>
        </w:numPr>
        <w:spacing w:after="80"/>
      </w:pPr>
      <w:r>
        <w:rPr>
          <w:rFonts w:ascii="Calibri" w:cs="Calibri" w:eastAsia="Calibri" w:hAnsi="Calibri"/>
          <w:sz w:val="22"/>
          <w:szCs w:val="22"/>
        </w:rPr>
        <w:t xml:space="preserve">PublishCourse_WithNoSections_Fails  (optional business rule)</w:t>
      </w:r>
    </w:p>
    <w:p>
      <w:pPr>
        <w:pStyle w:val="Heading3"/>
        <w:spacing w:after="100" w:before="200"/>
      </w:pPr>
      <w:r>
        <w:t xml:space="preserve">Core.UnitTests</w:t>
      </w:r>
    </w:p>
    <w:p>
      <w:pPr>
        <w:pStyle w:val="ListParagraph"/>
        <w:numPr>
          <w:ilvl w:val="0"/>
          <w:numId w:val="1"/>
        </w:numPr>
        <w:spacing w:after="80"/>
      </w:pPr>
      <w:r>
        <w:rPr>
          <w:rFonts w:ascii="Calibri" w:cs="Calibri" w:eastAsia="Calibri" w:hAnsi="Calibri"/>
          <w:sz w:val="22"/>
          <w:szCs w:val="22"/>
        </w:rPr>
        <w:t xml:space="preserve">EnrollStudent_CreatesEnrollment</w:t>
      </w:r>
    </w:p>
    <w:p>
      <w:pPr>
        <w:pStyle w:val="ListParagraph"/>
        <w:numPr>
          <w:ilvl w:val="0"/>
          <w:numId w:val="1"/>
        </w:numPr>
        <w:spacing w:after="80"/>
      </w:pPr>
      <w:r>
        <w:rPr>
          <w:rFonts w:ascii="Calibri" w:cs="Calibri" w:eastAsia="Calibri" w:hAnsi="Calibri"/>
          <w:sz w:val="22"/>
          <w:szCs w:val="22"/>
        </w:rPr>
        <w:t xml:space="preserve">EnrollStudent_Twice_PreventsDuplicateEnrollment</w:t>
      </w:r>
    </w:p>
    <w:p>
      <w:pPr>
        <w:pStyle w:val="ListParagraph"/>
        <w:numPr>
          <w:ilvl w:val="0"/>
          <w:numId w:val="1"/>
        </w:numPr>
        <w:spacing w:after="80"/>
      </w:pPr>
      <w:r>
        <w:rPr>
          <w:rFonts w:ascii="Calibri" w:cs="Calibri" w:eastAsia="Calibri" w:hAnsi="Calibri"/>
          <w:sz w:val="22"/>
          <w:szCs w:val="22"/>
        </w:rPr>
        <w:t xml:space="preserve">EnrollStudent_ForUnpublishedCourse_Fails</w:t>
      </w:r>
    </w:p>
    <w:p>
      <w:pPr>
        <w:pStyle w:val="ListParagraph"/>
        <w:numPr>
          <w:ilvl w:val="0"/>
          <w:numId w:val="1"/>
        </w:numPr>
        <w:spacing w:after="80"/>
      </w:pPr>
      <w:r>
        <w:rPr>
          <w:rFonts w:ascii="Calibri" w:cs="Calibri" w:eastAsia="Calibri" w:hAnsi="Calibri"/>
          <w:sz w:val="22"/>
          <w:szCs w:val="22"/>
        </w:rPr>
        <w:t xml:space="preserve">CompleteLesson_CreatesProgress</w:t>
      </w:r>
    </w:p>
    <w:p>
      <w:pPr>
        <w:pStyle w:val="ListParagraph"/>
        <w:numPr>
          <w:ilvl w:val="0"/>
          <w:numId w:val="1"/>
        </w:numPr>
        <w:spacing w:after="80"/>
      </w:pPr>
      <w:r>
        <w:rPr>
          <w:rFonts w:ascii="Calibri" w:cs="Calibri" w:eastAsia="Calibri" w:hAnsi="Calibri"/>
          <w:sz w:val="22"/>
          <w:szCs w:val="22"/>
        </w:rPr>
        <w:t xml:space="preserve">CompleteLesson_Twice_DoesNotDuplicate</w:t>
      </w:r>
    </w:p>
    <w:p>
      <w:pPr>
        <w:pStyle w:val="ListParagraph"/>
        <w:numPr>
          <w:ilvl w:val="0"/>
          <w:numId w:val="1"/>
        </w:numPr>
        <w:spacing w:after="80"/>
      </w:pPr>
      <w:r>
        <w:rPr>
          <w:rFonts w:ascii="Calibri" w:cs="Calibri" w:eastAsia="Calibri" w:hAnsi="Calibri"/>
          <w:sz w:val="22"/>
          <w:szCs w:val="22"/>
        </w:rPr>
        <w:t xml:space="preserve">SubmitQuiz_CalculatesCorrectScore</w:t>
      </w:r>
    </w:p>
    <w:p>
      <w:pPr>
        <w:pStyle w:val="ListParagraph"/>
        <w:numPr>
          <w:ilvl w:val="0"/>
          <w:numId w:val="1"/>
        </w:numPr>
        <w:spacing w:after="80"/>
      </w:pPr>
      <w:r>
        <w:rPr>
          <w:rFonts w:ascii="Calibri" w:cs="Calibri" w:eastAsia="Calibri" w:hAnsi="Calibri"/>
          <w:sz w:val="22"/>
          <w:szCs w:val="22"/>
        </w:rPr>
        <w:t xml:space="preserve">SubmitQuiz_WithInvalidQuiz_Fails</w:t>
      </w:r>
    </w:p>
    <w:p>
      <w:pPr>
        <w:spacing w:after="12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tests/</w:t>
            </w:r>
          </w:p>
          <w:p>
            <w:pPr>
              <w:spacing w:after="0"/>
            </w:pPr>
            <w:r>
              <w:rPr>
                <w:rFonts w:ascii="Consolas" w:cs="Consolas" w:eastAsia="Consolas" w:hAnsi="Consolas"/>
                <w:color w:val="333333"/>
                <w:sz w:val="18"/>
                <w:szCs w:val="18"/>
              </w:rPr>
              <w:t xml:space="preserve">|-- Identity.UnitTests/</w:t>
            </w:r>
          </w:p>
          <w:p>
            <w:pPr>
              <w:spacing w:after="0"/>
            </w:pPr>
            <w:r>
              <w:rPr>
                <w:rFonts w:ascii="Consolas" w:cs="Consolas" w:eastAsia="Consolas" w:hAnsi="Consolas"/>
                <w:color w:val="333333"/>
                <w:sz w:val="18"/>
                <w:szCs w:val="18"/>
              </w:rPr>
              <w:t xml:space="preserve">|-- Course.UnitTests/</w:t>
            </w:r>
          </w:p>
          <w:p>
            <w:pPr>
              <w:spacing w:after="0"/>
            </w:pPr>
            <w:r>
              <w:rPr>
                <w:rFonts w:ascii="Consolas" w:cs="Consolas" w:eastAsia="Consolas" w:hAnsi="Consolas"/>
                <w:color w:val="333333"/>
                <w:sz w:val="18"/>
                <w:szCs w:val="18"/>
              </w:rPr>
              <w:t xml:space="preserve">`-- Core.UnitTests/</w:t>
            </w:r>
          </w:p>
        </w:tc>
      </w:tr>
    </w:tbl>
    <w:p>
      <w:pPr>
        <w:pStyle w:val="Heading1"/>
        <w:spacing w:after="160" w:before="360"/>
      </w:pPr>
      <w:r>
        <w:t xml:space="preserve">11. Containerization and API Documentation</w:t>
      </w:r>
    </w:p>
    <w:p>
      <w:pPr>
        <w:spacing w:after="160" w:line="276"/>
      </w:pPr>
      <w:r>
        <w:rPr>
          <w:rFonts w:ascii="Calibri" w:cs="Calibri" w:eastAsia="Calibri" w:hAnsi="Calibri"/>
          <w:sz w:val="22"/>
          <w:szCs w:val="22"/>
        </w:rPr>
        <w:t xml:space="preserve">Every service exposes Swagger — this is the entire demonstration surface for the project, since there is no frontend.</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200"/>
        <w:gridCol w:w="6160"/>
      </w:tblGrid>
      <w:tr>
        <w:trPr>
          <w:tblHeader/>
        </w:trPr>
        <w:tc>
          <w:tcPr>
            <w:tcW w:type="dxa" w:w="3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Service</w:t>
            </w:r>
          </w:p>
        </w:tc>
        <w:tc>
          <w:tcPr>
            <w:tcW w:type="dxa" w:w="616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Swagger URL</w:t>
            </w:r>
          </w:p>
        </w:tc>
      </w:tr>
      <w:tr>
        <w:tc>
          <w:tcPr>
            <w:tcW w:type="dxa" w:w="32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API Gateway</w:t>
            </w:r>
          </w:p>
        </w:tc>
        <w:tc>
          <w:tcPr>
            <w:tcW w:type="dxa" w:w="61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http://localhost:5000  (routes to the three services below)</w:t>
            </w:r>
          </w:p>
        </w:tc>
      </w:tr>
      <w:tr>
        <w:tc>
          <w:tcPr>
            <w:tcW w:type="dxa" w:w="32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Identity Service</w:t>
            </w:r>
          </w:p>
        </w:tc>
        <w:tc>
          <w:tcPr>
            <w:tcW w:type="dxa" w:w="61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http://localhost:5001/swagger</w:t>
            </w:r>
          </w:p>
        </w:tc>
      </w:tr>
      <w:tr>
        <w:tc>
          <w:tcPr>
            <w:tcW w:type="dxa" w:w="32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Course Service</w:t>
            </w:r>
          </w:p>
        </w:tc>
        <w:tc>
          <w:tcPr>
            <w:tcW w:type="dxa" w:w="61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http://localhost:5002/swagger</w:t>
            </w:r>
          </w:p>
        </w:tc>
      </w:tr>
      <w:tr>
        <w:tc>
          <w:tcPr>
            <w:tcW w:type="dxa" w:w="32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EduSphere.Core</w:t>
            </w:r>
          </w:p>
        </w:tc>
        <w:tc>
          <w:tcPr>
            <w:tcW w:type="dxa" w:w="61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http://localhost:5003/swagger</w:t>
            </w:r>
          </w:p>
        </w:tc>
      </w:tr>
    </w:tbl>
    <w:p>
      <w:pPr>
        <w:spacing w:after="120"/>
      </w:pPr>
    </w:p>
    <w:p>
      <w:pPr>
        <w:spacing w:after="160" w:line="276"/>
      </w:pPr>
      <w:r>
        <w:rPr>
          <w:rFonts w:ascii="Calibri" w:cs="Calibri" w:eastAsia="Calibri" w:hAnsi="Calibri"/>
          <w:sz w:val="22"/>
          <w:szCs w:val="22"/>
        </w:rPr>
        <w:t xml:space="preserve">docker-compose.yml brings up the API Gateway, all three backend service containers, and SQL Server — and nothing else. RabbitMQ, Redis, Mailpit, and Angular are all deliberately absent, minimizing the number of moving parts that can fail during a demonstration.</w:t>
      </w:r>
    </w:p>
    <w:p>
      <w:pPr>
        <w:pStyle w:val="Heading1"/>
        <w:spacing w:after="160" w:before="360"/>
      </w:pPr>
      <w:r>
        <w:t xml:space="preserve">12. Explicitly Out of Scope</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6360"/>
        <w:gridCol w:w="3000"/>
      </w:tblGrid>
      <w:tr>
        <w:trPr>
          <w:tblHeader/>
        </w:trPr>
        <w:tc>
          <w:tcPr>
            <w:tcW w:type="dxa" w:w="636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Feature</w:t>
            </w:r>
          </w:p>
        </w:tc>
        <w:tc>
          <w:tcPr>
            <w:tcW w:type="dxa" w:w="30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Included</w:t>
            </w:r>
          </w:p>
        </w:tc>
      </w:tr>
      <w:tr>
        <w:tc>
          <w:tcPr>
            <w:tcW w:type="dxa" w:w="63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Angular frontend</w:t>
            </w:r>
          </w:p>
        </w:tc>
        <w:tc>
          <w:tcPr>
            <w:tcW w:type="dxa" w:w="30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No</w:t>
            </w:r>
          </w:p>
        </w:tc>
      </w:tr>
      <w:tr>
        <w:tc>
          <w:tcPr>
            <w:tcW w:type="dxa" w:w="63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RabbitMQ / event-driven messaging</w:t>
            </w:r>
          </w:p>
        </w:tc>
        <w:tc>
          <w:tcPr>
            <w:tcW w:type="dxa" w:w="30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No</w:t>
            </w:r>
          </w:p>
        </w:tc>
      </w:tr>
      <w:tr>
        <w:tc>
          <w:tcPr>
            <w:tcW w:type="dxa" w:w="63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Dedicated notification service</w:t>
            </w:r>
          </w:p>
        </w:tc>
        <w:tc>
          <w:tcPr>
            <w:tcW w:type="dxa" w:w="30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No</w:t>
            </w:r>
          </w:p>
        </w:tc>
      </w:tr>
      <w:tr>
        <w:tc>
          <w:tcPr>
            <w:tcW w:type="dxa" w:w="63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Separate Enrollment / Progress / Quiz / Admin microservices</w:t>
            </w:r>
          </w:p>
        </w:tc>
        <w:tc>
          <w:tcPr>
            <w:tcW w:type="dxa" w:w="30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No — modules within Core instead</w:t>
            </w:r>
          </w:p>
        </w:tc>
      </w:tr>
      <w:tr>
        <w:tc>
          <w:tcPr>
            <w:tcW w:type="dxa" w:w="63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Email / SMS / OTP</w:t>
            </w:r>
          </w:p>
        </w:tc>
        <w:tc>
          <w:tcPr>
            <w:tcW w:type="dxa" w:w="30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No</w:t>
            </w:r>
          </w:p>
        </w:tc>
      </w:tr>
      <w:tr>
        <w:tc>
          <w:tcPr>
            <w:tcW w:type="dxa" w:w="63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Complex analytics</w:t>
            </w:r>
          </w:p>
        </w:tc>
        <w:tc>
          <w:tcPr>
            <w:tcW w:type="dxa" w:w="30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No</w:t>
            </w:r>
          </w:p>
        </w:tc>
      </w:tr>
    </w:tbl>
    <w:p>
      <w:pPr>
        <w:spacing w:after="160" w:line="276"/>
      </w:pPr>
      <w:r>
        <w:rPr>
          <w:rFonts w:ascii="Calibri" w:cs="Calibri" w:eastAsia="Calibri" w:hAnsi="Calibri"/>
          <w:sz w:val="22"/>
          <w:szCs w:val="22"/>
        </w:rPr>
        <w:t xml:space="preserve">This is deliberate scope control rather than missing functionality, and is stated explicitly here so reviewers understand it as an intentional decision.</w:t>
      </w:r>
    </w:p>
    <w:p>
      <w:pPr>
        <w:pStyle w:val="Heading3"/>
        <w:spacing w:after="100" w:before="200"/>
      </w:pPr>
      <w:r>
        <w:t xml:space="preserve">Optional Future Extensions (only if time remains)</w:t>
      </w:r>
    </w:p>
    <w:p>
      <w:pPr>
        <w:pStyle w:val="ListParagraph"/>
        <w:numPr>
          <w:ilvl w:val="0"/>
          <w:numId w:val="1"/>
        </w:numPr>
        <w:spacing w:after="80"/>
      </w:pPr>
      <w:r>
        <w:rPr>
          <w:rFonts w:ascii="Calibri" w:cs="Calibri" w:eastAsia="Calibri" w:hAnsi="Calibri"/>
          <w:sz w:val="22"/>
          <w:szCs w:val="22"/>
        </w:rPr>
        <w:t xml:space="preserve">A minimal notification concept — a Notifications table written synchronously in CoreDb, with no queue and no email, purely to show where the capability would be added later.</w:t>
      </w:r>
    </w:p>
    <w:p>
      <w:pPr>
        <w:pStyle w:val="ListParagraph"/>
        <w:numPr>
          <w:ilvl w:val="0"/>
          <w:numId w:val="1"/>
        </w:numPr>
        <w:spacing w:after="80"/>
      </w:pPr>
      <w:r>
        <w:rPr>
          <w:rFonts w:ascii="Calibri" w:cs="Calibri" w:eastAsia="Calibri" w:hAnsi="Calibri"/>
          <w:sz w:val="22"/>
          <w:szCs w:val="22"/>
        </w:rPr>
        <w:t xml:space="preserve">Integration tests using WebApplicationFactory, alongside the existing unit tests.</w:t>
      </w:r>
    </w:p>
    <w:p>
      <w:pPr>
        <w:pStyle w:val="ListParagraph"/>
        <w:numPr>
          <w:ilvl w:val="0"/>
          <w:numId w:val="1"/>
        </w:numPr>
        <w:spacing w:after="80"/>
      </w:pPr>
      <w:r>
        <w:rPr>
          <w:rFonts w:ascii="Calibri" w:cs="Calibri" w:eastAsia="Calibri" w:hAnsi="Calibri"/>
          <w:sz w:val="22"/>
          <w:szCs w:val="22"/>
        </w:rPr>
        <w:t xml:space="preserve">Rate limiting or response caching at the gateway layer, if the training scope is later extended.</w:t>
      </w:r>
    </w:p>
    <w:p>
      <w:pPr>
        <w:pStyle w:val="Heading1"/>
        <w:spacing w:after="160" w:before="360"/>
      </w:pPr>
      <w:r>
        <w:t xml:space="preserve">13. Final Functional Scope</w:t>
      </w:r>
    </w:p>
    <w:p>
      <w:pPr>
        <w:spacing w:after="160" w:line="276"/>
      </w:pPr>
      <w:r>
        <w:rPr>
          <w:rFonts w:ascii="Calibri" w:cs="Calibri" w:eastAsia="Calibri" w:hAnsi="Calibri"/>
          <w:sz w:val="22"/>
          <w:szCs w:val="22"/>
        </w:rPr>
        <w:t xml:space="preserve">The completed system supports the following end-to-end flow:</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0"/>
            </w:pPr>
            <w:r>
              <w:rPr>
                <w:rFonts w:ascii="Consolas" w:cs="Consolas" w:eastAsia="Consolas" w:hAnsi="Consolas"/>
                <w:color w:val="333333"/>
                <w:sz w:val="18"/>
                <w:szCs w:val="18"/>
              </w:rPr>
              <w:t xml:space="preserve">Admin        -&gt; creates users</w:t>
            </w:r>
          </w:p>
          <w:p>
            <w:pPr>
              <w:spacing w:after="0"/>
            </w:pPr>
            <w:r>
              <w:rPr>
                <w:rFonts w:ascii="Consolas" w:cs="Consolas" w:eastAsia="Consolas" w:hAnsi="Consolas"/>
                <w:color w:val="333333"/>
                <w:sz w:val="18"/>
                <w:szCs w:val="18"/>
              </w:rPr>
              <w:t xml:space="preserve">Instructor   -&gt; creates course -&gt; adds sections/lessons -&gt; publishes</w:t>
            </w:r>
          </w:p>
          <w:p>
            <w:pPr>
              <w:spacing w:after="0"/>
            </w:pPr>
            <w:r>
              <w:rPr>
                <w:rFonts w:ascii="Consolas" w:cs="Consolas" w:eastAsia="Consolas" w:hAnsi="Consolas"/>
                <w:color w:val="333333"/>
                <w:sz w:val="18"/>
                <w:szCs w:val="18"/>
              </w:rPr>
              <w:t xml:space="preserve">Student      -&gt; browses courses -&gt; enrolls -&gt; studies lessons</w:t>
            </w:r>
          </w:p>
          <w:p>
            <w:pPr>
              <w:spacing w:after="0"/>
            </w:pPr>
            <w:r>
              <w:rPr>
                <w:rFonts w:ascii="Consolas" w:cs="Consolas" w:eastAsia="Consolas" w:hAnsi="Consolas"/>
                <w:color w:val="333333"/>
                <w:sz w:val="18"/>
                <w:szCs w:val="18"/>
              </w:rPr>
              <w:t xml:space="preserve">             -&gt; marks progress -&gt; takes quiz -&gt; receives score</w:t>
            </w:r>
          </w:p>
        </w:tc>
      </w:tr>
    </w:tbl>
    <w:p>
      <w:pPr>
        <w:pStyle w:val="Heading1"/>
        <w:spacing w:after="160" w:before="360"/>
      </w:pPr>
      <w:r>
        <w:t xml:space="preserve">14. Development Timeline (8–9 Days)</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1400"/>
        <w:gridCol w:w="7960"/>
      </w:tblGrid>
      <w:tr>
        <w:trPr>
          <w:tblHeader/>
        </w:trPr>
        <w:tc>
          <w:tcPr>
            <w:tcW w:type="dxa" w:w="1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Day</w:t>
            </w:r>
          </w:p>
        </w:tc>
        <w:tc>
          <w:tcPr>
            <w:tcW w:type="dxa" w:w="796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Focus</w:t>
            </w:r>
          </w:p>
        </w:tc>
      </w:tr>
      <w:tr>
        <w:tc>
          <w:tcPr>
            <w:tcW w:type="dxa" w:w="1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1</w:t>
            </w:r>
          </w:p>
        </w:tc>
        <w:tc>
          <w:tcPr>
            <w:tcW w:type="dxa" w:w="7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Solution setup: three backend solutions plus the API Gateway project, four-layer structure, SharedKernel, EF Core and SQL Server for all three databases, Swagger on all three services, Git repository initialized. No feature code yet.</w:t>
            </w:r>
          </w:p>
        </w:tc>
      </w:tr>
      <w:tr>
        <w:tc>
          <w:tcPr>
            <w:tcW w:type="dxa" w:w="1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2</w:t>
            </w:r>
          </w:p>
        </w:tc>
        <w:tc>
          <w:tcPr>
            <w:tcW w:type="dxa" w:w="79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Identity Service: User entity, registration, login, password hashing, JWT generation, roles, basic validation. Verified via Swagger.</w:t>
            </w:r>
          </w:p>
        </w:tc>
      </w:tr>
      <w:tr>
        <w:tc>
          <w:tcPr>
            <w:tcW w:type="dxa" w:w="1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3</w:t>
            </w:r>
          </w:p>
        </w:tc>
        <w:tc>
          <w:tcPr>
            <w:tcW w:type="dxa" w:w="7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Course Service: Course / Section / Lesson entities, CRUD, instructor-authorization checks, publish / unpublish. Verified via Swagger.</w:t>
            </w:r>
          </w:p>
        </w:tc>
      </w:tr>
      <w:tr>
        <w:tc>
          <w:tcPr>
            <w:tcW w:type="dxa" w:w="1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4</w:t>
            </w:r>
          </w:p>
        </w:tc>
        <w:tc>
          <w:tcPr>
            <w:tcW w:type="dxa" w:w="79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Core — Enrollment module: entity, enroll endpoint, duplicate-enrollment prevention, HttpClient integration with Course Service and Identity Service.</w:t>
            </w:r>
          </w:p>
        </w:tc>
      </w:tr>
      <w:tr>
        <w:tc>
          <w:tcPr>
            <w:tcW w:type="dxa" w:w="1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5</w:t>
            </w:r>
          </w:p>
        </w:tc>
        <w:tc>
          <w:tcPr>
            <w:tcW w:type="dxa" w:w="7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Core — Progress and Quiz modules: lesson-completion tracking, quiz / question / attempt entities, score-calculation logic.</w:t>
            </w:r>
          </w:p>
        </w:tc>
      </w:tr>
      <w:tr>
        <w:tc>
          <w:tcPr>
            <w:tcW w:type="dxa" w:w="1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6</w:t>
            </w:r>
          </w:p>
        </w:tc>
        <w:tc>
          <w:tcPr>
            <w:tcW w:type="dxa" w:w="79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API Gateway: YARP routing configuration for all three services, JWT validation at the gateway, aggregated /health endpoint. Backend quality pass: global exception middleware, validation, logging, consistent response formatting.</w:t>
            </w:r>
          </w:p>
        </w:tc>
      </w:tr>
      <w:tr>
        <w:tc>
          <w:tcPr>
            <w:tcW w:type="dxa" w:w="1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7</w:t>
            </w:r>
          </w:p>
        </w:tc>
        <w:tc>
          <w:tcPr>
            <w:tcW w:type="dxa" w:w="7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Unit testing: build out the full ~20–30 test suite across Identity.UnitTests, Course.UnitTests, and Core.UnitTests. Resolve bugs surfaced during testing.</w:t>
            </w:r>
          </w:p>
        </w:tc>
      </w:tr>
      <w:tr>
        <w:tc>
          <w:tcPr>
            <w:tcW w:type="dxa" w:w="140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8</w:t>
            </w:r>
          </w:p>
        </w:tc>
        <w:tc>
          <w:tcPr>
            <w:tcW w:type="dxa" w:w="7960"/>
            <w:shd w:fill="F2F2F2" w:val="clear"/>
            <w:tcMar>
              <w:top w:type="dxa" w:w="90"/>
              <w:left w:type="dxa" w:w="120"/>
              <w:bottom w:type="dxa" w:w="90"/>
              <w:right w:type="dxa" w:w="120"/>
            </w:tcMar>
            <w:vAlign w:val="center"/>
          </w:tcPr>
          <w:p>
            <w:r>
              <w:rPr>
                <w:rFonts w:ascii="Calibri" w:cs="Calibri" w:eastAsia="Calibri" w:hAnsi="Calibri"/>
                <w:color w:val="222222"/>
                <w:sz w:val="20"/>
                <w:szCs w:val="20"/>
              </w:rPr>
              <w:t xml:space="preserve">Docker Compose for the API Gateway, all three services, and SQL Server. Full end-to-end verification through the gateway: register, login, create course, publish, enroll, track progress, take quiz, receive score.</w:t>
            </w:r>
          </w:p>
        </w:tc>
      </w:tr>
      <w:tr>
        <w:tc>
          <w:tcPr>
            <w:tcW w:type="dxa" w:w="140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9 (Buffer)</w:t>
            </w:r>
          </w:p>
        </w:tc>
        <w:tc>
          <w:tcPr>
            <w:tcW w:type="dxa" w:w="7960"/>
            <w:shd w:fill="FFFFFF" w:val="clear"/>
            <w:tcMar>
              <w:top w:type="dxa" w:w="90"/>
              <w:left w:type="dxa" w:w="120"/>
              <w:bottom w:type="dxa" w:w="90"/>
              <w:right w:type="dxa" w:w="120"/>
            </w:tcMar>
            <w:vAlign w:val="center"/>
          </w:tcPr>
          <w:p>
            <w:r>
              <w:rPr>
                <w:rFonts w:ascii="Calibri" w:cs="Calibri" w:eastAsia="Calibri" w:hAnsi="Calibri"/>
                <w:color w:val="222222"/>
                <w:sz w:val="20"/>
                <w:szCs w:val="20"/>
              </w:rPr>
              <w:t xml:space="preserve">Bug fixing, code cleanup, README and architecture/database diagrams, and rehearsal of the technical explanation for review.</w:t>
            </w:r>
          </w:p>
        </w:tc>
      </w:tr>
    </w:tbl>
    <w:p>
      <w:pPr>
        <w:pStyle w:val="Heading1"/>
        <w:spacing w:after="160" w:before="360"/>
      </w:pPr>
      <w:r>
        <w:t xml:space="preserve">15. Definition of Done</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Four independently runnable applications — API Gateway, Identity Service, Course Service, EduSphere.Core — each backend service with its own database</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Clean Architecture (Domain / Application / Infrastructure / API) followed consistently across all three backend services</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API Gateway routes all client traffic and validates JWTs before forwarding</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No RabbitMQ, no frontend</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All cross-service data access occurs over HTTP — zero cross-database foreign keys or direct reads</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JWT authentication with role-based authorization (Student / Instructor / Admin) functioning across services</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Global exception handling, basic validation, and basic logging implemented</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Approximately 20–30 passing unit tests (xUnit + Moq) covering business logic, not infrastructure</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docker-compose up brings up all three services and SQL Server with a single command</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Swagger functioning on all three services</w:t>
      </w:r>
    </w:p>
    <w:p>
      <w:pPr>
        <w:spacing w:after="80"/>
      </w:pPr>
      <w:r>
        <w:rPr>
          <w:rFonts w:ascii="Calibri" w:cs="Calibri" w:eastAsia="Calibri" w:hAnsi="Calibri"/>
          <w:sz w:val="22"/>
          <w:szCs w:val="22"/>
        </w:rPr>
        <w:t xml:space="preserve">☐  </w:t>
      </w:r>
      <w:r>
        <w:rPr>
          <w:rFonts w:ascii="Calibri" w:cs="Calibri" w:eastAsia="Calibri" w:hAnsi="Calibri"/>
          <w:sz w:val="22"/>
          <w:szCs w:val="22"/>
        </w:rPr>
        <w:t xml:space="preserve">README documenting every architectural decision, ready to support a live review</w:t>
      </w:r>
    </w:p>
    <w:p>
      <w:pPr>
        <w:pStyle w:val="Heading1"/>
        <w:spacing w:after="160" w:before="360"/>
      </w:pPr>
      <w:r>
        <w:t xml:space="preserve">16. Summary Statement</w:t>
      </w:r>
    </w:p>
    <w:p>
      <w:pPr>
        <w:spacing w:after="160" w:line="276"/>
      </w:pPr>
      <w:r>
        <w:rPr>
          <w:rFonts w:ascii="Calibri" w:cs="Calibri" w:eastAsia="Calibri" w:hAnsi="Calibri"/>
          <w:sz w:val="22"/>
          <w:szCs w:val="22"/>
        </w:rPr>
        <w:t xml:space="preserve">The following framing is recommended for presenting this case study to reviewers:</w:t>
      </w:r>
    </w:p>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tcW w:type="pct" w:w="100%"/>
            <w:shd w:fill="F5F8FC" w:val="clear"/>
            <w:tcMar>
              <w:top w:type="dxa" w:w="200"/>
              <w:left w:type="dxa" w:w="260"/>
              <w:bottom w:type="dxa" w:w="200"/>
              <w:right w:type="dxa" w:w="260"/>
            </w:tcMar>
          </w:tcPr>
          <w:p>
            <w:pPr>
              <w:spacing w:after="120" w:line="276"/>
            </w:pPr>
            <w:r>
              <w:rPr>
                <w:rFonts w:ascii="Calibri" w:cs="Calibri" w:eastAsia="Calibri" w:hAnsi="Calibri"/>
                <w:i/>
                <w:iCs/>
                <w:color w:val="333333"/>
                <w:sz w:val="21"/>
                <w:szCs w:val="21"/>
              </w:rPr>
              <w:t xml:space="preserve">EduSphere is a backend-focused Learning Management System built with Clean Architecture and a hybrid microservices design, fronted by a single API Gateway. Authentication and course management are implemented as independent, independently-deployable microservices because they have clear, self-contained bounded contexts. Enrollment, progress tracking, quiz evaluation, and administration are kept together as modules inside a core service, since they are tightly coupled to a single workflow — a student progressing through a course they are already enrolled in — and splitting them further would add distributed-system overhead without real benefit at this scale.</w:t>
            </w:r>
          </w:p>
          <w:p>
            <w:pPr>
              <w:spacing w:after="120" w:line="276"/>
            </w:pPr>
            <w:r>
              <w:rPr>
                <w:rFonts w:ascii="Calibri" w:cs="Calibri" w:eastAsia="Calibri" w:hAnsi="Calibri"/>
                <w:i/>
                <w:iCs/>
                <w:color w:val="333333"/>
                <w:sz w:val="21"/>
                <w:szCs w:val="21"/>
              </w:rPr>
              <w:t xml:space="preserve">The API Gateway gives clients one consistent entry point and handles JWT validation centrally, rather than requiring every client to know each service's host and port. Each backend service owns its own SQL Server database; cross-service interaction happens only through synchronous REST calls, never shared database access. Business logic is unit tested in isolation using xUnit and Moq, with repositories and HTTP dependencies mocked. The system is containerized with Docker Compose and documented via Swagger / OpenAPI on each service.</w:t>
            </w:r>
          </w:p>
        </w:tc>
      </w:tr>
    </w:tbl>
    <w:p>
      <w:pPr>
        <w:spacing w:after="160" w:line="276"/>
      </w:pPr>
      <w:r>
        <w:rPr>
          <w:rFonts w:ascii="Calibri" w:cs="Calibri" w:eastAsia="Calibri" w:hAnsi="Calibri"/>
          <w:sz w:val="22"/>
          <w:szCs w:val="22"/>
        </w:rPr>
        <w:t xml:space="preserve">The core design principle underlying this case study is restraint: every technology included — including the API Gateway — is included because it earns its place, and unnecessary complexity, such as asynchronous messaging infrastructure or additional services beyond what the domain boundaries justify, is deliberately avoided rather than added for its own sake.</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888888"/>
        <w:sz w:val="16"/>
        <w:szCs w:val="16"/>
      </w:rPr>
      <w:t xml:space="preserve">EduSphere — Backend Case Study</w:t>
    </w:r>
    <w:r>
      <w:rPr>
        <w:rFonts w:ascii="Calibri" w:cs="Calibri" w:eastAsia="Calibri" w:hAnsi="Calibri"/>
        <w:color w:val="888888"/>
        <w:sz w:val="16"/>
        <w:szCs w:val="16"/>
      </w:rPr>
      <w:t xml:space="preserve">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5"/>
      <w:szCs w:val="25"/>
    </w:rPr>
  </w:style>
  <w:style w:type="paragraph" w:styleId="Heading3">
    <w:name w:val="Heading 3"/>
    <w:basedOn w:val="Normal"/>
    <w:next w:val="Normal"/>
    <w:qFormat/>
    <w:pPr>
      <w:spacing w:after="100" w:before="200"/>
    </w:pPr>
    <w:rPr>
      <w:rFonts w:ascii="Calibri" w:cs="Calibri" w:eastAsia="Calibri" w:hAnsi="Calibri"/>
      <w:b/>
      <w:bCs/>
      <w:i w:val="false"/>
      <w:iCs w:val="false"/>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EduSphere — Backend Case Study</dc:title>
  <dc:creator>EduSphere Case Study</dc:creator>
  <cp:lastModifiedBy>Un-named</cp:lastModifiedBy>
  <cp:revision>1</cp:revision>
  <dcterms:created xsi:type="dcterms:W3CDTF">2026-08-12T14:26:48.076Z</dcterms:created>
  <dcterms:modified xsi:type="dcterms:W3CDTF">2026-08-12T14:26:48.077Z</dcterms:modified>
</cp:coreProperties>
</file>

<file path=docProps/custom.xml><?xml version="1.0" encoding="utf-8"?>
<Properties xmlns="http://schemas.openxmlformats.org/officeDocument/2006/custom-properties" xmlns:vt="http://schemas.openxmlformats.org/officeDocument/2006/docPropsVTypes"/>
</file>