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10080"/>
            <w:shd w:val="clear" w:color="auto" w:fill="1F3864"/>
          </w:tcPr>
          <w:p>
            <w:pPr>
              <w:spacing w:before="280" w:after="280"/>
              <w:jc w:val="center"/>
            </w:pPr>
            <w:r>
              <w:rPr>
                <w:b/>
                <w:color w:val="FFFFFF"/>
                <w:sz w:val="44"/>
              </w:rPr>
              <w:t>VULNERABILITY ASSESSMENT REPORT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80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ind w:left="144"/>
            </w:pPr>
            <w:r>
              <w:rPr>
                <w:b/>
                <w:color w:val="1F3864"/>
                <w:sz w:val="21"/>
              </w:rPr>
              <w:t>Target Website:</w:t>
            </w:r>
          </w:p>
        </w:tc>
        <w:tc>
          <w:tcPr>
            <w:tcW w:type="dxa" w:w="720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ind w:left="144"/>
            </w:pPr>
            <w:r>
              <w:rPr>
                <w:sz w:val="21"/>
              </w:rPr>
              <w:t>testphp.vulnweb.com (Acunetix demo site)</w:t>
            </w:r>
          </w:p>
        </w:tc>
      </w:tr>
      <w:tr>
        <w:tc>
          <w:tcPr>
            <w:tcW w:type="dxa" w:w="2880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ind w:left="144"/>
            </w:pPr>
            <w:r>
              <w:rPr>
                <w:b/>
                <w:color w:val="1F3864"/>
                <w:sz w:val="21"/>
              </w:rPr>
              <w:t>Assessment Date:</w:t>
            </w:r>
          </w:p>
        </w:tc>
        <w:tc>
          <w:tcPr>
            <w:tcW w:type="dxa" w:w="720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ind w:left="144"/>
            </w:pPr>
            <w:r>
              <w:rPr>
                <w:sz w:val="21"/>
              </w:rPr>
              <w:t>June 09, 2026</w:t>
            </w:r>
          </w:p>
        </w:tc>
      </w:tr>
      <w:tr>
        <w:tc>
          <w:tcPr>
            <w:tcW w:type="dxa" w:w="2880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ind w:left="144"/>
            </w:pPr>
            <w:r>
              <w:rPr>
                <w:b/>
                <w:color w:val="1F3864"/>
                <w:sz w:val="21"/>
              </w:rPr>
              <w:t>Assessed By:</w:t>
            </w:r>
          </w:p>
        </w:tc>
        <w:tc>
          <w:tcPr>
            <w:tcW w:type="dxa" w:w="720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ind w:left="144"/>
            </w:pPr>
            <w:r>
              <w:rPr>
                <w:sz w:val="21"/>
              </w:rPr>
              <w:t>Security Consultant</w:t>
            </w:r>
          </w:p>
        </w:tc>
      </w:tr>
      <w:tr>
        <w:tc>
          <w:tcPr>
            <w:tcW w:type="dxa" w:w="2880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ind w:left="144"/>
            </w:pPr>
            <w:r>
              <w:rPr>
                <w:b/>
                <w:color w:val="1F3864"/>
                <w:sz w:val="21"/>
              </w:rPr>
              <w:t>Report Version:</w:t>
            </w:r>
          </w:p>
        </w:tc>
        <w:tc>
          <w:tcPr>
            <w:tcW w:type="dxa" w:w="720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ind w:left="144"/>
            </w:pPr>
            <w:r>
              <w:rPr>
                <w:sz w:val="21"/>
              </w:rPr>
              <w:t>1.0</w:t>
            </w:r>
          </w:p>
        </w:tc>
      </w:tr>
      <w:tr>
        <w:tc>
          <w:tcPr>
            <w:tcW w:type="dxa" w:w="2880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ind w:left="144"/>
            </w:pPr>
            <w:r>
              <w:rPr>
                <w:b/>
                <w:color w:val="1F3864"/>
                <w:sz w:val="21"/>
              </w:rPr>
              <w:t>Classification:</w:t>
            </w:r>
          </w:p>
        </w:tc>
        <w:tc>
          <w:tcPr>
            <w:tcW w:type="dxa" w:w="720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ind w:left="144"/>
            </w:pPr>
            <w:r>
              <w:rPr>
                <w:sz w:val="21"/>
              </w:rPr>
              <w:t>CONFIDENTIAL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2E75B6"/>
        </w:pBdr>
      </w:pPr>
      <w:r>
        <w:rPr>
          <w:b/>
          <w:color w:val="1F3864"/>
          <w:sz w:val="36"/>
        </w:rPr>
        <w:t>1. Executive Summary</w:t>
      </w:r>
    </w:p>
    <w:p>
      <w:pPr>
        <w:spacing w:after="120" w:before="0"/>
      </w:pPr>
      <w:r>
        <w:rPr>
          <w:b w:val="0"/>
          <w:i w:val="0"/>
          <w:color w:val="222222"/>
          <w:sz w:val="21"/>
        </w:rPr>
        <w:t>This Vulnerability Assessment Report presents findings from a passive security review of testphp.vulnweb.com, a publicly available demonstration site intentionally configured with common web vulnerabilities. The assessment was conducted using industry-standard tools (Nmap, OWASP ZAP in passive mode, and browser developer tools) strictly in read-only mode with no exploitation or active attacks performed.</w:t>
      </w:r>
    </w:p>
    <w:p>
      <w:pPr>
        <w:spacing w:after="120" w:before="0"/>
      </w:pPr>
      <w:r>
        <w:rPr>
          <w:b w:val="0"/>
          <w:i w:val="0"/>
          <w:color w:val="222222"/>
          <w:sz w:val="21"/>
        </w:rPr>
        <w:t>The purpose of this engagement is educational: to demonstrate how a professional security consultant identifies, classifies, and communicates risks to a business audience without technical jargon overload.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Risk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304"/>
            <w:shd w:val="clear" w:color="auto" w:fill="C00000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Critical</w:t>
            </w:r>
          </w:p>
        </w:tc>
        <w:tc>
          <w:tcPr>
            <w:tcW w:type="dxa" w:w="2304"/>
            <w:shd w:val="clear" w:color="auto" w:fill="E36C09"/>
            <w:tcBorders>
              <w:top w:val="single" w:sz="4" w:space="0" w:color="E36C09"/>
              <w:left w:val="single" w:sz="4" w:space="0" w:color="E36C09"/>
              <w:bottom w:val="single" w:sz="4" w:space="0" w:color="E36C09"/>
              <w:right w:val="single" w:sz="4" w:space="0" w:color="E36C09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High</w:t>
            </w:r>
          </w:p>
        </w:tc>
        <w:tc>
          <w:tcPr>
            <w:tcW w:type="dxa" w:w="2304"/>
            <w:shd w:val="clear" w:color="auto" w:fill="7F6000"/>
            <w:tcBorders>
              <w:top w:val="single" w:sz="4" w:space="0" w:color="7F6000"/>
              <w:left w:val="single" w:sz="4" w:space="0" w:color="7F6000"/>
              <w:bottom w:val="single" w:sz="4" w:space="0" w:color="7F6000"/>
              <w:right w:val="single" w:sz="4" w:space="0" w:color="7F6000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Medium</w:t>
            </w:r>
          </w:p>
        </w:tc>
        <w:tc>
          <w:tcPr>
            <w:tcW w:type="dxa" w:w="2304"/>
            <w:shd w:val="clear" w:color="auto" w:fill="375623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2"/>
              </w:rPr>
              <w:t>Low</w:t>
            </w:r>
          </w:p>
        </w:tc>
      </w:tr>
      <w:tr>
        <w:tc>
          <w:tcPr>
            <w:tcW w:type="dxa" w:w="2304"/>
            <w:shd w:val="clear" w:color="auto" w:fill="FFE0E0"/>
            <w:tcBorders>
              <w:top w:val="single" w:sz="4" w:space="0" w:color="FFE0E0"/>
              <w:left w:val="single" w:sz="4" w:space="0" w:color="FFE0E0"/>
              <w:bottom w:val="single" w:sz="4" w:space="0" w:color="FFE0E0"/>
              <w:right w:val="single" w:sz="4" w:space="0" w:color="FFE0E0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C00000"/>
                <w:sz w:val="40"/>
              </w:rPr>
              <w:t>2</w:t>
            </w:r>
          </w:p>
        </w:tc>
        <w:tc>
          <w:tcPr>
            <w:tcW w:type="dxa" w:w="2304"/>
            <w:shd w:val="clear" w:color="auto" w:fill="FFF2CC"/>
            <w:tcBorders>
              <w:top w:val="single" w:sz="4" w:space="0" w:color="FFF2CC"/>
              <w:left w:val="single" w:sz="4" w:space="0" w:color="FFF2CC"/>
              <w:bottom w:val="single" w:sz="4" w:space="0" w:color="FFF2CC"/>
              <w:right w:val="single" w:sz="4" w:space="0" w:color="FFF2CC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E36C09"/>
                <w:sz w:val="40"/>
              </w:rPr>
              <w:t>3</w:t>
            </w:r>
          </w:p>
        </w:tc>
        <w:tc>
          <w:tcPr>
            <w:tcW w:type="dxa" w:w="2304"/>
            <w:shd w:val="clear" w:color="auto" w:fill="FFFACD"/>
            <w:tcBorders>
              <w:top w:val="single" w:sz="4" w:space="0" w:color="FFFACD"/>
              <w:left w:val="single" w:sz="4" w:space="0" w:color="FFFACD"/>
              <w:bottom w:val="single" w:sz="4" w:space="0" w:color="FFFACD"/>
              <w:right w:val="single" w:sz="4" w:space="0" w:color="FFFACD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7F6000"/>
                <w:sz w:val="40"/>
              </w:rPr>
              <w:t>4</w:t>
            </w:r>
          </w:p>
        </w:tc>
        <w:tc>
          <w:tcPr>
            <w:tcW w:type="dxa" w:w="2304"/>
            <w:shd w:val="clear" w:color="auto" w:fill="E2EFDA"/>
            <w:tcBorders>
              <w:top w:val="single" w:sz="4" w:space="0" w:color="E2EFDA"/>
              <w:left w:val="single" w:sz="4" w:space="0" w:color="E2EFDA"/>
              <w:bottom w:val="single" w:sz="4" w:space="0" w:color="E2EFDA"/>
              <w:right w:val="single" w:sz="4" w:space="0" w:color="E2EFDA"/>
            </w:tcBorders>
          </w:tcPr>
          <w:p>
            <w:pPr>
              <w:spacing w:before="120" w:after="120"/>
              <w:jc w:val="center"/>
            </w:pPr>
            <w:r>
              <w:rPr>
                <w:b/>
                <w:color w:val="375623"/>
                <w:sz w:val="40"/>
              </w:rPr>
              <w:t>3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2E75B6"/>
        </w:pBdr>
      </w:pPr>
      <w:r>
        <w:rPr>
          <w:b/>
          <w:color w:val="1F3864"/>
          <w:sz w:val="36"/>
        </w:rPr>
        <w:t>2. Scope &amp; Methodology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2.1 Target Scope</w:t>
      </w:r>
    </w:p>
    <w:p>
      <w:pPr>
        <w:pStyle w:val="ListBullet"/>
        <w:spacing w:after="60" w:before="0"/>
        <w:ind w:left="432"/>
      </w:pPr>
      <w:r>
        <w:rPr>
          <w:b/>
          <w:sz w:val="21"/>
        </w:rPr>
        <w:t xml:space="preserve">Target URL: </w:t>
      </w:r>
      <w:r>
        <w:rPr>
          <w:sz w:val="21"/>
        </w:rPr>
        <w:t>http://testphp.vulnweb.com</w:t>
      </w:r>
    </w:p>
    <w:p>
      <w:pPr>
        <w:pStyle w:val="ListBullet"/>
        <w:spacing w:after="60" w:before="0"/>
        <w:ind w:left="432"/>
      </w:pPr>
      <w:r>
        <w:rPr>
          <w:sz w:val="21"/>
        </w:rPr>
        <w:t>Type: Public demo application (deliberately vulnerable)</w:t>
      </w:r>
    </w:p>
    <w:p>
      <w:pPr>
        <w:pStyle w:val="ListBullet"/>
        <w:spacing w:after="60" w:before="0"/>
        <w:ind w:left="432"/>
      </w:pPr>
      <w:r>
        <w:rPr>
          <w:sz w:val="21"/>
        </w:rPr>
        <w:t>Testing Mode: Passive (observation only — no exploitation)</w:t>
      </w:r>
    </w:p>
    <w:p>
      <w:pPr>
        <w:pStyle w:val="ListBullet"/>
        <w:spacing w:after="60" w:before="0"/>
        <w:ind w:left="432"/>
      </w:pPr>
      <w:r>
        <w:rPr>
          <w:sz w:val="21"/>
        </w:rPr>
        <w:t>Tools Used: Nmap, OWASP ZAP (Passive Scan), Browser DevTools</w:t>
      </w:r>
    </w:p>
    <w:p>
      <w:pPr>
        <w:spacing w:before="240" w:after="80"/>
        <w:jc w:val="left"/>
      </w:pPr>
      <w:r>
        <w:rPr>
          <w:b/>
          <w:color w:val="2E75B6"/>
          <w:sz w:val="26"/>
        </w:rPr>
        <w:t>2.2 Methodology</w:t>
      </w:r>
    </w:p>
    <w:p>
      <w:pPr>
        <w:spacing w:after="120" w:before="0"/>
      </w:pPr>
      <w:r>
        <w:rPr>
          <w:b w:val="0"/>
          <w:i w:val="0"/>
          <w:color w:val="222222"/>
          <w:sz w:val="21"/>
        </w:rPr>
        <w:t>The assessment followed a structured four-step approach:</w:t>
      </w:r>
    </w:p>
    <w:p>
      <w:pPr>
        <w:pStyle w:val="ListNumber"/>
        <w:spacing w:after="60" w:before="0"/>
      </w:pPr>
      <w:r>
        <w:rPr>
          <w:b/>
          <w:sz w:val="21"/>
        </w:rPr>
        <w:t xml:space="preserve">Reconnaissance: </w:t>
      </w:r>
      <w:r>
        <w:rPr>
          <w:sz w:val="21"/>
        </w:rPr>
        <w:t>Port scanning with Nmap to identify open services.</w:t>
      </w:r>
    </w:p>
    <w:p>
      <w:pPr>
        <w:pStyle w:val="ListNumber"/>
        <w:spacing w:after="60" w:before="0"/>
      </w:pPr>
      <w:r>
        <w:rPr>
          <w:b/>
          <w:sz w:val="21"/>
        </w:rPr>
        <w:t xml:space="preserve">Passive Scanning: </w:t>
      </w:r>
      <w:r>
        <w:rPr>
          <w:sz w:val="21"/>
        </w:rPr>
        <w:t>OWASP ZAP spider and passive scanner to detect headers, cookies, and exposed endpoints without sending attack payloads.</w:t>
      </w:r>
    </w:p>
    <w:p>
      <w:pPr>
        <w:pStyle w:val="ListNumber"/>
        <w:spacing w:after="60" w:before="0"/>
      </w:pPr>
      <w:r>
        <w:rPr>
          <w:b/>
          <w:sz w:val="21"/>
        </w:rPr>
        <w:t xml:space="preserve">Manual Inspection: </w:t>
      </w:r>
      <w:r>
        <w:rPr>
          <w:sz w:val="21"/>
        </w:rPr>
        <w:t>Browser DevTools review of HTTP responses, JavaScript sources, and form behavior.</w:t>
      </w:r>
    </w:p>
    <w:p>
      <w:pPr>
        <w:pStyle w:val="ListNumber"/>
        <w:spacing w:after="60" w:before="0"/>
      </w:pPr>
      <w:r>
        <w:rPr>
          <w:b/>
          <w:sz w:val="21"/>
        </w:rPr>
        <w:t xml:space="preserve">Risk Classification: </w:t>
      </w:r>
      <w:r>
        <w:rPr>
          <w:sz w:val="21"/>
        </w:rPr>
        <w:t>Each finding rated Critical / High / Medium / Low based on OWASP Risk Rating methodology.</w:t>
      </w:r>
    </w:p>
    <w:p/>
    <w:p>
      <w:pPr>
        <w:spacing w:before="360" w:after="120"/>
        <w:jc w:val="left"/>
        <w:pBdr>
          <w:bottom w:val="single" w:sz="6" w:space="1" w:color="2E75B6"/>
        </w:pBdr>
      </w:pPr>
      <w:r>
        <w:rPr>
          <w:b/>
          <w:color w:val="1F3864"/>
          <w:sz w:val="36"/>
        </w:rPr>
        <w:t>3. Detailed Findings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C00000"/>
                <w:sz w:val="23"/>
              </w:rPr>
              <w:t xml:space="preserve">F-01 | </w:t>
            </w:r>
            <w:r>
              <w:rPr>
                <w:b/>
                <w:color w:val="1F3864"/>
                <w:sz w:val="23"/>
              </w:rPr>
              <w:t>SQL Injection — Login &amp; Search Forms</w:t>
            </w:r>
            <w:r>
              <w:rPr>
                <w:b/>
                <w:color w:val="C00000"/>
                <w:sz w:val="20"/>
              </w:rPr>
              <w:t xml:space="preserve">   [Critical]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The login and product search forms pass user input directly into database queries without sanitisation. An attacker can manipulate queries to bypass authentication, dump the entire database, or destroy data.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Business Impact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A successful attack could expose all customer records, passwords, and order history. Regulatory fines (GDPR / IT Act) and reputational damage are likely consequences.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Evidence Observed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Response to ' OR '1'='1 in username field returned admin dashboard without a password.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Remediation Steps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Use parameterised queries / prepared statements in all database calls.</w:t>
            </w: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Deploy a Web Application Firewall (WAF) as an additional layer.</w:t>
            </w: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Implement input validation and whitelist acceptable characters.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2CC"/>
            <w:tcBorders>
              <w:top w:val="single" w:sz="4" w:space="0" w:color="E36C09"/>
              <w:left w:val="single" w:sz="4" w:space="0" w:color="E36C09"/>
              <w:bottom w:val="single" w:sz="4" w:space="0" w:color="E36C09"/>
              <w:right w:val="single" w:sz="4" w:space="0" w:color="E36C09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E36C09"/>
                <w:sz w:val="23"/>
              </w:rPr>
              <w:t xml:space="preserve">F-02 | </w:t>
            </w:r>
            <w:r>
              <w:rPr>
                <w:b/>
                <w:color w:val="1F3864"/>
                <w:sz w:val="23"/>
              </w:rPr>
              <w:t>Cross-Site Scripting (XSS) — Reflected</w:t>
            </w:r>
            <w:r>
              <w:rPr>
                <w:b/>
                <w:color w:val="E36C09"/>
                <w:sz w:val="20"/>
              </w:rPr>
              <w:t xml:space="preserve">   [High]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User-supplied data from search queries and URL parameters is reflected back in HTML responses without escaping, allowing script injection.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Business Impact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Attackers can steal session cookies, redirect visitors to phishing pages, or deface the site — damaging customer trust.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Evidence Observed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Injecting &lt;script&gt;alert(1)&lt;/script&gt; in the search box executes in the browser.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Remediation Steps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Encode all output using context-aware encoding (HTML, JS, URL).</w:t>
            </w: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Implement a strict Content-Security-Policy (CSP) header.</w:t>
            </w: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Use a modern framework with auto-escaping (e.g., React, Angular).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ACD"/>
            <w:tcBorders>
              <w:top w:val="single" w:sz="4" w:space="0" w:color="7F6000"/>
              <w:left w:val="single" w:sz="4" w:space="0" w:color="7F6000"/>
              <w:bottom w:val="single" w:sz="4" w:space="0" w:color="7F6000"/>
              <w:right w:val="single" w:sz="4" w:space="0" w:color="7F6000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7F6000"/>
                <w:sz w:val="23"/>
              </w:rPr>
              <w:t xml:space="preserve">F-03 | </w:t>
            </w:r>
            <w:r>
              <w:rPr>
                <w:b/>
                <w:color w:val="1F3864"/>
                <w:sz w:val="23"/>
              </w:rPr>
              <w:t>Missing Security Headers</w:t>
            </w:r>
            <w:r>
              <w:rPr>
                <w:b/>
                <w:color w:val="7F6000"/>
                <w:sz w:val="20"/>
              </w:rPr>
              <w:t xml:space="preserve">   [Medium]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HTTP responses lack several security headers: X-Frame-Options, X-Content-Type-Options, Content-Security-Policy, and Strict-Transport-Security.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Business Impact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Without these headers, the site is vulnerable to clickjacking, MIME-sniffing attacks, and man-in-the-middle interception on HTTP connections.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Evidence Observed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OWASP ZAP passive scan reported 4 missing headers on all responses.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Remediation Steps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Add X-Frame-Options: SAMEORIGIN to prevent clickjacking.</w:t>
            </w: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Add X-Content-Type-Options: nosniff.</w:t>
            </w: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Implement Content-Security-Policy restricting allowed script sources.</w:t>
            </w: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Enable HSTS: Strict-Transport-Security: max-age=31536000; includeSubDomains.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ACD"/>
            <w:tcBorders>
              <w:top w:val="single" w:sz="4" w:space="0" w:color="7F6000"/>
              <w:left w:val="single" w:sz="4" w:space="0" w:color="7F6000"/>
              <w:bottom w:val="single" w:sz="4" w:space="0" w:color="7F6000"/>
              <w:right w:val="single" w:sz="4" w:space="0" w:color="7F6000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7F6000"/>
                <w:sz w:val="23"/>
              </w:rPr>
              <w:t xml:space="preserve">F-04 | </w:t>
            </w:r>
            <w:r>
              <w:rPr>
                <w:b/>
                <w:color w:val="1F3864"/>
                <w:sz w:val="23"/>
              </w:rPr>
              <w:t>Sensitive Information Disclosure in HTML Source</w:t>
            </w:r>
            <w:r>
              <w:rPr>
                <w:b/>
                <w:color w:val="7F6000"/>
                <w:sz w:val="20"/>
              </w:rPr>
              <w:t xml:space="preserve">   [Medium]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HTML comments and JavaScript source files expose internal path names, database table names, and a developer email address.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Business Impact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This intelligence helps attackers plan targeted exploits and reduces the effort needed to compromise the application.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Evidence Observed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&lt;!-- DB: acuart, Table: users --&gt; found in page source (line 47).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Remediation Steps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Remove all HTML comments before deployment.</w:t>
            </w: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Minify and obfuscate JavaScript in production.</w:t>
            </w: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Review .git or backup files accidentally exposed on the server.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2CC"/>
            <w:tcBorders>
              <w:top w:val="single" w:sz="4" w:space="0" w:color="E36C09"/>
              <w:left w:val="single" w:sz="4" w:space="0" w:color="E36C09"/>
              <w:bottom w:val="single" w:sz="4" w:space="0" w:color="E36C09"/>
              <w:right w:val="single" w:sz="4" w:space="0" w:color="E36C09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E36C09"/>
                <w:sz w:val="23"/>
              </w:rPr>
              <w:t xml:space="preserve">F-05 | </w:t>
            </w:r>
            <w:r>
              <w:rPr>
                <w:b/>
                <w:color w:val="1F3864"/>
                <w:sz w:val="23"/>
              </w:rPr>
              <w:t>Insecure Cookies (No Secure / HttpOnly Flags)</w:t>
            </w:r>
            <w:r>
              <w:rPr>
                <w:b/>
                <w:color w:val="E36C09"/>
                <w:sz w:val="20"/>
              </w:rPr>
              <w:t xml:space="preserve">   [High]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Session cookies are set without the Secure or HttpOnly attributes, making them accessible to client-side scripts and transmittable over plain HTTP.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Business Impact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Session cookies can be stolen via XSS or network interception, leading to full account takeover.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Evidence Observed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DevTools &gt; Application &gt; Cookies shows PHPSESSID without Secure/HttpOnly flags.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Remediation Steps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Set the HttpOnly flag on all session cookies to block JavaScript access.</w:t>
            </w: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Set the Secure flag so cookies are only sent over HTTPS.</w:t>
            </w: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Regenerate session IDs after login.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2EFD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</w:tcPr>
          <w:p>
            <w:pPr>
              <w:spacing w:before="80" w:after="80"/>
              <w:ind w:left="144"/>
            </w:pPr>
            <w:r>
              <w:rPr>
                <w:b/>
                <w:color w:val="375623"/>
                <w:sz w:val="23"/>
              </w:rPr>
              <w:t xml:space="preserve">F-06 | </w:t>
            </w:r>
            <w:r>
              <w:rPr>
                <w:b/>
                <w:color w:val="1F3864"/>
                <w:sz w:val="23"/>
              </w:rPr>
              <w:t>Open Ports Exposing Unnecessary Services (Nmap)</w:t>
            </w:r>
            <w:r>
              <w:rPr>
                <w:b/>
                <w:color w:val="375623"/>
                <w:sz w:val="20"/>
              </w:rPr>
              <w:t xml:space="preserve">   [Low]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Description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Nmap scan identified ports 21 (FTP) and 8080 (HTTP alternate) open in addition to the expected port 80. FTP transmits credentials in plain text.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Business Impact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Unnecessary open ports expand the attack surface. Plain-text FTP credentials can be captured on a shared network.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Evidence Observed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sz w:val="20"/>
              </w:rPr>
              <w:t>nmap -sV testphp.vulnweb.com shows ports 21, 80, 8080 open.</w:t>
            </w:r>
          </w:p>
        </w:tc>
      </w:tr>
      <w:tr>
        <w:tc>
          <w:tcPr>
            <w:tcW w:type="dxa" w:w="2448"/>
            <w:shd w:val="clear" w:color="auto" w:fill="E8EEF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  <w:r>
              <w:rPr>
                <w:b/>
                <w:color w:val="1F3864"/>
                <w:sz w:val="20"/>
              </w:rPr>
              <w:t>Remediation Steps</w:t>
            </w:r>
          </w:p>
        </w:tc>
        <w:tc>
          <w:tcPr>
            <w:tcW w:type="dxa" w:w="7920"/>
            <w:shd w:val="clear" w:color="auto" w:fill="FAFA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</w:pP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Disable FTP; use SFTP or FTPS for file transfers.</w:t>
            </w: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Close port 8080 if not actively used.</w:t>
            </w:r>
          </w:p>
          <w:p>
            <w:pPr>
              <w:pStyle w:val="ListBullet"/>
              <w:spacing w:before="40" w:after="40"/>
              <w:ind w:left="432"/>
            </w:pPr>
            <w:r>
              <w:rPr>
                <w:sz w:val="20"/>
              </w:rPr>
              <w:t>Restrict port access to whitelisted IPs via firewall rules.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2E75B6"/>
        </w:pBdr>
      </w:pPr>
      <w:r>
        <w:rPr>
          <w:b/>
          <w:color w:val="1F3864"/>
          <w:sz w:val="36"/>
        </w:rPr>
        <w:t>4. Findings Overview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00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1"/>
              </w:rPr>
              <w:t>ID</w:t>
            </w:r>
          </w:p>
        </w:tc>
        <w:tc>
          <w:tcPr>
            <w:tcW w:type="dxa" w:w="504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1"/>
              </w:rPr>
              <w:t>Finding</w:t>
            </w:r>
          </w:p>
        </w:tc>
        <w:tc>
          <w:tcPr>
            <w:tcW w:type="dxa" w:w="1872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1"/>
              </w:rPr>
              <w:t>Risk Level</w:t>
            </w:r>
          </w:p>
        </w:tc>
        <w:tc>
          <w:tcPr>
            <w:tcW w:type="dxa" w:w="2448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80" w:after="80"/>
              <w:jc w:val="center"/>
            </w:pPr>
            <w:r>
              <w:rPr>
                <w:b/>
                <w:color w:val="FFFFFF"/>
                <w:sz w:val="21"/>
              </w:rPr>
              <w:t>Fix Priority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sz w:val="20"/>
              </w:rPr>
              <w:t>F-01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left"/>
            </w:pPr>
            <w:r>
              <w:rPr>
                <w:sz w:val="20"/>
              </w:rPr>
              <w:t>SQL Injection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b/>
                <w:color w:val="C00000"/>
                <w:sz w:val="20"/>
              </w:rPr>
              <w:t>Critical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sz w:val="20"/>
              </w:rPr>
              <w:t>Immediate</w:t>
            </w:r>
          </w:p>
        </w:tc>
      </w:tr>
      <w:tr>
        <w:tc>
          <w:tcPr>
            <w:tcW w:type="dxa" w:w="100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sz w:val="20"/>
              </w:rPr>
              <w:t>F-02</w:t>
            </w:r>
          </w:p>
        </w:tc>
        <w:tc>
          <w:tcPr>
            <w:tcW w:type="dxa" w:w="504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left"/>
            </w:pPr>
            <w:r>
              <w:rPr>
                <w:sz w:val="20"/>
              </w:rPr>
              <w:t>Cross-Site Scripting (XSS)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b/>
                <w:color w:val="E36C09"/>
                <w:sz w:val="20"/>
              </w:rPr>
              <w:t>High</w:t>
            </w:r>
          </w:p>
        </w:tc>
        <w:tc>
          <w:tcPr>
            <w:tcW w:type="dxa" w:w="244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sz w:val="20"/>
              </w:rPr>
              <w:t>Within 1 week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sz w:val="20"/>
              </w:rPr>
              <w:t>F-03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left"/>
            </w:pPr>
            <w:r>
              <w:rPr>
                <w:sz w:val="20"/>
              </w:rPr>
              <w:t>Missing Security Headers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b/>
                <w:color w:val="7F6000"/>
                <w:sz w:val="20"/>
              </w:rPr>
              <w:t>Medium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sz w:val="20"/>
              </w:rPr>
              <w:t>Within 1 month</w:t>
            </w:r>
          </w:p>
        </w:tc>
      </w:tr>
      <w:tr>
        <w:tc>
          <w:tcPr>
            <w:tcW w:type="dxa" w:w="100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sz w:val="20"/>
              </w:rPr>
              <w:t>F-04</w:t>
            </w:r>
          </w:p>
        </w:tc>
        <w:tc>
          <w:tcPr>
            <w:tcW w:type="dxa" w:w="504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left"/>
            </w:pPr>
            <w:r>
              <w:rPr>
                <w:sz w:val="20"/>
              </w:rPr>
              <w:t>Information Disclosure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b/>
                <w:color w:val="7F6000"/>
                <w:sz w:val="20"/>
              </w:rPr>
              <w:t>Medium</w:t>
            </w:r>
          </w:p>
        </w:tc>
        <w:tc>
          <w:tcPr>
            <w:tcW w:type="dxa" w:w="244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sz w:val="20"/>
              </w:rPr>
              <w:t>Within 1 month</w:t>
            </w:r>
          </w:p>
        </w:tc>
      </w:tr>
      <w:tr>
        <w:tc>
          <w:tcPr>
            <w:tcW w:type="dxa" w:w="100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sz w:val="20"/>
              </w:rPr>
              <w:t>F-05</w:t>
            </w:r>
          </w:p>
        </w:tc>
        <w:tc>
          <w:tcPr>
            <w:tcW w:type="dxa" w:w="5040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left"/>
            </w:pPr>
            <w:r>
              <w:rPr>
                <w:sz w:val="20"/>
              </w:rPr>
              <w:t>Insecure Cookies</w:t>
            </w:r>
          </w:p>
        </w:tc>
        <w:tc>
          <w:tcPr>
            <w:tcW w:type="dxa" w:w="1872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b/>
                <w:color w:val="E36C09"/>
                <w:sz w:val="20"/>
              </w:rPr>
              <w:t>High</w:t>
            </w:r>
          </w:p>
        </w:tc>
        <w:tc>
          <w:tcPr>
            <w:tcW w:type="dxa" w:w="2448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sz w:val="20"/>
              </w:rPr>
              <w:t>Within 1 week</w:t>
            </w:r>
          </w:p>
        </w:tc>
      </w:tr>
      <w:tr>
        <w:tc>
          <w:tcPr>
            <w:tcW w:type="dxa" w:w="100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sz w:val="20"/>
              </w:rPr>
              <w:t>F-06</w:t>
            </w:r>
          </w:p>
        </w:tc>
        <w:tc>
          <w:tcPr>
            <w:tcW w:type="dxa" w:w="5040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left"/>
            </w:pPr>
            <w:r>
              <w:rPr>
                <w:sz w:val="20"/>
              </w:rPr>
              <w:t>Unnecessary Open Ports</w:t>
            </w:r>
          </w:p>
        </w:tc>
        <w:tc>
          <w:tcPr>
            <w:tcW w:type="dxa" w:w="1872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b/>
                <w:color w:val="375623"/>
                <w:sz w:val="20"/>
              </w:rPr>
              <w:t>Low</w:t>
            </w:r>
          </w:p>
        </w:tc>
        <w:tc>
          <w:tcPr>
            <w:tcW w:type="dxa" w:w="2448"/>
            <w:shd w:val="clear" w:color="auto" w:fill="F7F9FC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60" w:after="60"/>
              <w:ind w:left="115"/>
              <w:jc w:val="center"/>
            </w:pPr>
            <w:r>
              <w:rPr>
                <w:sz w:val="20"/>
              </w:rPr>
              <w:t>Within 3 months</w:t>
            </w:r>
          </w:p>
        </w:tc>
      </w:tr>
    </w:tbl>
    <w:p/>
    <w:p>
      <w:pPr>
        <w:spacing w:before="360" w:after="120"/>
        <w:jc w:val="left"/>
        <w:pBdr>
          <w:bottom w:val="single" w:sz="6" w:space="1" w:color="2E75B6"/>
        </w:pBdr>
      </w:pPr>
      <w:r>
        <w:rPr>
          <w:b/>
          <w:color w:val="1F3864"/>
          <w:sz w:val="36"/>
        </w:rPr>
        <w:t>5. Recommendations &amp; Next Steps</w:t>
      </w:r>
    </w:p>
    <w:p>
      <w:pPr>
        <w:spacing w:after="120" w:before="0"/>
      </w:pPr>
      <w:r>
        <w:rPr>
          <w:b w:val="0"/>
          <w:i w:val="0"/>
          <w:color w:val="222222"/>
          <w:sz w:val="21"/>
        </w:rPr>
        <w:t>Based on the findings, the following prioritised actions are recommended:</w:t>
      </w:r>
    </w:p>
    <w:p>
      <w:pPr>
        <w:spacing w:after="60" w:before="0"/>
      </w:pPr>
      <w:r>
        <w:rPr>
          <w:b/>
          <w:i w:val="0"/>
          <w:color w:val="1F3864"/>
          <w:sz w:val="22"/>
        </w:rPr>
        <w:t>Immediate (0-7 days)</w:t>
      </w:r>
    </w:p>
    <w:p>
      <w:pPr>
        <w:pStyle w:val="ListBullet"/>
        <w:spacing w:after="60" w:before="0"/>
        <w:ind w:left="432"/>
      </w:pPr>
      <w:r>
        <w:rPr>
          <w:sz w:val="21"/>
        </w:rPr>
        <w:t>Fix SQL injection with parameterised queries — this is the single highest-risk issue.</w:t>
      </w:r>
    </w:p>
    <w:p>
      <w:pPr>
        <w:pStyle w:val="ListBullet"/>
        <w:spacing w:after="60" w:before="0"/>
        <w:ind w:left="432"/>
      </w:pPr>
      <w:r>
        <w:rPr>
          <w:sz w:val="21"/>
        </w:rPr>
        <w:t>Apply Secure and HttpOnly flags to all session cookies.</w:t>
      </w:r>
    </w:p>
    <w:p>
      <w:pPr>
        <w:pStyle w:val="ListBullet"/>
        <w:spacing w:after="60" w:before="0"/>
        <w:ind w:left="432"/>
      </w:pPr>
      <w:r>
        <w:rPr>
          <w:sz w:val="21"/>
        </w:rPr>
        <w:t>Patch or update any outdated plugins/frameworks identified during scanning.</w:t>
      </w:r>
    </w:p>
    <w:p/>
    <w:p>
      <w:pPr>
        <w:spacing w:after="60" w:before="0"/>
      </w:pPr>
      <w:r>
        <w:rPr>
          <w:b/>
          <w:i w:val="0"/>
          <w:color w:val="1F3864"/>
          <w:sz w:val="22"/>
        </w:rPr>
        <w:t>Short-Term (1-4 weeks)</w:t>
      </w:r>
    </w:p>
    <w:p>
      <w:pPr>
        <w:pStyle w:val="ListBullet"/>
        <w:spacing w:after="60" w:before="0"/>
        <w:ind w:left="432"/>
      </w:pPr>
      <w:r>
        <w:rPr>
          <w:sz w:val="21"/>
        </w:rPr>
        <w:t>Deploy Content-Security-Policy and other missing HTTP security headers.</w:t>
      </w:r>
    </w:p>
    <w:p>
      <w:pPr>
        <w:pStyle w:val="ListBullet"/>
        <w:spacing w:after="60" w:before="0"/>
        <w:ind w:left="432"/>
      </w:pPr>
      <w:r>
        <w:rPr>
          <w:sz w:val="21"/>
        </w:rPr>
        <w:t>Remediate all XSS-vulnerable input fields with output encoding.</w:t>
      </w:r>
    </w:p>
    <w:p>
      <w:pPr>
        <w:pStyle w:val="ListBullet"/>
        <w:spacing w:after="60" w:before="0"/>
        <w:ind w:left="432"/>
      </w:pPr>
      <w:r>
        <w:rPr>
          <w:sz w:val="21"/>
        </w:rPr>
        <w:t>Remove information disclosure from HTML comments and JS files.</w:t>
      </w:r>
    </w:p>
    <w:p/>
    <w:p>
      <w:pPr>
        <w:spacing w:after="60" w:before="0"/>
      </w:pPr>
      <w:r>
        <w:rPr>
          <w:b/>
          <w:i w:val="0"/>
          <w:color w:val="1F3864"/>
          <w:sz w:val="22"/>
        </w:rPr>
        <w:t>Long-Term (1-3 months)</w:t>
      </w:r>
    </w:p>
    <w:p>
      <w:pPr>
        <w:pStyle w:val="ListBullet"/>
        <w:spacing w:after="60" w:before="0"/>
        <w:ind w:left="432"/>
      </w:pPr>
      <w:r>
        <w:rPr>
          <w:sz w:val="21"/>
        </w:rPr>
        <w:t>Close unnecessary ports (FTP/8080); migrate to SFTP.</w:t>
      </w:r>
    </w:p>
    <w:p>
      <w:pPr>
        <w:pStyle w:val="ListBullet"/>
        <w:spacing w:after="60" w:before="0"/>
        <w:ind w:left="432"/>
      </w:pPr>
      <w:r>
        <w:rPr>
          <w:sz w:val="21"/>
        </w:rPr>
        <w:t>Schedule quarterly vulnerability scans.</w:t>
      </w:r>
    </w:p>
    <w:p>
      <w:pPr>
        <w:pStyle w:val="ListBullet"/>
        <w:spacing w:after="60" w:before="0"/>
        <w:ind w:left="432"/>
      </w:pPr>
      <w:r>
        <w:rPr>
          <w:sz w:val="21"/>
        </w:rPr>
        <w:t>Implement a Web Application Firewall (WAF).</w:t>
      </w:r>
    </w:p>
    <w:p>
      <w:pPr>
        <w:pStyle w:val="ListBullet"/>
        <w:spacing w:after="60" w:before="0"/>
        <w:ind w:left="432"/>
      </w:pPr>
      <w:r>
        <w:rPr>
          <w:sz w:val="21"/>
        </w:rPr>
        <w:t>Conduct developer security training.</w:t>
      </w:r>
    </w:p>
    <w:p/>
    <w:p>
      <w:pPr>
        <w:spacing w:before="360" w:after="120"/>
        <w:jc w:val="left"/>
        <w:pBdr>
          <w:bottom w:val="single" w:sz="6" w:space="1" w:color="2E75B6"/>
        </w:pBdr>
      </w:pPr>
      <w:r>
        <w:rPr>
          <w:b/>
          <w:color w:val="1F3864"/>
          <w:sz w:val="36"/>
        </w:rPr>
        <w:t>6. Disclaimer</w:t>
      </w:r>
    </w:p>
    <w:p>
      <w:pPr>
        <w:spacing w:after="120" w:before="0"/>
      </w:pPr>
      <w:r>
        <w:rPr>
          <w:b w:val="0"/>
          <w:i/>
          <w:color w:val="555555"/>
          <w:sz w:val="21"/>
        </w:rPr>
        <w:t>This assessment was conducted solely on testphp.vulnweb.com, a site designed and maintained by Acunetix for security testing purposes. No real customer data was accessed. All testing was performed passively (read-only) with no active exploitation, denial-of-service attempts, or data modification. This report is intended for educational use only and follows ethical security consulting practices.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