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56"/>
          <w:szCs w:val="56"/>
        </w:rPr>
        <w:t xml:space="preserve">SUPERSTORE SALES</w:t>
      </w:r>
    </w:p>
    <w:p>
      <w:pPr>
        <w:spacing w:after="400"/>
        <w:jc w:val="center"/>
      </w:pPr>
      <w:r>
        <w:rPr>
          <w:b/>
          <w:bCs/>
          <w:color w:val="2E5A8C"/>
          <w:sz w:val="40"/>
          <w:szCs w:val="40"/>
        </w:rPr>
        <w:t xml:space="preserve">DATA ANALYSIS PROJECT REPORT</w:t>
      </w:r>
    </w:p>
    <w:p>
      <w:pPr>
        <w:spacing w:after="100"/>
        <w:jc w:val="center"/>
      </w:pPr>
      <w:r>
        <w:rPr>
          <w:i/>
          <w:iCs/>
          <w:color w:val="595959"/>
          <w:sz w:val="24"/>
          <w:szCs w:val="24"/>
        </w:rPr>
        <w:t xml:space="preserve">Exploratory Data Analysis • Power BI Dashboard • Business Insights</w:t>
      </w:r>
    </w:p>
    <w:p>
      <w:pPr>
        <w:spacing w:before="1600"/>
        <w:jc w:val="center"/>
      </w:pPr>
      <w:r>
        <w:rPr>
          <w:color w:val="595959"/>
          <w:sz w:val="22"/>
          <w:szCs w:val="22"/>
        </w:rPr>
        <w:t xml:space="preserve">Dataset: Superstore Sales (2015–2018)</w:t>
      </w:r>
    </w:p>
    <w:p>
      <w:pPr>
        <w:jc w:val="center"/>
      </w:pPr>
      <w:r>
        <w:rPr>
          <w:color w:val="595959"/>
          <w:sz w:val="22"/>
          <w:szCs w:val="22"/>
        </w:rPr>
        <w:t xml:space="preserve">9,800 order line items • 4,922 unique orders • 793 customers across the U.S.</w:t>
      </w:r>
    </w:p>
    <w:p>
      <w:pPr>
        <w:spacing w:before="3200"/>
        <w:jc w:val="center"/>
      </w:pPr>
      <w:r>
        <w:rPr>
          <w:color w:val="595959"/>
          <w:sz w:val="20"/>
          <w:szCs w:val="20"/>
        </w:rPr>
        <w:t xml:space="preserve">Prepared as part of the end-to-end Sales Analytics project (EDA → Dashboard → Report)</w:t>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160" w:before="360"/>
      </w:pPr>
      <w:r>
        <w:rPr>
          <w:b/>
          <w:bCs/>
          <w:color w:val="1F3864"/>
          <w:sz w:val="30"/>
          <w:szCs w:val="30"/>
        </w:rPr>
        <w:t xml:space="preserve">Executive Summary</w:t>
      </w:r>
    </w:p>
    <w:p>
      <w:pPr>
        <w:spacing w:after="160" w:line="276"/>
      </w:pPr>
      <w:r>
        <w:rPr>
          <w:sz w:val="22"/>
          <w:szCs w:val="22"/>
        </w:rPr>
        <w:t xml:space="preserve">This report presents the findings of an end-to-end sales analytics project built on the Superstore dataset, covering 9,800 order line items placed between January 2015 and December 2018. The project followed a three-stage workflow: exploratory data analysis (EDA), an interactive Power BI dashboard, and this consolidated report summarizing key business insights and recommendations.</w:t>
      </w:r>
    </w:p>
    <w:p>
      <w:pPr>
        <w:spacing w:after="160" w:line="276"/>
      </w:pPr>
      <w:r>
        <w:rPr>
          <w:sz w:val="22"/>
          <w:szCs w:val="22"/>
        </w:rPr>
        <w:t xml:space="preserve">Across the four-year period, the business generated $2.26M in total sales from 4,922 unique orders, at an average of roughly $459 per order. Sales grew strongly in the second half of the period after a slight dip in 2016, with 2018 finishing 20.3% higher than 2017. Technology was the top-earning category despite Office Supplies generating the highest order volume, and the West and East regions together accounted for the majority of revenue.</w:t>
      </w:r>
    </w:p>
    <w:p>
      <w:r>
        <w:br w:type="page"/>
      </w:r>
    </w:p>
    <w:p>
      <w:pPr>
        <w:pStyle w:val="Heading1"/>
        <w:pBdr>
          <w:bottom w:val="single" w:color="1F3864" w:sz="6" w:space="4"/>
        </w:pBdr>
        <w:spacing w:after="160" w:before="360"/>
      </w:pPr>
      <w:r>
        <w:rPr>
          <w:b/>
          <w:bCs/>
          <w:color w:val="1F3864"/>
          <w:sz w:val="30"/>
          <w:szCs w:val="30"/>
        </w:rPr>
        <w:t xml:space="preserve">1. Project Overview</w:t>
      </w:r>
    </w:p>
    <w:p>
      <w:pPr>
        <w:pStyle w:val="Heading2"/>
        <w:spacing w:after="120" w:before="260"/>
      </w:pPr>
      <w:r>
        <w:rPr>
          <w:b/>
          <w:bCs/>
          <w:color w:val="2E5A8C"/>
          <w:sz w:val="24"/>
          <w:szCs w:val="24"/>
        </w:rPr>
        <w:t xml:space="preserve">1.1 Objective</w:t>
      </w:r>
    </w:p>
    <w:p>
      <w:pPr>
        <w:spacing w:after="160" w:line="276"/>
      </w:pPr>
      <w:r>
        <w:rPr>
          <w:sz w:val="22"/>
          <w:szCs w:val="22"/>
        </w:rPr>
        <w:t xml:space="preserve">The goal of this project was to analyze historical retail sales transactions to understand revenue drivers, customer segments, regional performance, and seasonal trends, and to package these findings into a reusable, interactive dashboard and a written report suitable for stakeholders.</w:t>
      </w:r>
    </w:p>
    <w:p>
      <w:pPr>
        <w:pStyle w:val="Heading2"/>
        <w:spacing w:after="120" w:before="260"/>
      </w:pPr>
      <w:r>
        <w:rPr>
          <w:b/>
          <w:bCs/>
          <w:color w:val="2E5A8C"/>
          <w:sz w:val="24"/>
          <w:szCs w:val="24"/>
        </w:rPr>
        <w:t xml:space="preserve">1.2 Workflow</w:t>
      </w:r>
    </w:p>
    <w:p>
      <w:pPr>
        <w:pStyle w:val="ListParagraph"/>
        <w:numPr>
          <w:ilvl w:val="0"/>
          <w:numId w:val="2"/>
        </w:numPr>
        <w:spacing w:after="80"/>
      </w:pPr>
      <w:r>
        <w:rPr>
          <w:sz w:val="22"/>
          <w:szCs w:val="22"/>
        </w:rPr>
        <w:t xml:space="preserve">Exploratory Data Analysis (EDA) – cleaning, profiling, and initial visualization of the raw dataset (stored separately in the project's GitHub repository).</w:t>
      </w:r>
    </w:p>
    <w:p>
      <w:pPr>
        <w:pStyle w:val="ListParagraph"/>
        <w:numPr>
          <w:ilvl w:val="0"/>
          <w:numId w:val="2"/>
        </w:numPr>
        <w:spacing w:after="80"/>
      </w:pPr>
      <w:r>
        <w:rPr>
          <w:sz w:val="22"/>
          <w:szCs w:val="22"/>
        </w:rPr>
        <w:t xml:space="preserve">Power BI Dashboard – an interactive report (supersales_store_data_analysis.pbix) built on the cleaned dataset for ongoing self-service analysis.</w:t>
      </w:r>
    </w:p>
    <w:p>
      <w:pPr>
        <w:pStyle w:val="ListParagraph"/>
        <w:numPr>
          <w:ilvl w:val="0"/>
          <w:numId w:val="2"/>
        </w:numPr>
        <w:spacing w:after="80"/>
      </w:pPr>
      <w:r>
        <w:rPr>
          <w:sz w:val="22"/>
          <w:szCs w:val="22"/>
        </w:rPr>
        <w:t xml:space="preserve">Project Report (this document) – a narrative summary of key findings, insights, and recommendations for a non-technical audience.</w:t>
      </w:r>
    </w:p>
    <w:p>
      <w:pPr>
        <w:pStyle w:val="Heading1"/>
        <w:pBdr>
          <w:bottom w:val="single" w:color="1F3864" w:sz="6" w:space="4"/>
        </w:pBdr>
        <w:spacing w:after="160" w:before="360"/>
      </w:pPr>
      <w:r>
        <w:rPr>
          <w:b/>
          <w:bCs/>
          <w:color w:val="1F3864"/>
          <w:sz w:val="30"/>
          <w:szCs w:val="30"/>
        </w:rPr>
        <w:t xml:space="preserve">2. Dataset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F2F6FA" w:val="clear"/>
            <w:tcMar>
              <w:top w:type="dxa" w:w="90"/>
              <w:left w:type="dxa" w:w="120"/>
              <w:bottom w:type="dxa" w:w="90"/>
              <w:right w:type="dxa" w:w="120"/>
            </w:tcMar>
          </w:tcPr>
          <w:p>
            <w:r>
              <w:rPr>
                <w:b/>
                <w:bCs/>
                <w:sz w:val="20"/>
                <w:szCs w:val="20"/>
              </w:rPr>
              <w:t xml:space="preserve">Source table</w:t>
            </w:r>
          </w:p>
        </w:tc>
        <w:tc>
          <w:tcPr>
            <w:tcW w:type="dxa" w:w="6350"/>
            <w:shd w:fill="F2F6FA" w:val="clear"/>
            <w:tcMar>
              <w:top w:type="dxa" w:w="90"/>
              <w:left w:type="dxa" w:w="120"/>
              <w:bottom w:type="dxa" w:w="90"/>
              <w:right w:type="dxa" w:w="120"/>
            </w:tcMar>
          </w:tcPr>
          <w:p>
            <w:r>
              <w:rPr>
                <w:sz w:val="20"/>
                <w:szCs w:val="20"/>
              </w:rPr>
              <w:t xml:space="preserve">train</w:t>
            </w:r>
          </w:p>
        </w:tc>
      </w:tr>
      <w:tr>
        <w:tc>
          <w:tcPr>
            <w:tcW w:type="dxa" w:w="3000"/>
            <w:shd w:fill="FFFFFF" w:val="clear"/>
            <w:tcMar>
              <w:top w:type="dxa" w:w="90"/>
              <w:left w:type="dxa" w:w="120"/>
              <w:bottom w:type="dxa" w:w="90"/>
              <w:right w:type="dxa" w:w="120"/>
            </w:tcMar>
          </w:tcPr>
          <w:p>
            <w:r>
              <w:rPr>
                <w:b/>
                <w:bCs/>
                <w:sz w:val="20"/>
                <w:szCs w:val="20"/>
              </w:rPr>
              <w:t xml:space="preserve">Rows (order line items)</w:t>
            </w:r>
          </w:p>
        </w:tc>
        <w:tc>
          <w:tcPr>
            <w:tcW w:type="dxa" w:w="6350"/>
            <w:shd w:fill="FFFFFF" w:val="clear"/>
            <w:tcMar>
              <w:top w:type="dxa" w:w="90"/>
              <w:left w:type="dxa" w:w="120"/>
              <w:bottom w:type="dxa" w:w="90"/>
              <w:right w:type="dxa" w:w="120"/>
            </w:tcMar>
          </w:tcPr>
          <w:p>
            <w:r>
              <w:rPr>
                <w:sz w:val="20"/>
                <w:szCs w:val="20"/>
              </w:rPr>
              <w:t xml:space="preserve">9,800</w:t>
            </w:r>
          </w:p>
        </w:tc>
      </w:tr>
      <w:tr>
        <w:tc>
          <w:tcPr>
            <w:tcW w:type="dxa" w:w="3000"/>
            <w:shd w:fill="F2F6FA" w:val="clear"/>
            <w:tcMar>
              <w:top w:type="dxa" w:w="90"/>
              <w:left w:type="dxa" w:w="120"/>
              <w:bottom w:type="dxa" w:w="90"/>
              <w:right w:type="dxa" w:w="120"/>
            </w:tcMar>
          </w:tcPr>
          <w:p>
            <w:r>
              <w:rPr>
                <w:b/>
                <w:bCs/>
                <w:sz w:val="20"/>
                <w:szCs w:val="20"/>
              </w:rPr>
              <w:t xml:space="preserve">Unique orders</w:t>
            </w:r>
          </w:p>
        </w:tc>
        <w:tc>
          <w:tcPr>
            <w:tcW w:type="dxa" w:w="6350"/>
            <w:shd w:fill="F2F6FA" w:val="clear"/>
            <w:tcMar>
              <w:top w:type="dxa" w:w="90"/>
              <w:left w:type="dxa" w:w="120"/>
              <w:bottom w:type="dxa" w:w="90"/>
              <w:right w:type="dxa" w:w="120"/>
            </w:tcMar>
          </w:tcPr>
          <w:p>
            <w:r>
              <w:rPr>
                <w:sz w:val="20"/>
                <w:szCs w:val="20"/>
              </w:rPr>
              <w:t xml:space="preserve">4,922</w:t>
            </w:r>
          </w:p>
        </w:tc>
      </w:tr>
      <w:tr>
        <w:tc>
          <w:tcPr>
            <w:tcW w:type="dxa" w:w="3000"/>
            <w:shd w:fill="FFFFFF" w:val="clear"/>
            <w:tcMar>
              <w:top w:type="dxa" w:w="90"/>
              <w:left w:type="dxa" w:w="120"/>
              <w:bottom w:type="dxa" w:w="90"/>
              <w:right w:type="dxa" w:w="120"/>
            </w:tcMar>
          </w:tcPr>
          <w:p>
            <w:r>
              <w:rPr>
                <w:b/>
                <w:bCs/>
                <w:sz w:val="20"/>
                <w:szCs w:val="20"/>
              </w:rPr>
              <w:t xml:space="preserve">Date range</w:t>
            </w:r>
          </w:p>
        </w:tc>
        <w:tc>
          <w:tcPr>
            <w:tcW w:type="dxa" w:w="6350"/>
            <w:shd w:fill="FFFFFF" w:val="clear"/>
            <w:tcMar>
              <w:top w:type="dxa" w:w="90"/>
              <w:left w:type="dxa" w:w="120"/>
              <w:bottom w:type="dxa" w:w="90"/>
              <w:right w:type="dxa" w:w="120"/>
            </w:tcMar>
          </w:tcPr>
          <w:p>
            <w:r>
              <w:rPr>
                <w:sz w:val="20"/>
                <w:szCs w:val="20"/>
              </w:rPr>
              <w:t xml:space="preserve">January 3, 2015 – December 30, 2018</w:t>
            </w:r>
          </w:p>
        </w:tc>
      </w:tr>
      <w:tr>
        <w:tc>
          <w:tcPr>
            <w:tcW w:type="dxa" w:w="3000"/>
            <w:shd w:fill="F2F6FA" w:val="clear"/>
            <w:tcMar>
              <w:top w:type="dxa" w:w="90"/>
              <w:left w:type="dxa" w:w="120"/>
              <w:bottom w:type="dxa" w:w="90"/>
              <w:right w:type="dxa" w:w="120"/>
            </w:tcMar>
          </w:tcPr>
          <w:p>
            <w:r>
              <w:rPr>
                <w:b/>
                <w:bCs/>
                <w:sz w:val="20"/>
                <w:szCs w:val="20"/>
              </w:rPr>
              <w:t xml:space="preserve">Key fields</w:t>
            </w:r>
          </w:p>
        </w:tc>
        <w:tc>
          <w:tcPr>
            <w:tcW w:type="dxa" w:w="6350"/>
            <w:shd w:fill="F2F6FA" w:val="clear"/>
            <w:tcMar>
              <w:top w:type="dxa" w:w="90"/>
              <w:left w:type="dxa" w:w="120"/>
              <w:bottom w:type="dxa" w:w="90"/>
              <w:right w:type="dxa" w:w="120"/>
            </w:tcMar>
          </w:tcPr>
          <w:p>
            <w:r>
              <w:rPr>
                <w:sz w:val="20"/>
                <w:szCs w:val="20"/>
              </w:rPr>
              <w:t xml:space="preserve">Order Date, Ship Date, Ship Mode, Segment, Region, State, City, Category, Sub-Category, Product Name, Sales, delivery_time</w:t>
            </w:r>
          </w:p>
        </w:tc>
      </w:tr>
      <w:tr>
        <w:tc>
          <w:tcPr>
            <w:tcW w:type="dxa" w:w="3000"/>
            <w:shd w:fill="FFFFFF" w:val="clear"/>
            <w:tcMar>
              <w:top w:type="dxa" w:w="90"/>
              <w:left w:type="dxa" w:w="120"/>
              <w:bottom w:type="dxa" w:w="90"/>
              <w:right w:type="dxa" w:w="120"/>
            </w:tcMar>
          </w:tcPr>
          <w:p>
            <w:r>
              <w:rPr>
                <w:b/>
                <w:bCs/>
                <w:sz w:val="20"/>
                <w:szCs w:val="20"/>
              </w:rPr>
              <w:t xml:space="preserve">Granularity</w:t>
            </w:r>
          </w:p>
        </w:tc>
        <w:tc>
          <w:tcPr>
            <w:tcW w:type="dxa" w:w="6350"/>
            <w:shd w:fill="FFFFFF" w:val="clear"/>
            <w:tcMar>
              <w:top w:type="dxa" w:w="90"/>
              <w:left w:type="dxa" w:w="120"/>
              <w:bottom w:type="dxa" w:w="90"/>
              <w:right w:type="dxa" w:w="120"/>
            </w:tcMar>
          </w:tcPr>
          <w:p>
            <w:r>
              <w:rPr>
                <w:sz w:val="20"/>
                <w:szCs w:val="20"/>
              </w:rPr>
              <w:t xml:space="preserve">One row per product line within an order</w:t>
            </w:r>
          </w:p>
        </w:tc>
      </w:tr>
    </w:tbl>
    <w:p>
      <w:pPr>
        <w:spacing w:after="200"/>
      </w:pPr>
    </w:p>
    <w:p>
      <w:pPr>
        <w:pStyle w:val="Heading1"/>
        <w:pBdr>
          <w:bottom w:val="single" w:color="1F3864" w:sz="6" w:space="4"/>
        </w:pBdr>
        <w:spacing w:after="160" w:before="360"/>
      </w:pPr>
      <w:r>
        <w:rPr>
          <w:b/>
          <w:bCs/>
          <w:color w:val="1F3864"/>
          <w:sz w:val="30"/>
          <w:szCs w:val="30"/>
        </w:rPr>
        <w:t xml:space="preserve">3. Key Performance Indicators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50"/>
      </w:tblGrid>
      <w:tr>
        <w:tc>
          <w:tcPr>
            <w:tcW w:type="dxa" w:w="3300"/>
            <w:shd w:fill="DCE6F1" w:val="clear"/>
            <w:tcMar>
              <w:top w:type="dxa" w:w="160"/>
              <w:left w:type="dxa" w:w="120"/>
              <w:bottom w:type="dxa" w:w="160"/>
              <w:right w:type="dxa" w:w="120"/>
            </w:tcMar>
          </w:tcPr>
          <w:p>
            <w:pPr>
              <w:jc w:val="center"/>
            </w:pPr>
            <w:r>
              <w:rPr>
                <w:b/>
                <w:bCs/>
                <w:color w:val="1F3864"/>
                <w:sz w:val="30"/>
                <w:szCs w:val="30"/>
              </w:rPr>
              <w:t xml:space="preserve">$2.26M</w:t>
            </w:r>
          </w:p>
          <w:p>
            <w:pPr>
              <w:jc w:val="center"/>
            </w:pPr>
            <w:r>
              <w:rPr>
                <w:color w:val="595959"/>
                <w:sz w:val="18"/>
                <w:szCs w:val="18"/>
              </w:rPr>
              <w:t xml:space="preserve">Total Sales</w:t>
            </w:r>
          </w:p>
        </w:tc>
        <w:tc>
          <w:tcPr>
            <w:tcW w:type="dxa" w:w="3300"/>
            <w:shd w:fill="DCE6F1" w:val="clear"/>
            <w:tcMar>
              <w:top w:type="dxa" w:w="160"/>
              <w:left w:type="dxa" w:w="120"/>
              <w:bottom w:type="dxa" w:w="160"/>
              <w:right w:type="dxa" w:w="120"/>
            </w:tcMar>
          </w:tcPr>
          <w:p>
            <w:pPr>
              <w:jc w:val="center"/>
            </w:pPr>
            <w:r>
              <w:rPr>
                <w:b/>
                <w:bCs/>
                <w:color w:val="1F3864"/>
                <w:sz w:val="30"/>
                <w:szCs w:val="30"/>
              </w:rPr>
              <w:t xml:space="preserve">4,922</w:t>
            </w:r>
          </w:p>
          <w:p>
            <w:pPr>
              <w:jc w:val="center"/>
            </w:pPr>
            <w:r>
              <w:rPr>
                <w:color w:val="595959"/>
                <w:sz w:val="18"/>
                <w:szCs w:val="18"/>
              </w:rPr>
              <w:t xml:space="preserve">Total Orders</w:t>
            </w:r>
          </w:p>
        </w:tc>
        <w:tc>
          <w:tcPr>
            <w:tcW w:type="dxa" w:w="3300"/>
            <w:shd w:fill="DCE6F1" w:val="clear"/>
            <w:tcMar>
              <w:top w:type="dxa" w:w="160"/>
              <w:left w:type="dxa" w:w="120"/>
              <w:bottom w:type="dxa" w:w="160"/>
              <w:right w:type="dxa" w:w="120"/>
            </w:tcMar>
          </w:tcPr>
          <w:p>
            <w:pPr>
              <w:jc w:val="center"/>
            </w:pPr>
            <w:r>
              <w:rPr>
                <w:b/>
                <w:bCs/>
                <w:color w:val="1F3864"/>
                <w:sz w:val="30"/>
                <w:szCs w:val="30"/>
              </w:rPr>
              <w:t xml:space="preserve">3.96 days</w:t>
            </w:r>
          </w:p>
          <w:p>
            <w:pPr>
              <w:jc w:val="center"/>
            </w:pPr>
            <w:r>
              <w:rPr>
                <w:color w:val="595959"/>
                <w:sz w:val="18"/>
                <w:szCs w:val="18"/>
              </w:rPr>
              <w:t xml:space="preserve">Avg. Delivery Time</w:t>
            </w:r>
          </w:p>
        </w:tc>
      </w:tr>
    </w:tbl>
    <w:p>
      <w:pPr>
        <w:spacing w:after="200"/>
      </w:pPr>
    </w:p>
    <w:p>
      <w:pPr>
        <w:pStyle w:val="Heading1"/>
        <w:pBdr>
          <w:bottom w:val="single" w:color="1F3864" w:sz="6" w:space="4"/>
        </w:pBdr>
        <w:spacing w:after="160" w:before="360"/>
      </w:pPr>
      <w:r>
        <w:rPr>
          <w:b/>
          <w:bCs/>
          <w:color w:val="1F3864"/>
          <w:sz w:val="30"/>
          <w:szCs w:val="30"/>
        </w:rPr>
        <w:t xml:space="preserve">4. Findings by Dimension</w:t>
      </w:r>
    </w:p>
    <w:p>
      <w:pPr>
        <w:pStyle w:val="Heading2"/>
        <w:spacing w:after="120" w:before="260"/>
      </w:pPr>
      <w:r>
        <w:rPr>
          <w:b/>
          <w:bCs/>
          <w:color w:val="2E5A8C"/>
          <w:sz w:val="24"/>
          <w:szCs w:val="24"/>
        </w:rPr>
        <w:t xml:space="preserve">4.1 Category &amp; Sub-Category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5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Category</w:t>
            </w:r>
          </w:p>
        </w:tc>
        <w:tc>
          <w:tcPr>
            <w:tcW w:type="dxa" w:w="2400"/>
            <w:shd w:fill="1F3864" w:val="clear"/>
            <w:tcMar>
              <w:top w:type="dxa" w:w="100"/>
              <w:left w:type="dxa" w:w="120"/>
              <w:bottom w:type="dxa" w:w="100"/>
              <w:right w:type="dxa" w:w="120"/>
            </w:tcMar>
          </w:tcPr>
          <w:p>
            <w:r>
              <w:rPr>
                <w:b/>
                <w:bCs/>
                <w:color w:val="FFFFFF"/>
                <w:sz w:val="20"/>
                <w:szCs w:val="20"/>
              </w:rPr>
              <w:t xml:space="preserve">Sales</w:t>
            </w:r>
          </w:p>
        </w:tc>
        <w:tc>
          <w:tcPr>
            <w:tcW w:type="dxa" w:w="2200"/>
            <w:shd w:fill="1F3864" w:val="clear"/>
            <w:tcMar>
              <w:top w:type="dxa" w:w="100"/>
              <w:left w:type="dxa" w:w="120"/>
              <w:bottom w:type="dxa" w:w="100"/>
              <w:right w:type="dxa" w:w="120"/>
            </w:tcMar>
          </w:tcPr>
          <w:p>
            <w:r>
              <w:rPr>
                <w:b/>
                <w:bCs/>
                <w:color w:val="FFFFFF"/>
                <w:sz w:val="20"/>
                <w:szCs w:val="20"/>
              </w:rPr>
              <w:t xml:space="preserve">% of Total</w:t>
            </w:r>
          </w:p>
        </w:tc>
        <w:tc>
          <w:tcPr>
            <w:tcW w:type="dxa" w:w="1950"/>
            <w:shd w:fill="1F3864" w:val="clear"/>
            <w:tcMar>
              <w:top w:type="dxa" w:w="100"/>
              <w:left w:type="dxa" w:w="120"/>
              <w:bottom w:type="dxa" w:w="100"/>
              <w:right w:type="dxa" w:w="120"/>
            </w:tcMar>
          </w:tcPr>
          <w:p>
            <w:r>
              <w:rPr>
                <w:b/>
                <w:bCs/>
                <w:color w:val="FFFFFF"/>
                <w:sz w:val="20"/>
                <w:szCs w:val="20"/>
              </w:rPr>
              <w:t xml:space="preserve">Line Items</w:t>
            </w:r>
          </w:p>
        </w:tc>
      </w:tr>
      <w:tr>
        <w:tc>
          <w:tcPr>
            <w:tcW w:type="dxa" w:w="2800"/>
            <w:shd w:fill="FFFFFF" w:val="clear"/>
            <w:tcMar>
              <w:top w:type="dxa" w:w="90"/>
              <w:left w:type="dxa" w:w="120"/>
              <w:bottom w:type="dxa" w:w="90"/>
              <w:right w:type="dxa" w:w="120"/>
            </w:tcMar>
          </w:tcPr>
          <w:p>
            <w:r>
              <w:rPr>
                <w:sz w:val="20"/>
                <w:szCs w:val="20"/>
              </w:rPr>
              <w:t xml:space="preserve">Technology</w:t>
            </w:r>
          </w:p>
        </w:tc>
        <w:tc>
          <w:tcPr>
            <w:tcW w:type="dxa" w:w="2400"/>
            <w:shd w:fill="FFFFFF" w:val="clear"/>
            <w:tcMar>
              <w:top w:type="dxa" w:w="90"/>
              <w:left w:type="dxa" w:w="120"/>
              <w:bottom w:type="dxa" w:w="90"/>
              <w:right w:type="dxa" w:w="120"/>
            </w:tcMar>
          </w:tcPr>
          <w:p>
            <w:r>
              <w:rPr>
                <w:sz w:val="20"/>
                <w:szCs w:val="20"/>
              </w:rPr>
              <w:t xml:space="preserve">$827,456</w:t>
            </w:r>
          </w:p>
        </w:tc>
        <w:tc>
          <w:tcPr>
            <w:tcW w:type="dxa" w:w="2200"/>
            <w:shd w:fill="FFFFFF" w:val="clear"/>
            <w:tcMar>
              <w:top w:type="dxa" w:w="90"/>
              <w:left w:type="dxa" w:w="120"/>
              <w:bottom w:type="dxa" w:w="90"/>
              <w:right w:type="dxa" w:w="120"/>
            </w:tcMar>
          </w:tcPr>
          <w:p>
            <w:r>
              <w:rPr>
                <w:sz w:val="20"/>
                <w:szCs w:val="20"/>
              </w:rPr>
              <w:t xml:space="preserve">36.6%</w:t>
            </w:r>
          </w:p>
        </w:tc>
        <w:tc>
          <w:tcPr>
            <w:tcW w:type="dxa" w:w="1950"/>
            <w:shd w:fill="FFFFFF" w:val="clear"/>
            <w:tcMar>
              <w:top w:type="dxa" w:w="90"/>
              <w:left w:type="dxa" w:w="120"/>
              <w:bottom w:type="dxa" w:w="90"/>
              <w:right w:type="dxa" w:w="120"/>
            </w:tcMar>
          </w:tcPr>
          <w:p>
            <w:r>
              <w:rPr>
                <w:sz w:val="20"/>
                <w:szCs w:val="20"/>
              </w:rPr>
              <w:t xml:space="preserve">1,813</w:t>
            </w:r>
          </w:p>
        </w:tc>
      </w:tr>
      <w:tr>
        <w:tc>
          <w:tcPr>
            <w:tcW w:type="dxa" w:w="2800"/>
            <w:shd w:fill="F2F6FA" w:val="clear"/>
            <w:tcMar>
              <w:top w:type="dxa" w:w="90"/>
              <w:left w:type="dxa" w:w="120"/>
              <w:bottom w:type="dxa" w:w="90"/>
              <w:right w:type="dxa" w:w="120"/>
            </w:tcMar>
          </w:tcPr>
          <w:p>
            <w:r>
              <w:rPr>
                <w:sz w:val="20"/>
                <w:szCs w:val="20"/>
              </w:rPr>
              <w:t xml:space="preserve">Furniture</w:t>
            </w:r>
          </w:p>
        </w:tc>
        <w:tc>
          <w:tcPr>
            <w:tcW w:type="dxa" w:w="2400"/>
            <w:shd w:fill="F2F6FA" w:val="clear"/>
            <w:tcMar>
              <w:top w:type="dxa" w:w="90"/>
              <w:left w:type="dxa" w:w="120"/>
              <w:bottom w:type="dxa" w:w="90"/>
              <w:right w:type="dxa" w:w="120"/>
            </w:tcMar>
          </w:tcPr>
          <w:p>
            <w:r>
              <w:rPr>
                <w:sz w:val="20"/>
                <w:szCs w:val="20"/>
              </w:rPr>
              <w:t xml:space="preserve">$728,659</w:t>
            </w:r>
          </w:p>
        </w:tc>
        <w:tc>
          <w:tcPr>
            <w:tcW w:type="dxa" w:w="2200"/>
            <w:shd w:fill="F2F6FA" w:val="clear"/>
            <w:tcMar>
              <w:top w:type="dxa" w:w="90"/>
              <w:left w:type="dxa" w:w="120"/>
              <w:bottom w:type="dxa" w:w="90"/>
              <w:right w:type="dxa" w:w="120"/>
            </w:tcMar>
          </w:tcPr>
          <w:p>
            <w:r>
              <w:rPr>
                <w:sz w:val="20"/>
                <w:szCs w:val="20"/>
              </w:rPr>
              <w:t xml:space="preserve">32.2%</w:t>
            </w:r>
          </w:p>
        </w:tc>
        <w:tc>
          <w:tcPr>
            <w:tcW w:type="dxa" w:w="1950"/>
            <w:shd w:fill="F2F6FA" w:val="clear"/>
            <w:tcMar>
              <w:top w:type="dxa" w:w="90"/>
              <w:left w:type="dxa" w:w="120"/>
              <w:bottom w:type="dxa" w:w="90"/>
              <w:right w:type="dxa" w:w="120"/>
            </w:tcMar>
          </w:tcPr>
          <w:p>
            <w:r>
              <w:rPr>
                <w:sz w:val="20"/>
                <w:szCs w:val="20"/>
              </w:rPr>
              <w:t xml:space="preserve">2,078</w:t>
            </w:r>
          </w:p>
        </w:tc>
      </w:tr>
      <w:tr>
        <w:tc>
          <w:tcPr>
            <w:tcW w:type="dxa" w:w="2800"/>
            <w:shd w:fill="FFFFFF" w:val="clear"/>
            <w:tcMar>
              <w:top w:type="dxa" w:w="90"/>
              <w:left w:type="dxa" w:w="120"/>
              <w:bottom w:type="dxa" w:w="90"/>
              <w:right w:type="dxa" w:w="120"/>
            </w:tcMar>
          </w:tcPr>
          <w:p>
            <w:r>
              <w:rPr>
                <w:sz w:val="20"/>
                <w:szCs w:val="20"/>
              </w:rPr>
              <w:t xml:space="preserve">Office Supplies</w:t>
            </w:r>
          </w:p>
        </w:tc>
        <w:tc>
          <w:tcPr>
            <w:tcW w:type="dxa" w:w="2400"/>
            <w:shd w:fill="FFFFFF" w:val="clear"/>
            <w:tcMar>
              <w:top w:type="dxa" w:w="90"/>
              <w:left w:type="dxa" w:w="120"/>
              <w:bottom w:type="dxa" w:w="90"/>
              <w:right w:type="dxa" w:w="120"/>
            </w:tcMar>
          </w:tcPr>
          <w:p>
            <w:r>
              <w:rPr>
                <w:sz w:val="20"/>
                <w:szCs w:val="20"/>
              </w:rPr>
              <w:t xml:space="preserve">$705,422</w:t>
            </w:r>
          </w:p>
        </w:tc>
        <w:tc>
          <w:tcPr>
            <w:tcW w:type="dxa" w:w="2200"/>
            <w:shd w:fill="FFFFFF" w:val="clear"/>
            <w:tcMar>
              <w:top w:type="dxa" w:w="90"/>
              <w:left w:type="dxa" w:w="120"/>
              <w:bottom w:type="dxa" w:w="90"/>
              <w:right w:type="dxa" w:w="120"/>
            </w:tcMar>
          </w:tcPr>
          <w:p>
            <w:r>
              <w:rPr>
                <w:sz w:val="20"/>
                <w:szCs w:val="20"/>
              </w:rPr>
              <w:t xml:space="preserve">31.2%</w:t>
            </w:r>
          </w:p>
        </w:tc>
        <w:tc>
          <w:tcPr>
            <w:tcW w:type="dxa" w:w="1950"/>
            <w:shd w:fill="FFFFFF" w:val="clear"/>
            <w:tcMar>
              <w:top w:type="dxa" w:w="90"/>
              <w:left w:type="dxa" w:w="120"/>
              <w:bottom w:type="dxa" w:w="90"/>
              <w:right w:type="dxa" w:w="120"/>
            </w:tcMar>
          </w:tcPr>
          <w:p>
            <w:r>
              <w:rPr>
                <w:sz w:val="20"/>
                <w:szCs w:val="20"/>
              </w:rPr>
              <w:t xml:space="preserve">5,909</w:t>
            </w:r>
          </w:p>
        </w:tc>
      </w:tr>
    </w:tbl>
    <w:p>
      <w:pPr>
        <w:spacing w:after="160" w:line="276"/>
      </w:pPr>
      <w:r>
        <w:rPr>
          <w:sz w:val="22"/>
          <w:szCs w:val="22"/>
        </w:rPr>
        <w:t xml:space="preserve">Technology generates the most revenue despite having the fewest line items, reflecting a much higher average sale value ($456 vs. $119 for Office Supplies). Office Supplies drives the highest order frequency, acting as a volume/traffic category rather than a margin driver. Phones and Chairs are the top-selling sub-categories, at $327.8K and $322.8K respectively.</w:t>
      </w:r>
    </w:p>
    <w:p>
      <w:pPr>
        <w:pStyle w:val="Heading2"/>
        <w:spacing w:after="120" w:before="260"/>
      </w:pPr>
      <w:r>
        <w:rPr>
          <w:b/>
          <w:bCs/>
          <w:color w:val="2E5A8C"/>
          <w:sz w:val="24"/>
          <w:szCs w:val="24"/>
        </w:rPr>
        <w:t xml:space="preserve">4.2 Customer Segment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50"/>
      </w:tblGrid>
      <w:tr>
        <w:trPr>
          <w:tblHeader/>
        </w:trPr>
        <w:tc>
          <w:tcPr>
            <w:tcW w:type="dxa" w:w="2800"/>
            <w:shd w:fill="1F3864" w:val="clear"/>
            <w:tcMar>
              <w:top w:type="dxa" w:w="100"/>
              <w:left w:type="dxa" w:w="120"/>
              <w:bottom w:type="dxa" w:w="100"/>
              <w:right w:type="dxa" w:w="120"/>
            </w:tcMar>
          </w:tcPr>
          <w:p>
            <w:r>
              <w:rPr>
                <w:b/>
                <w:bCs/>
                <w:color w:val="FFFFFF"/>
                <w:sz w:val="20"/>
                <w:szCs w:val="20"/>
              </w:rPr>
              <w:t xml:space="preserve">Segment</w:t>
            </w:r>
          </w:p>
        </w:tc>
        <w:tc>
          <w:tcPr>
            <w:tcW w:type="dxa" w:w="2400"/>
            <w:shd w:fill="1F3864" w:val="clear"/>
            <w:tcMar>
              <w:top w:type="dxa" w:w="100"/>
              <w:left w:type="dxa" w:w="120"/>
              <w:bottom w:type="dxa" w:w="100"/>
              <w:right w:type="dxa" w:w="120"/>
            </w:tcMar>
          </w:tcPr>
          <w:p>
            <w:r>
              <w:rPr>
                <w:b/>
                <w:bCs/>
                <w:color w:val="FFFFFF"/>
                <w:sz w:val="20"/>
                <w:szCs w:val="20"/>
              </w:rPr>
              <w:t xml:space="preserve">Sales</w:t>
            </w:r>
          </w:p>
        </w:tc>
        <w:tc>
          <w:tcPr>
            <w:tcW w:type="dxa" w:w="2200"/>
            <w:shd w:fill="1F3864" w:val="clear"/>
            <w:tcMar>
              <w:top w:type="dxa" w:w="100"/>
              <w:left w:type="dxa" w:w="120"/>
              <w:bottom w:type="dxa" w:w="100"/>
              <w:right w:type="dxa" w:w="120"/>
            </w:tcMar>
          </w:tcPr>
          <w:p>
            <w:r>
              <w:rPr>
                <w:b/>
                <w:bCs/>
                <w:color w:val="FFFFFF"/>
                <w:sz w:val="20"/>
                <w:szCs w:val="20"/>
              </w:rPr>
              <w:t xml:space="preserve">% of Total</w:t>
            </w:r>
          </w:p>
        </w:tc>
        <w:tc>
          <w:tcPr>
            <w:tcW w:type="dxa" w:w="1950"/>
            <w:shd w:fill="1F3864" w:val="clear"/>
            <w:tcMar>
              <w:top w:type="dxa" w:w="100"/>
              <w:left w:type="dxa" w:w="120"/>
              <w:bottom w:type="dxa" w:w="100"/>
              <w:right w:type="dxa" w:w="120"/>
            </w:tcMar>
          </w:tcPr>
          <w:p>
            <w:r>
              <w:rPr>
                <w:b/>
                <w:bCs/>
                <w:color w:val="FFFFFF"/>
                <w:sz w:val="20"/>
                <w:szCs w:val="20"/>
              </w:rPr>
              <w:t xml:space="preserve">Orders</w:t>
            </w:r>
          </w:p>
        </w:tc>
      </w:tr>
      <w:tr>
        <w:tc>
          <w:tcPr>
            <w:tcW w:type="dxa" w:w="2800"/>
            <w:shd w:fill="FFFFFF" w:val="clear"/>
            <w:tcMar>
              <w:top w:type="dxa" w:w="90"/>
              <w:left w:type="dxa" w:w="120"/>
              <w:bottom w:type="dxa" w:w="90"/>
              <w:right w:type="dxa" w:w="120"/>
            </w:tcMar>
          </w:tcPr>
          <w:p>
            <w:r>
              <w:rPr>
                <w:sz w:val="20"/>
                <w:szCs w:val="20"/>
              </w:rPr>
              <w:t xml:space="preserve">Consumer</w:t>
            </w:r>
          </w:p>
        </w:tc>
        <w:tc>
          <w:tcPr>
            <w:tcW w:type="dxa" w:w="2400"/>
            <w:shd w:fill="FFFFFF" w:val="clear"/>
            <w:tcMar>
              <w:top w:type="dxa" w:w="90"/>
              <w:left w:type="dxa" w:w="120"/>
              <w:bottom w:type="dxa" w:w="90"/>
              <w:right w:type="dxa" w:w="120"/>
            </w:tcMar>
          </w:tcPr>
          <w:p>
            <w:r>
              <w:rPr>
                <w:sz w:val="20"/>
                <w:szCs w:val="20"/>
              </w:rPr>
              <w:t xml:space="preserve">$1,148,061</w:t>
            </w:r>
          </w:p>
        </w:tc>
        <w:tc>
          <w:tcPr>
            <w:tcW w:type="dxa" w:w="2200"/>
            <w:shd w:fill="FFFFFF" w:val="clear"/>
            <w:tcMar>
              <w:top w:type="dxa" w:w="90"/>
              <w:left w:type="dxa" w:w="120"/>
              <w:bottom w:type="dxa" w:w="90"/>
              <w:right w:type="dxa" w:w="120"/>
            </w:tcMar>
          </w:tcPr>
          <w:p>
            <w:r>
              <w:rPr>
                <w:sz w:val="20"/>
                <w:szCs w:val="20"/>
              </w:rPr>
              <w:t xml:space="preserve">50.8%</w:t>
            </w:r>
          </w:p>
        </w:tc>
        <w:tc>
          <w:tcPr>
            <w:tcW w:type="dxa" w:w="1950"/>
            <w:shd w:fill="FFFFFF" w:val="clear"/>
            <w:tcMar>
              <w:top w:type="dxa" w:w="90"/>
              <w:left w:type="dxa" w:w="120"/>
              <w:bottom w:type="dxa" w:w="90"/>
              <w:right w:type="dxa" w:w="120"/>
            </w:tcMar>
          </w:tcPr>
          <w:p>
            <w:r>
              <w:rPr>
                <w:sz w:val="20"/>
                <w:szCs w:val="20"/>
              </w:rPr>
              <w:t xml:space="preserve">5,101</w:t>
            </w:r>
          </w:p>
        </w:tc>
      </w:tr>
      <w:tr>
        <w:tc>
          <w:tcPr>
            <w:tcW w:type="dxa" w:w="2800"/>
            <w:shd w:fill="F2F6FA" w:val="clear"/>
            <w:tcMar>
              <w:top w:type="dxa" w:w="90"/>
              <w:left w:type="dxa" w:w="120"/>
              <w:bottom w:type="dxa" w:w="90"/>
              <w:right w:type="dxa" w:w="120"/>
            </w:tcMar>
          </w:tcPr>
          <w:p>
            <w:r>
              <w:rPr>
                <w:sz w:val="20"/>
                <w:szCs w:val="20"/>
              </w:rPr>
              <w:t xml:space="preserve">Corporate</w:t>
            </w:r>
          </w:p>
        </w:tc>
        <w:tc>
          <w:tcPr>
            <w:tcW w:type="dxa" w:w="2400"/>
            <w:shd w:fill="F2F6FA" w:val="clear"/>
            <w:tcMar>
              <w:top w:type="dxa" w:w="90"/>
              <w:left w:type="dxa" w:w="120"/>
              <w:bottom w:type="dxa" w:w="90"/>
              <w:right w:type="dxa" w:w="120"/>
            </w:tcMar>
          </w:tcPr>
          <w:p>
            <w:r>
              <w:rPr>
                <w:sz w:val="20"/>
                <w:szCs w:val="20"/>
              </w:rPr>
              <w:t xml:space="preserve">$688,494</w:t>
            </w:r>
          </w:p>
        </w:tc>
        <w:tc>
          <w:tcPr>
            <w:tcW w:type="dxa" w:w="2200"/>
            <w:shd w:fill="F2F6FA" w:val="clear"/>
            <w:tcMar>
              <w:top w:type="dxa" w:w="90"/>
              <w:left w:type="dxa" w:w="120"/>
              <w:bottom w:type="dxa" w:w="90"/>
              <w:right w:type="dxa" w:w="120"/>
            </w:tcMar>
          </w:tcPr>
          <w:p>
            <w:r>
              <w:rPr>
                <w:sz w:val="20"/>
                <w:szCs w:val="20"/>
              </w:rPr>
              <w:t xml:space="preserve">30.4%</w:t>
            </w:r>
          </w:p>
        </w:tc>
        <w:tc>
          <w:tcPr>
            <w:tcW w:type="dxa" w:w="1950"/>
            <w:shd w:fill="F2F6FA" w:val="clear"/>
            <w:tcMar>
              <w:top w:type="dxa" w:w="90"/>
              <w:left w:type="dxa" w:w="120"/>
              <w:bottom w:type="dxa" w:w="90"/>
              <w:right w:type="dxa" w:w="120"/>
            </w:tcMar>
          </w:tcPr>
          <w:p>
            <w:r>
              <w:rPr>
                <w:sz w:val="20"/>
                <w:szCs w:val="20"/>
              </w:rPr>
              <w:t xml:space="preserve">2,953</w:t>
            </w:r>
          </w:p>
        </w:tc>
      </w:tr>
      <w:tr>
        <w:tc>
          <w:tcPr>
            <w:tcW w:type="dxa" w:w="2800"/>
            <w:shd w:fill="FFFFFF" w:val="clear"/>
            <w:tcMar>
              <w:top w:type="dxa" w:w="90"/>
              <w:left w:type="dxa" w:w="120"/>
              <w:bottom w:type="dxa" w:w="90"/>
              <w:right w:type="dxa" w:w="120"/>
            </w:tcMar>
          </w:tcPr>
          <w:p>
            <w:r>
              <w:rPr>
                <w:sz w:val="20"/>
                <w:szCs w:val="20"/>
              </w:rPr>
              <w:t xml:space="preserve">Home Office</w:t>
            </w:r>
          </w:p>
        </w:tc>
        <w:tc>
          <w:tcPr>
            <w:tcW w:type="dxa" w:w="2400"/>
            <w:shd w:fill="FFFFFF" w:val="clear"/>
            <w:tcMar>
              <w:top w:type="dxa" w:w="90"/>
              <w:left w:type="dxa" w:w="120"/>
              <w:bottom w:type="dxa" w:w="90"/>
              <w:right w:type="dxa" w:w="120"/>
            </w:tcMar>
          </w:tcPr>
          <w:p>
            <w:r>
              <w:rPr>
                <w:sz w:val="20"/>
                <w:szCs w:val="20"/>
              </w:rPr>
              <w:t xml:space="preserve">$424,982</w:t>
            </w:r>
          </w:p>
        </w:tc>
        <w:tc>
          <w:tcPr>
            <w:tcW w:type="dxa" w:w="2200"/>
            <w:shd w:fill="FFFFFF" w:val="clear"/>
            <w:tcMar>
              <w:top w:type="dxa" w:w="90"/>
              <w:left w:type="dxa" w:w="120"/>
              <w:bottom w:type="dxa" w:w="90"/>
              <w:right w:type="dxa" w:w="120"/>
            </w:tcMar>
          </w:tcPr>
          <w:p>
            <w:r>
              <w:rPr>
                <w:sz w:val="20"/>
                <w:szCs w:val="20"/>
              </w:rPr>
              <w:t xml:space="preserve">18.8%</w:t>
            </w:r>
          </w:p>
        </w:tc>
        <w:tc>
          <w:tcPr>
            <w:tcW w:type="dxa" w:w="1950"/>
            <w:shd w:fill="FFFFFF" w:val="clear"/>
            <w:tcMar>
              <w:top w:type="dxa" w:w="90"/>
              <w:left w:type="dxa" w:w="120"/>
              <w:bottom w:type="dxa" w:w="90"/>
              <w:right w:type="dxa" w:w="120"/>
            </w:tcMar>
          </w:tcPr>
          <w:p>
            <w:r>
              <w:rPr>
                <w:sz w:val="20"/>
                <w:szCs w:val="20"/>
              </w:rPr>
              <w:t xml:space="preserve">1,746</w:t>
            </w:r>
          </w:p>
        </w:tc>
      </w:tr>
    </w:tbl>
    <w:p>
      <w:pPr>
        <w:spacing w:after="160" w:line="276"/>
      </w:pPr>
      <w:r>
        <w:rPr>
          <w:sz w:val="22"/>
          <w:szCs w:val="22"/>
        </w:rPr>
        <w:t xml:space="preserve">Consumer is the dominant segment, contributing just over half of all sales — consistent with the dashboard's pie chart breakdown.</w:t>
      </w:r>
    </w:p>
    <w:p>
      <w:pPr>
        <w:pStyle w:val="Heading2"/>
        <w:spacing w:after="120" w:before="260"/>
      </w:pPr>
      <w:r>
        <w:rPr>
          <w:b/>
          <w:bCs/>
          <w:color w:val="2E5A8C"/>
          <w:sz w:val="24"/>
          <w:szCs w:val="24"/>
        </w:rPr>
        <w:t xml:space="preserve">4.3 Region &amp; State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1F3864" w:val="clear"/>
            <w:tcMar>
              <w:top w:type="dxa" w:w="100"/>
              <w:left w:type="dxa" w:w="120"/>
              <w:bottom w:type="dxa" w:w="100"/>
              <w:right w:type="dxa" w:w="120"/>
            </w:tcMar>
          </w:tcPr>
          <w:p>
            <w:r>
              <w:rPr>
                <w:b/>
                <w:bCs/>
                <w:color w:val="FFFFFF"/>
                <w:sz w:val="20"/>
                <w:szCs w:val="20"/>
              </w:rPr>
              <w:t xml:space="preserve">Region</w:t>
            </w:r>
          </w:p>
        </w:tc>
        <w:tc>
          <w:tcPr>
            <w:tcW w:type="dxa" w:w="3350"/>
            <w:shd w:fill="1F3864" w:val="clear"/>
            <w:tcMar>
              <w:top w:type="dxa" w:w="100"/>
              <w:left w:type="dxa" w:w="120"/>
              <w:bottom w:type="dxa" w:w="100"/>
              <w:right w:type="dxa" w:w="120"/>
            </w:tcMar>
          </w:tcPr>
          <w:p>
            <w:r>
              <w:rPr>
                <w:b/>
                <w:bCs/>
                <w:color w:val="FFFFFF"/>
                <w:sz w:val="20"/>
                <w:szCs w:val="20"/>
              </w:rPr>
              <w:t xml:space="preserve">Sales</w:t>
            </w:r>
          </w:p>
        </w:tc>
        <w:tc>
          <w:tcPr>
            <w:tcW w:type="dxa" w:w="2650"/>
            <w:shd w:fill="1F3864" w:val="clear"/>
            <w:tcMar>
              <w:top w:type="dxa" w:w="100"/>
              <w:left w:type="dxa" w:w="120"/>
              <w:bottom w:type="dxa" w:w="100"/>
              <w:right w:type="dxa" w:w="120"/>
            </w:tcMar>
          </w:tcPr>
          <w:p>
            <w:r>
              <w:rPr>
                <w:b/>
                <w:bCs/>
                <w:color w:val="FFFFFF"/>
                <w:sz w:val="20"/>
                <w:szCs w:val="20"/>
              </w:rPr>
              <w:t xml:space="preserve">% of Total</w:t>
            </w:r>
          </w:p>
        </w:tc>
      </w:tr>
      <w:tr>
        <w:tc>
          <w:tcPr>
            <w:tcW w:type="dxa" w:w="3350"/>
            <w:shd w:fill="FFFFFF" w:val="clear"/>
            <w:tcMar>
              <w:top w:type="dxa" w:w="90"/>
              <w:left w:type="dxa" w:w="120"/>
              <w:bottom w:type="dxa" w:w="90"/>
              <w:right w:type="dxa" w:w="120"/>
            </w:tcMar>
          </w:tcPr>
          <w:p>
            <w:r>
              <w:rPr>
                <w:sz w:val="20"/>
                <w:szCs w:val="20"/>
              </w:rPr>
              <w:t xml:space="preserve">West</w:t>
            </w:r>
          </w:p>
        </w:tc>
        <w:tc>
          <w:tcPr>
            <w:tcW w:type="dxa" w:w="3350"/>
            <w:shd w:fill="FFFFFF" w:val="clear"/>
            <w:tcMar>
              <w:top w:type="dxa" w:w="90"/>
              <w:left w:type="dxa" w:w="120"/>
              <w:bottom w:type="dxa" w:w="90"/>
              <w:right w:type="dxa" w:w="120"/>
            </w:tcMar>
          </w:tcPr>
          <w:p>
            <w:r>
              <w:rPr>
                <w:sz w:val="20"/>
                <w:szCs w:val="20"/>
              </w:rPr>
              <w:t xml:space="preserve">$710,220</w:t>
            </w:r>
          </w:p>
        </w:tc>
        <w:tc>
          <w:tcPr>
            <w:tcW w:type="dxa" w:w="2650"/>
            <w:shd w:fill="FFFFFF" w:val="clear"/>
            <w:tcMar>
              <w:top w:type="dxa" w:w="90"/>
              <w:left w:type="dxa" w:w="120"/>
              <w:bottom w:type="dxa" w:w="90"/>
              <w:right w:type="dxa" w:w="120"/>
            </w:tcMar>
          </w:tcPr>
          <w:p>
            <w:r>
              <w:rPr>
                <w:sz w:val="20"/>
                <w:szCs w:val="20"/>
              </w:rPr>
              <w:t xml:space="preserve">31.4%</w:t>
            </w:r>
          </w:p>
        </w:tc>
      </w:tr>
      <w:tr>
        <w:tc>
          <w:tcPr>
            <w:tcW w:type="dxa" w:w="3350"/>
            <w:shd w:fill="F2F6FA" w:val="clear"/>
            <w:tcMar>
              <w:top w:type="dxa" w:w="90"/>
              <w:left w:type="dxa" w:w="120"/>
              <w:bottom w:type="dxa" w:w="90"/>
              <w:right w:type="dxa" w:w="120"/>
            </w:tcMar>
          </w:tcPr>
          <w:p>
            <w:r>
              <w:rPr>
                <w:sz w:val="20"/>
                <w:szCs w:val="20"/>
              </w:rPr>
              <w:t xml:space="preserve">East</w:t>
            </w:r>
          </w:p>
        </w:tc>
        <w:tc>
          <w:tcPr>
            <w:tcW w:type="dxa" w:w="3350"/>
            <w:shd w:fill="F2F6FA" w:val="clear"/>
            <w:tcMar>
              <w:top w:type="dxa" w:w="90"/>
              <w:left w:type="dxa" w:w="120"/>
              <w:bottom w:type="dxa" w:w="90"/>
              <w:right w:type="dxa" w:w="120"/>
            </w:tcMar>
          </w:tcPr>
          <w:p>
            <w:r>
              <w:rPr>
                <w:sz w:val="20"/>
                <w:szCs w:val="20"/>
              </w:rPr>
              <w:t xml:space="preserve">$669,519</w:t>
            </w:r>
          </w:p>
        </w:tc>
        <w:tc>
          <w:tcPr>
            <w:tcW w:type="dxa" w:w="2650"/>
            <w:shd w:fill="F2F6FA" w:val="clear"/>
            <w:tcMar>
              <w:top w:type="dxa" w:w="90"/>
              <w:left w:type="dxa" w:w="120"/>
              <w:bottom w:type="dxa" w:w="90"/>
              <w:right w:type="dxa" w:w="120"/>
            </w:tcMar>
          </w:tcPr>
          <w:p>
            <w:r>
              <w:rPr>
                <w:sz w:val="20"/>
                <w:szCs w:val="20"/>
              </w:rPr>
              <w:t xml:space="preserve">29.6%</w:t>
            </w:r>
          </w:p>
        </w:tc>
      </w:tr>
      <w:tr>
        <w:tc>
          <w:tcPr>
            <w:tcW w:type="dxa" w:w="3350"/>
            <w:shd w:fill="FFFFFF" w:val="clear"/>
            <w:tcMar>
              <w:top w:type="dxa" w:w="90"/>
              <w:left w:type="dxa" w:w="120"/>
              <w:bottom w:type="dxa" w:w="90"/>
              <w:right w:type="dxa" w:w="120"/>
            </w:tcMar>
          </w:tcPr>
          <w:p>
            <w:r>
              <w:rPr>
                <w:sz w:val="20"/>
                <w:szCs w:val="20"/>
              </w:rPr>
              <w:t xml:space="preserve">Central</w:t>
            </w:r>
          </w:p>
        </w:tc>
        <w:tc>
          <w:tcPr>
            <w:tcW w:type="dxa" w:w="3350"/>
            <w:shd w:fill="FFFFFF" w:val="clear"/>
            <w:tcMar>
              <w:top w:type="dxa" w:w="90"/>
              <w:left w:type="dxa" w:w="120"/>
              <w:bottom w:type="dxa" w:w="90"/>
              <w:right w:type="dxa" w:w="120"/>
            </w:tcMar>
          </w:tcPr>
          <w:p>
            <w:r>
              <w:rPr>
                <w:sz w:val="20"/>
                <w:szCs w:val="20"/>
              </w:rPr>
              <w:t xml:space="preserve">$492,647</w:t>
            </w:r>
          </w:p>
        </w:tc>
        <w:tc>
          <w:tcPr>
            <w:tcW w:type="dxa" w:w="2650"/>
            <w:shd w:fill="FFFFFF" w:val="clear"/>
            <w:tcMar>
              <w:top w:type="dxa" w:w="90"/>
              <w:left w:type="dxa" w:w="120"/>
              <w:bottom w:type="dxa" w:w="90"/>
              <w:right w:type="dxa" w:w="120"/>
            </w:tcMar>
          </w:tcPr>
          <w:p>
            <w:r>
              <w:rPr>
                <w:sz w:val="20"/>
                <w:szCs w:val="20"/>
              </w:rPr>
              <w:t xml:space="preserve">21.8%</w:t>
            </w:r>
          </w:p>
        </w:tc>
      </w:tr>
      <w:tr>
        <w:tc>
          <w:tcPr>
            <w:tcW w:type="dxa" w:w="3350"/>
            <w:shd w:fill="F2F6FA" w:val="clear"/>
            <w:tcMar>
              <w:top w:type="dxa" w:w="90"/>
              <w:left w:type="dxa" w:w="120"/>
              <w:bottom w:type="dxa" w:w="90"/>
              <w:right w:type="dxa" w:w="120"/>
            </w:tcMar>
          </w:tcPr>
          <w:p>
            <w:r>
              <w:rPr>
                <w:sz w:val="20"/>
                <w:szCs w:val="20"/>
              </w:rPr>
              <w:t xml:space="preserve">South</w:t>
            </w:r>
          </w:p>
        </w:tc>
        <w:tc>
          <w:tcPr>
            <w:tcW w:type="dxa" w:w="3350"/>
            <w:shd w:fill="F2F6FA" w:val="clear"/>
            <w:tcMar>
              <w:top w:type="dxa" w:w="90"/>
              <w:left w:type="dxa" w:w="120"/>
              <w:bottom w:type="dxa" w:w="90"/>
              <w:right w:type="dxa" w:w="120"/>
            </w:tcMar>
          </w:tcPr>
          <w:p>
            <w:r>
              <w:rPr>
                <w:sz w:val="20"/>
                <w:szCs w:val="20"/>
              </w:rPr>
              <w:t xml:space="preserve">$389,151</w:t>
            </w:r>
          </w:p>
        </w:tc>
        <w:tc>
          <w:tcPr>
            <w:tcW w:type="dxa" w:w="2650"/>
            <w:shd w:fill="F2F6FA" w:val="clear"/>
            <w:tcMar>
              <w:top w:type="dxa" w:w="90"/>
              <w:left w:type="dxa" w:w="120"/>
              <w:bottom w:type="dxa" w:w="90"/>
              <w:right w:type="dxa" w:w="120"/>
            </w:tcMar>
          </w:tcPr>
          <w:p>
            <w:r>
              <w:rPr>
                <w:sz w:val="20"/>
                <w:szCs w:val="20"/>
              </w:rPr>
              <w:t xml:space="preserve">17.2%</w:t>
            </w:r>
          </w:p>
        </w:tc>
      </w:tr>
    </w:tbl>
    <w:p>
      <w:pPr>
        <w:spacing w:after="160" w:line="276"/>
      </w:pPr>
      <w:r>
        <w:rPr>
          <w:sz w:val="22"/>
          <w:szCs w:val="22"/>
        </w:rPr>
        <w:t xml:space="preserve">California ($446.3K) and New York ($306.4K) are by far the top two states, together contributing about a third of all sales — unsurprising given they anchor the West and East regions respectively. Texas and Washington round out the top four.</w:t>
      </w:r>
    </w:p>
    <w:p>
      <w:pPr>
        <w:pStyle w:val="Heading2"/>
        <w:spacing w:after="120" w:before="260"/>
      </w:pPr>
      <w:r>
        <w:rPr>
          <w:b/>
          <w:bCs/>
          <w:color w:val="2E5A8C"/>
          <w:sz w:val="24"/>
          <w:szCs w:val="24"/>
        </w:rPr>
        <w:t xml:space="preserve">4.4 Shipping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00"/>
        <w:gridCol w:w="225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Ship Mode</w:t>
            </w:r>
          </w:p>
        </w:tc>
        <w:tc>
          <w:tcPr>
            <w:tcW w:type="dxa" w:w="2600"/>
            <w:shd w:fill="1F3864" w:val="clear"/>
            <w:tcMar>
              <w:top w:type="dxa" w:w="100"/>
              <w:left w:type="dxa" w:w="120"/>
              <w:bottom w:type="dxa" w:w="100"/>
              <w:right w:type="dxa" w:w="120"/>
            </w:tcMar>
          </w:tcPr>
          <w:p>
            <w:r>
              <w:rPr>
                <w:b/>
                <w:bCs/>
                <w:color w:val="FFFFFF"/>
                <w:sz w:val="20"/>
                <w:szCs w:val="20"/>
              </w:rPr>
              <w:t xml:space="preserve">Sales</w:t>
            </w:r>
          </w:p>
        </w:tc>
        <w:tc>
          <w:tcPr>
            <w:tcW w:type="dxa" w:w="1900"/>
            <w:shd w:fill="1F3864" w:val="clear"/>
            <w:tcMar>
              <w:top w:type="dxa" w:w="100"/>
              <w:left w:type="dxa" w:w="120"/>
              <w:bottom w:type="dxa" w:w="100"/>
              <w:right w:type="dxa" w:w="120"/>
            </w:tcMar>
          </w:tcPr>
          <w:p>
            <w:r>
              <w:rPr>
                <w:b/>
                <w:bCs/>
                <w:color w:val="FFFFFF"/>
                <w:sz w:val="20"/>
                <w:szCs w:val="20"/>
              </w:rPr>
              <w:t xml:space="preserve">Orders</w:t>
            </w:r>
          </w:p>
        </w:tc>
        <w:tc>
          <w:tcPr>
            <w:tcW w:type="dxa" w:w="2250"/>
            <w:shd w:fill="1F3864" w:val="clear"/>
            <w:tcMar>
              <w:top w:type="dxa" w:w="100"/>
              <w:left w:type="dxa" w:w="120"/>
              <w:bottom w:type="dxa" w:w="100"/>
              <w:right w:type="dxa" w:w="120"/>
            </w:tcMar>
          </w:tcPr>
          <w:p>
            <w:r>
              <w:rPr>
                <w:b/>
                <w:bCs/>
                <w:color w:val="FFFFFF"/>
                <w:sz w:val="20"/>
                <w:szCs w:val="20"/>
              </w:rPr>
              <w:t xml:space="preserve">Avg. Delivery (days)</w:t>
            </w:r>
          </w:p>
        </w:tc>
      </w:tr>
      <w:tr>
        <w:tc>
          <w:tcPr>
            <w:tcW w:type="dxa" w:w="2600"/>
            <w:shd w:fill="FFFFFF" w:val="clear"/>
            <w:tcMar>
              <w:top w:type="dxa" w:w="90"/>
              <w:left w:type="dxa" w:w="120"/>
              <w:bottom w:type="dxa" w:w="90"/>
              <w:right w:type="dxa" w:w="120"/>
            </w:tcMar>
          </w:tcPr>
          <w:p>
            <w:r>
              <w:rPr>
                <w:sz w:val="20"/>
                <w:szCs w:val="20"/>
              </w:rPr>
              <w:t xml:space="preserve">Standard Class</w:t>
            </w:r>
          </w:p>
        </w:tc>
        <w:tc>
          <w:tcPr>
            <w:tcW w:type="dxa" w:w="2600"/>
            <w:shd w:fill="FFFFFF" w:val="clear"/>
            <w:tcMar>
              <w:top w:type="dxa" w:w="90"/>
              <w:left w:type="dxa" w:w="120"/>
              <w:bottom w:type="dxa" w:w="90"/>
              <w:right w:type="dxa" w:w="120"/>
            </w:tcMar>
          </w:tcPr>
          <w:p>
            <w:r>
              <w:rPr>
                <w:sz w:val="20"/>
                <w:szCs w:val="20"/>
              </w:rPr>
              <w:t xml:space="preserve">$1,340,831</w:t>
            </w:r>
          </w:p>
        </w:tc>
        <w:tc>
          <w:tcPr>
            <w:tcW w:type="dxa" w:w="1900"/>
            <w:shd w:fill="FFFFFF" w:val="clear"/>
            <w:tcMar>
              <w:top w:type="dxa" w:w="90"/>
              <w:left w:type="dxa" w:w="120"/>
              <w:bottom w:type="dxa" w:w="90"/>
              <w:right w:type="dxa" w:w="120"/>
            </w:tcMar>
          </w:tcPr>
          <w:p>
            <w:r>
              <w:rPr>
                <w:sz w:val="20"/>
                <w:szCs w:val="20"/>
              </w:rPr>
              <w:t xml:space="preserve">5,859</w:t>
            </w:r>
          </w:p>
        </w:tc>
        <w:tc>
          <w:tcPr>
            <w:tcW w:type="dxa" w:w="2250"/>
            <w:shd w:fill="FFFFFF" w:val="clear"/>
            <w:tcMar>
              <w:top w:type="dxa" w:w="90"/>
              <w:left w:type="dxa" w:w="120"/>
              <w:bottom w:type="dxa" w:w="90"/>
              <w:right w:type="dxa" w:w="120"/>
            </w:tcMar>
          </w:tcPr>
          <w:p>
            <w:r>
              <w:rPr>
                <w:sz w:val="20"/>
                <w:szCs w:val="20"/>
              </w:rPr>
              <w:t xml:space="preserve">5.01</w:t>
            </w:r>
          </w:p>
        </w:tc>
      </w:tr>
      <w:tr>
        <w:tc>
          <w:tcPr>
            <w:tcW w:type="dxa" w:w="2600"/>
            <w:shd w:fill="F2F6FA" w:val="clear"/>
            <w:tcMar>
              <w:top w:type="dxa" w:w="90"/>
              <w:left w:type="dxa" w:w="120"/>
              <w:bottom w:type="dxa" w:w="90"/>
              <w:right w:type="dxa" w:w="120"/>
            </w:tcMar>
          </w:tcPr>
          <w:p>
            <w:r>
              <w:rPr>
                <w:sz w:val="20"/>
                <w:szCs w:val="20"/>
              </w:rPr>
              <w:t xml:space="preserve">Second Class</w:t>
            </w:r>
          </w:p>
        </w:tc>
        <w:tc>
          <w:tcPr>
            <w:tcW w:type="dxa" w:w="2600"/>
            <w:shd w:fill="F2F6FA" w:val="clear"/>
            <w:tcMar>
              <w:top w:type="dxa" w:w="90"/>
              <w:left w:type="dxa" w:w="120"/>
              <w:bottom w:type="dxa" w:w="90"/>
              <w:right w:type="dxa" w:w="120"/>
            </w:tcMar>
          </w:tcPr>
          <w:p>
            <w:r>
              <w:rPr>
                <w:sz w:val="20"/>
                <w:szCs w:val="20"/>
              </w:rPr>
              <w:t xml:space="preserve">$449,914</w:t>
            </w:r>
          </w:p>
        </w:tc>
        <w:tc>
          <w:tcPr>
            <w:tcW w:type="dxa" w:w="1900"/>
            <w:shd w:fill="F2F6FA" w:val="clear"/>
            <w:tcMar>
              <w:top w:type="dxa" w:w="90"/>
              <w:left w:type="dxa" w:w="120"/>
              <w:bottom w:type="dxa" w:w="90"/>
              <w:right w:type="dxa" w:w="120"/>
            </w:tcMar>
          </w:tcPr>
          <w:p>
            <w:r>
              <w:rPr>
                <w:sz w:val="20"/>
                <w:szCs w:val="20"/>
              </w:rPr>
              <w:t xml:space="preserve">1,902</w:t>
            </w:r>
          </w:p>
        </w:tc>
        <w:tc>
          <w:tcPr>
            <w:tcW w:type="dxa" w:w="2250"/>
            <w:shd w:fill="F2F6FA" w:val="clear"/>
            <w:tcMar>
              <w:top w:type="dxa" w:w="90"/>
              <w:left w:type="dxa" w:w="120"/>
              <w:bottom w:type="dxa" w:w="90"/>
              <w:right w:type="dxa" w:w="120"/>
            </w:tcMar>
          </w:tcPr>
          <w:p>
            <w:r>
              <w:rPr>
                <w:sz w:val="20"/>
                <w:szCs w:val="20"/>
              </w:rPr>
              <w:t xml:space="preserve">3.25</w:t>
            </w:r>
          </w:p>
        </w:tc>
      </w:tr>
      <w:tr>
        <w:tc>
          <w:tcPr>
            <w:tcW w:type="dxa" w:w="2600"/>
            <w:shd w:fill="FFFFFF" w:val="clear"/>
            <w:tcMar>
              <w:top w:type="dxa" w:w="90"/>
              <w:left w:type="dxa" w:w="120"/>
              <w:bottom w:type="dxa" w:w="90"/>
              <w:right w:type="dxa" w:w="120"/>
            </w:tcMar>
          </w:tcPr>
          <w:p>
            <w:r>
              <w:rPr>
                <w:sz w:val="20"/>
                <w:szCs w:val="20"/>
              </w:rPr>
              <w:t xml:space="preserve">First Class</w:t>
            </w:r>
          </w:p>
        </w:tc>
        <w:tc>
          <w:tcPr>
            <w:tcW w:type="dxa" w:w="2600"/>
            <w:shd w:fill="FFFFFF" w:val="clear"/>
            <w:tcMar>
              <w:top w:type="dxa" w:w="90"/>
              <w:left w:type="dxa" w:w="120"/>
              <w:bottom w:type="dxa" w:w="90"/>
              <w:right w:type="dxa" w:w="120"/>
            </w:tcMar>
          </w:tcPr>
          <w:p>
            <w:r>
              <w:rPr>
                <w:sz w:val="20"/>
                <w:szCs w:val="20"/>
              </w:rPr>
              <w:t xml:space="preserve">$345,572</w:t>
            </w:r>
          </w:p>
        </w:tc>
        <w:tc>
          <w:tcPr>
            <w:tcW w:type="dxa" w:w="1900"/>
            <w:shd w:fill="FFFFFF" w:val="clear"/>
            <w:tcMar>
              <w:top w:type="dxa" w:w="90"/>
              <w:left w:type="dxa" w:w="120"/>
              <w:bottom w:type="dxa" w:w="90"/>
              <w:right w:type="dxa" w:w="120"/>
            </w:tcMar>
          </w:tcPr>
          <w:p>
            <w:r>
              <w:rPr>
                <w:sz w:val="20"/>
                <w:szCs w:val="20"/>
              </w:rPr>
              <w:t xml:space="preserve">1,501</w:t>
            </w:r>
          </w:p>
        </w:tc>
        <w:tc>
          <w:tcPr>
            <w:tcW w:type="dxa" w:w="2250"/>
            <w:shd w:fill="FFFFFF" w:val="clear"/>
            <w:tcMar>
              <w:top w:type="dxa" w:w="90"/>
              <w:left w:type="dxa" w:w="120"/>
              <w:bottom w:type="dxa" w:w="90"/>
              <w:right w:type="dxa" w:w="120"/>
            </w:tcMar>
          </w:tcPr>
          <w:p>
            <w:r>
              <w:rPr>
                <w:sz w:val="20"/>
                <w:szCs w:val="20"/>
              </w:rPr>
              <w:t xml:space="preserve">2.18</w:t>
            </w:r>
          </w:p>
        </w:tc>
      </w:tr>
      <w:tr>
        <w:tc>
          <w:tcPr>
            <w:tcW w:type="dxa" w:w="2600"/>
            <w:shd w:fill="F2F6FA" w:val="clear"/>
            <w:tcMar>
              <w:top w:type="dxa" w:w="90"/>
              <w:left w:type="dxa" w:w="120"/>
              <w:bottom w:type="dxa" w:w="90"/>
              <w:right w:type="dxa" w:w="120"/>
            </w:tcMar>
          </w:tcPr>
          <w:p>
            <w:r>
              <w:rPr>
                <w:sz w:val="20"/>
                <w:szCs w:val="20"/>
              </w:rPr>
              <w:t xml:space="preserve">Same Day</w:t>
            </w:r>
          </w:p>
        </w:tc>
        <w:tc>
          <w:tcPr>
            <w:tcW w:type="dxa" w:w="2600"/>
            <w:shd w:fill="F2F6FA" w:val="clear"/>
            <w:tcMar>
              <w:top w:type="dxa" w:w="90"/>
              <w:left w:type="dxa" w:w="120"/>
              <w:bottom w:type="dxa" w:w="90"/>
              <w:right w:type="dxa" w:w="120"/>
            </w:tcMar>
          </w:tcPr>
          <w:p>
            <w:r>
              <w:rPr>
                <w:sz w:val="20"/>
                <w:szCs w:val="20"/>
              </w:rPr>
              <w:t xml:space="preserve">$125,219</w:t>
            </w:r>
          </w:p>
        </w:tc>
        <w:tc>
          <w:tcPr>
            <w:tcW w:type="dxa" w:w="1900"/>
            <w:shd w:fill="F2F6FA" w:val="clear"/>
            <w:tcMar>
              <w:top w:type="dxa" w:w="90"/>
              <w:left w:type="dxa" w:w="120"/>
              <w:bottom w:type="dxa" w:w="90"/>
              <w:right w:type="dxa" w:w="120"/>
            </w:tcMar>
          </w:tcPr>
          <w:p>
            <w:r>
              <w:rPr>
                <w:sz w:val="20"/>
                <w:szCs w:val="20"/>
              </w:rPr>
              <w:t xml:space="preserve">538</w:t>
            </w:r>
          </w:p>
        </w:tc>
        <w:tc>
          <w:tcPr>
            <w:tcW w:type="dxa" w:w="2250"/>
            <w:shd w:fill="F2F6FA" w:val="clear"/>
            <w:tcMar>
              <w:top w:type="dxa" w:w="90"/>
              <w:left w:type="dxa" w:w="120"/>
              <w:bottom w:type="dxa" w:w="90"/>
              <w:right w:type="dxa" w:w="120"/>
            </w:tcMar>
          </w:tcPr>
          <w:p>
            <w:r>
              <w:rPr>
                <w:sz w:val="20"/>
                <w:szCs w:val="20"/>
              </w:rPr>
              <w:t xml:space="preserve">0.04</w:t>
            </w:r>
          </w:p>
        </w:tc>
      </w:tr>
    </w:tbl>
    <w:p>
      <w:pPr>
        <w:spacing w:after="160" w:line="276"/>
      </w:pPr>
      <w:r>
        <w:rPr>
          <w:sz w:val="22"/>
          <w:szCs w:val="22"/>
        </w:rPr>
        <w:t xml:space="preserve">Standard Class dominates both sales and order volume, but also carries the longest average delivery time at exactly 5 days — more than double First Class. This is a reasonable trade-off customers are choosing (lower cost, slower delivery), but it's worth monitoring if delivery speed becomes a competitive factor.</w:t>
      </w:r>
    </w:p>
    <w:p>
      <w:pPr>
        <w:pStyle w:val="Heading2"/>
        <w:spacing w:after="120" w:before="260"/>
      </w:pPr>
      <w:r>
        <w:rPr>
          <w:b/>
          <w:bCs/>
          <w:color w:val="2E5A8C"/>
          <w:sz w:val="24"/>
          <w:szCs w:val="24"/>
        </w:rPr>
        <w:t xml:space="preserve">4.5 Yearly Trend</w:t>
      </w:r>
    </w:p>
    <w:p>
      <w:pPr>
        <w:spacing w:after="80" w:before="120"/>
        <w:jc w:val="center"/>
      </w:pPr>
      <w:r>
        <w:drawing>
          <wp:inline distT="0" distB="0" distL="0" distR="0">
            <wp:extent cx="4095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43150"/>
                    </a:xfrm>
                    <a:prstGeom prst="rect">
                      <a:avLst/>
                    </a:prstGeom>
                  </pic:spPr>
                </pic:pic>
              </a:graphicData>
            </a:graphic>
          </wp:inline>
        </w:drawing>
      </w:r>
    </w:p>
    <w:p>
      <w:pPr>
        <w:spacing w:after="300"/>
        <w:jc w:val="center"/>
      </w:pPr>
      <w:r>
        <w:rPr>
          <w:i/>
          <w:iCs/>
          <w:color w:val="595959"/>
          <w:sz w:val="20"/>
          <w:szCs w:val="20"/>
        </w:rPr>
        <w:t xml:space="preserve">Figure 1: Year-over-year sales growth, 2015–2018.</w:t>
      </w:r>
    </w:p>
    <w:p>
      <w:pPr>
        <w:spacing w:after="160" w:line="276"/>
      </w:pPr>
      <w:r>
        <w:rPr>
          <w:sz w:val="22"/>
          <w:szCs w:val="22"/>
        </w:rPr>
        <w:t xml:space="preserve">Sales dipped slightly in 2016 (−4.3%) before rebounding sharply: +30.6% in 2017 and +20.3% in 2018. The four-year trend shows accelerating growth, with 2018 sales roughly 50% higher than the 2016 low point.</w:t>
      </w:r>
    </w:p>
    <w:p>
      <w:pPr>
        <w:pStyle w:val="Heading2"/>
        <w:spacing w:after="120" w:before="260"/>
      </w:pPr>
      <w:r>
        <w:rPr>
          <w:b/>
          <w:bCs/>
          <w:color w:val="2E5A8C"/>
          <w:sz w:val="24"/>
          <w:szCs w:val="24"/>
        </w:rPr>
        <w:t xml:space="preserve">4.6 Seasonality</w:t>
      </w:r>
    </w:p>
    <w:p>
      <w:pPr>
        <w:spacing w:after="160" w:line="276"/>
      </w:pPr>
      <w:r>
        <w:rPr>
          <w:sz w:val="22"/>
          <w:szCs w:val="22"/>
        </w:rPr>
        <w:t xml:space="preserve">Aggregating all four years by calendar month reveals a clear seasonal pattern: sales are lowest in February and climb steadily through the year, peaking sharply in September and November–December. This end-of-year surge (Sept, Nov, Dec combined make up over 42% of a typical year's sales) aligns with back-to-school and holiday shopping cycles and should inform inventory and staffing planning.</w:t>
      </w:r>
    </w:p>
    <w:p>
      <w:pPr>
        <w:pStyle w:val="Heading2"/>
        <w:spacing w:after="120" w:before="260"/>
      </w:pPr>
      <w:r>
        <w:rPr>
          <w:b/>
          <w:bCs/>
          <w:color w:val="2E5A8C"/>
          <w:sz w:val="24"/>
          <w:szCs w:val="24"/>
        </w:rPr>
        <w:t xml:space="preserve">4.7 Top Products</w:t>
      </w:r>
    </w:p>
    <w:p>
      <w:pPr>
        <w:spacing w:after="80" w:before="120"/>
        <w:jc w:val="center"/>
      </w:pPr>
      <w:r>
        <w:drawing>
          <wp:inline distT="0" distB="0" distL="0" distR="0">
            <wp:extent cx="4286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2571750"/>
                    </a:xfrm>
                    <a:prstGeom prst="rect">
                      <a:avLst/>
                    </a:prstGeom>
                  </pic:spPr>
                </pic:pic>
              </a:graphicData>
            </a:graphic>
          </wp:inline>
        </w:drawing>
      </w:r>
    </w:p>
    <w:p>
      <w:pPr>
        <w:spacing w:after="300"/>
        <w:jc w:val="center"/>
      </w:pPr>
      <w:r>
        <w:rPr>
          <w:i/>
          <w:iCs/>
          <w:color w:val="595959"/>
          <w:sz w:val="20"/>
          <w:szCs w:val="20"/>
        </w:rPr>
        <w:t xml:space="preserve">Figure 2: Top 10 products by total sales.</w:t>
      </w:r>
    </w:p>
    <w:p>
      <w:pPr>
        <w:spacing w:after="160" w:line="276"/>
      </w:pPr>
      <w:r>
        <w:rPr>
          <w:sz w:val="22"/>
          <w:szCs w:val="22"/>
        </w:rPr>
        <w:t xml:space="preserve">The Canon imageCLASS 2200 Advanced Copier is the single highest-earning product at $61.6K, more than double the next closest item. High-value office equipment (copiers, binding machines, videoconferencing units) dominates the top of the list, consistent with Technology's high average sale value noted in section 4.1.</w:t>
      </w:r>
    </w:p>
    <w:p>
      <w:r>
        <w:br w:type="page"/>
      </w:r>
    </w:p>
    <w:p>
      <w:pPr>
        <w:pStyle w:val="Heading1"/>
        <w:pBdr>
          <w:bottom w:val="single" w:color="1F3864" w:sz="6" w:space="4"/>
        </w:pBdr>
        <w:spacing w:after="160" w:before="360"/>
      </w:pPr>
      <w:r>
        <w:rPr>
          <w:b/>
          <w:bCs/>
          <w:color w:val="1F3864"/>
          <w:sz w:val="30"/>
          <w:szCs w:val="30"/>
        </w:rPr>
        <w:t xml:space="preserve">5. Power BI Dashboard</w:t>
      </w:r>
    </w:p>
    <w:p>
      <w:pPr>
        <w:spacing w:after="160" w:line="276"/>
      </w:pPr>
      <w:r>
        <w:rPr>
          <w:sz w:val="22"/>
          <w:szCs w:val="22"/>
        </w:rPr>
        <w:t xml:space="preserve">An interactive Power BI dashboard ("Superstore Sales Dashboard") was built alongside this analysis to allow stakeholders to explore the data themselves. It presents total sales and order KPIs, breakdowns by category, sub-category, segment, region, state and ship mode, and yearly/monthly sales trends, with a region slicer for interactive filtering.</w:t>
      </w:r>
    </w:p>
    <w:p>
      <w:pPr>
        <w:spacing w:after="80" w:before="12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9900"/>
                    </a:xfrm>
                    <a:prstGeom prst="rect">
                      <a:avLst/>
                    </a:prstGeom>
                  </pic:spPr>
                </pic:pic>
              </a:graphicData>
            </a:graphic>
          </wp:inline>
        </w:drawing>
      </w:r>
    </w:p>
    <w:p>
      <w:pPr>
        <w:spacing w:after="300"/>
        <w:jc w:val="center"/>
      </w:pPr>
      <w:r>
        <w:rPr>
          <w:i/>
          <w:iCs/>
          <w:color w:val="595959"/>
          <w:sz w:val="20"/>
          <w:szCs w:val="20"/>
        </w:rPr>
        <w:t xml:space="preserve">Figure 3: Superstore Sales Dashboard, built in Power BI.</w:t>
      </w:r>
    </w:p>
    <w:p>
      <w:pPr>
        <w:spacing w:after="160" w:line="276"/>
      </w:pPr>
      <w:r>
        <w:rPr>
          <w:sz w:val="22"/>
          <w:szCs w:val="22"/>
        </w:rPr>
        <w:t xml:space="preserve">The dashboard file (supersales_store_data_analysis.pbix) is included in the project repository so the report can be explored interactively, filtered by region, or extended with new visuals.</w:t>
      </w:r>
    </w:p>
    <w:p>
      <w:pPr>
        <w:pStyle w:val="Heading1"/>
        <w:pBdr>
          <w:bottom w:val="single" w:color="1F3864" w:sz="6" w:space="4"/>
        </w:pBdr>
        <w:spacing w:after="160" w:before="360"/>
      </w:pPr>
      <w:r>
        <w:rPr>
          <w:b/>
          <w:bCs/>
          <w:color w:val="1F3864"/>
          <w:sz w:val="30"/>
          <w:szCs w:val="30"/>
        </w:rPr>
        <w:t xml:space="preserve">6. Recommendations</w:t>
      </w:r>
    </w:p>
    <w:p>
      <w:pPr>
        <w:pStyle w:val="ListParagraph"/>
        <w:numPr>
          <w:ilvl w:val="0"/>
          <w:numId w:val="2"/>
        </w:numPr>
        <w:spacing w:after="80"/>
      </w:pPr>
      <w:r>
        <w:rPr>
          <w:sz w:val="22"/>
          <w:szCs w:val="22"/>
        </w:rPr>
        <w:t xml:space="preserve">Double down on Technology: it has the highest average order value; consider bundling accessories or extended warranties to lift Furniture and Office Supplies basket sizes toward similar levels.</w:t>
      </w:r>
    </w:p>
    <w:p>
      <w:pPr>
        <w:pStyle w:val="ListParagraph"/>
        <w:numPr>
          <w:ilvl w:val="0"/>
          <w:numId w:val="2"/>
        </w:numPr>
        <w:spacing w:after="80"/>
      </w:pPr>
      <w:r>
        <w:rPr>
          <w:sz w:val="22"/>
          <w:szCs w:val="22"/>
        </w:rPr>
        <w:t xml:space="preserve">Plan inventory and staffing around the September and November–December sales surge identified in the seasonality analysis, rather than a flat year-round baseline.</w:t>
      </w:r>
    </w:p>
    <w:p>
      <w:pPr>
        <w:pStyle w:val="ListParagraph"/>
        <w:numPr>
          <w:ilvl w:val="0"/>
          <w:numId w:val="2"/>
        </w:numPr>
        <w:spacing w:after="80"/>
      </w:pPr>
      <w:r>
        <w:rPr>
          <w:sz w:val="22"/>
          <w:szCs w:val="22"/>
        </w:rPr>
        <w:t xml:space="preserve">Investigate the West/East revenue concentration (California and New York alone drive ~33% of sales) — evaluate whether Central and South regions are under-penetrated or under-marketed.</w:t>
      </w:r>
    </w:p>
    <w:p>
      <w:pPr>
        <w:pStyle w:val="ListParagraph"/>
        <w:numPr>
          <w:ilvl w:val="0"/>
          <w:numId w:val="2"/>
        </w:numPr>
        <w:spacing w:after="80"/>
      </w:pPr>
      <w:r>
        <w:rPr>
          <w:sz w:val="22"/>
          <w:szCs w:val="22"/>
        </w:rPr>
        <w:t xml:space="preserve">Review Standard Class delivery times (5 days average): if customer satisfaction data is available, check whether faster default shipping could improve retention without materially raising cost.</w:t>
      </w:r>
    </w:p>
    <w:p>
      <w:pPr>
        <w:pStyle w:val="ListParagraph"/>
        <w:numPr>
          <w:ilvl w:val="0"/>
          <w:numId w:val="2"/>
        </w:numPr>
        <w:spacing w:after="80"/>
      </w:pPr>
      <w:r>
        <w:rPr>
          <w:sz w:val="22"/>
          <w:szCs w:val="22"/>
        </w:rPr>
        <w:t xml:space="preserve">Use the Corporate and Home Office segments, which together are smaller than Consumer, as a growth target via targeted B2B offers.</w:t>
      </w:r>
    </w:p>
    <w:p>
      <w:pPr>
        <w:pStyle w:val="Heading1"/>
        <w:pBdr>
          <w:bottom w:val="single" w:color="1F3864" w:sz="6" w:space="4"/>
        </w:pBdr>
        <w:spacing w:after="160" w:before="360"/>
      </w:pPr>
      <w:r>
        <w:rPr>
          <w:b/>
          <w:bCs/>
          <w:color w:val="1F3864"/>
          <w:sz w:val="30"/>
          <w:szCs w:val="30"/>
        </w:rPr>
        <w:t xml:space="preserve">7. Conclusion</w:t>
      </w:r>
    </w:p>
    <w:p>
      <w:pPr>
        <w:spacing w:after="160" w:line="276"/>
      </w:pPr>
      <w:r>
        <w:rPr>
          <w:sz w:val="22"/>
          <w:szCs w:val="22"/>
        </w:rPr>
        <w:t xml:space="preserve">The Superstore dataset shows a healthy, accelerating sales trajectory from 2015 to 2018, concentrated in a few high-value categories, states, and a predictable seasonal pattern. The accompanying Power BI dashboard operationalizes these findings into a self-service tool, completing the project's EDA → Dashboard → Report workflow.</w:t>
      </w:r>
    </w:p>
    <w:p>
      <w:pPr>
        <w:pStyle w:val="Heading1"/>
        <w:pBdr>
          <w:bottom w:val="single" w:color="1F3864" w:sz="6" w:space="4"/>
        </w:pBdr>
        <w:spacing w:after="160" w:before="360"/>
      </w:pPr>
      <w:r>
        <w:rPr>
          <w:b/>
          <w:bCs/>
          <w:color w:val="1F3864"/>
          <w:sz w:val="30"/>
          <w:szCs w:val="30"/>
        </w:rPr>
        <w:t xml:space="preserve">Appendix: Project Assets</w:t>
      </w:r>
    </w:p>
    <w:p>
      <w:pPr>
        <w:pStyle w:val="ListParagraph"/>
        <w:numPr>
          <w:ilvl w:val="0"/>
          <w:numId w:val="2"/>
        </w:numPr>
        <w:spacing w:after="80"/>
      </w:pPr>
      <w:r>
        <w:rPr>
          <w:sz w:val="22"/>
          <w:szCs w:val="22"/>
        </w:rPr>
        <w:t xml:space="preserve">EDA notebooks/scripts – GitHub repository (data cleaning &amp; initial exploration).</w:t>
      </w:r>
    </w:p>
    <w:p>
      <w:pPr>
        <w:pStyle w:val="ListParagraph"/>
        <w:numPr>
          <w:ilvl w:val="0"/>
          <w:numId w:val="2"/>
        </w:numPr>
        <w:spacing w:after="80"/>
      </w:pPr>
      <w:r>
        <w:rPr>
          <w:sz w:val="22"/>
          <w:szCs w:val="22"/>
        </w:rPr>
        <w:t xml:space="preserve">Power BI report – supersales_store_data_analysis.pbix</w:t>
      </w:r>
    </w:p>
    <w:p>
      <w:pPr>
        <w:pStyle w:val="ListParagraph"/>
        <w:numPr>
          <w:ilvl w:val="0"/>
          <w:numId w:val="2"/>
        </w:numPr>
        <w:spacing w:after="80"/>
      </w:pPr>
      <w:r>
        <w:rPr>
          <w:sz w:val="22"/>
          <w:szCs w:val="22"/>
        </w:rPr>
        <w:t xml:space="preserve">This report – Superstore_Sales_Analysis_Report.docx</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Superstore Sales Analysis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f1e1374f298dea4e91b6c129ddaa5c8244d184.png"/><Relationship Id="rId10" Type="http://schemas.openxmlformats.org/officeDocument/2006/relationships/image" Target="media/8e3b75f6bc279dabaaee4bd5574632598e24c772.png"/><Relationship Id="rId11" Type="http://schemas.openxmlformats.org/officeDocument/2006/relationships/image" Target="media/5b470e8c118e8d81294aa6421e056a6ab01b9b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2026-08-06T05:25:29.273Z</dcterms:created>
  <dcterms:modified xsi:type="dcterms:W3CDTF">2026-08-06T05:25:29.296Z</dcterms:modified>
</cp:coreProperties>
</file>

<file path=docProps/custom.xml><?xml version="1.0" encoding="utf-8"?>
<Properties xmlns="http://schemas.openxmlformats.org/officeDocument/2006/custom-properties" xmlns:vt="http://schemas.openxmlformats.org/officeDocument/2006/docPropsVTypes"/>
</file>