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Inter" w:cs="Inter" w:eastAsia="Inter" w:hAnsi="Inter"/>
          <w:b/>
          <w:bCs/>
          <w:color w:val="000000"/>
          <w:sz w:val="38"/>
          <w:szCs w:val="38"/>
        </w:rPr>
        <w:t xml:space="preserve">ADK ENGINEERING &amp; SOLUTIONS</w:t>
      </w:r>
    </w:p>
    <w:p>
      <w:pPr>
        <w:spacing w:after="260" w:before="100"/>
        <w:jc w:val="center"/>
      </w:pPr>
      <w:r>
        <w:rPr>
          <w:rFonts w:ascii="Inter" w:cs="Inter" w:eastAsia="Inter" w:hAnsi="Inter"/>
          <w:b/>
          <w:bCs/>
          <w:color w:val="4F46E5"/>
          <w:sz w:val="25"/>
          <w:szCs w:val="25"/>
        </w:rPr>
        <w:t xml:space="preserve">Content Required From Client &amp; Development Readiness</w:t>
      </w:r>
    </w:p>
    <w:p>
      <w:pPr>
        <w:jc w:val="center"/>
      </w:pPr>
      <w:r>
        <w:rPr>
          <w:rFonts w:ascii="Inter" w:cs="Inter" w:eastAsia="Inter" w:hAnsi="Inter"/>
          <w:i/>
          <w:iCs/>
          <w:color w:val="6B7280"/>
          <w:sz w:val="19"/>
          <w:szCs w:val="19"/>
        </w:rPr>
        <w:t xml:space="preserve">Prepared by Wildmind AI</w:t>
      </w:r>
    </w:p>
    <w:p>
      <w:pPr>
        <w:spacing w:after="400" w:before="20"/>
        <w:jc w:val="center"/>
      </w:pPr>
      <w:r>
        <w:rPr>
          <w:rFonts w:ascii="Inter" w:cs="Inter" w:eastAsia="Inter" w:hAnsi="Inter"/>
          <w:color w:val="6B7280"/>
          <w:sz w:val="19"/>
          <w:szCs w:val="19"/>
        </w:rPr>
        <w:t xml:space="preserve">July 2026</w:t>
      </w:r>
    </w:p>
    <w:p>
      <w:pPr>
        <w:spacing w:after="13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This document lists exactly what ADK needs to send us to complete the website, and separately, what we can already start building now without waiting on any of it.</w:t>
      </w:r>
    </w:p>
    <w:p>
      <w:pPr>
        <w:pStyle w:val="Heading1"/>
        <w:pBdr>
          <w:bottom w:val="single" w:color="000000" w:sz="6" w:space="4"/>
        </w:pBdr>
        <w:spacing w:after="160" w:before="340"/>
      </w:pPr>
      <w:r>
        <w:rPr>
          <w:rFonts w:ascii="Inter" w:cs="Inter" w:eastAsia="Inter" w:hAnsi="Inter"/>
          <w:b/>
          <w:bCs/>
          <w:color w:val="000000"/>
          <w:sz w:val="27"/>
          <w:szCs w:val="27"/>
        </w:rPr>
        <w:t xml:space="preserve">1. Content Required From Client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50"/>
        <w:gridCol w:w="2400"/>
      </w:tblGrid>
      <w:tr>
        <w:trPr>
          <w:tblHeader/>
        </w:trPr>
        <w:tc>
          <w:tcPr>
            <w:tcW w:type="dxa" w:w="2400"/>
            <w:shd w:fill="4F46E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50"/>
            <w:shd w:fill="4F46E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2400"/>
            <w:shd w:fill="4F46E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Group / Team Photos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Photos of the team/leadership for use on the website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About Us — leadership section</w:t>
            </w:r>
          </w:p>
        </w:tc>
      </w:tr>
      <w:tr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Machine Photos (all products)</w:t>
            </w:r>
          </w:p>
        </w:tc>
        <w:tc>
          <w:tcPr>
            <w:tcW w:type="dxa" w:w="455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Photography for every product model, not just categories</w:t>
            </w:r>
          </w:p>
        </w:tc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Products — model pages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Product Videos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Any demo/operation videos per machine, if available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Products — model pages, Gallery</w:t>
            </w:r>
          </w:p>
        </w:tc>
      </w:tr>
      <w:tr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Technical Specifications</w:t>
            </w:r>
          </w:p>
        </w:tc>
        <w:tc>
          <w:tcPr>
            <w:tcW w:type="dxa" w:w="455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Real spec values for every product model (power, dimensions, speed, etc.)</w:t>
            </w:r>
          </w:p>
        </w:tc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Products — model pages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Factory &amp; Infrastructure Photos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Photos of the factory floor and facility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About Us</w:t>
            </w:r>
          </w:p>
        </w:tc>
      </w:tr>
      <w:tr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Customer Logos</w:t>
            </w:r>
          </w:p>
        </w:tc>
        <w:tc>
          <w:tcPr>
            <w:tcW w:type="dxa" w:w="455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Logo files of customers who can be publicly named</w:t>
            </w:r>
          </w:p>
        </w:tc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Clients &amp; Case Studies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ADK Logo (updated/vector)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Current logo in vector/high-res format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Site-wide — header, footer</w:t>
            </w:r>
          </w:p>
        </w:tc>
      </w:tr>
      <w:tr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Domain Access</w:t>
            </w:r>
          </w:p>
        </w:tc>
        <w:tc>
          <w:tcPr>
            <w:tcW w:type="dxa" w:w="455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Access/credentials to the adkeng.com domain for go-live</w:t>
            </w:r>
          </w:p>
        </w:tc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Deployment (technical, not content)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Case Studies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2–3 real project write-ups with customer details and results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Clients &amp; Case Studies</w:t>
            </w:r>
          </w:p>
        </w:tc>
      </w:tr>
      <w:tr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Blog Topics</w:t>
            </w:r>
          </w:p>
        </w:tc>
        <w:tc>
          <w:tcPr>
            <w:tcW w:type="dxa" w:w="455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At least 2 starting topics to write the first blog posts</w:t>
            </w:r>
          </w:p>
        </w:tc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Resources — Blog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FAQ Confirmation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We will draft an initial FAQ list; client to review and confirm/edit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Resources — FAQ</w:t>
            </w:r>
          </w:p>
        </w:tc>
      </w:tr>
      <w:tr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Upcoming Events</w:t>
            </w:r>
          </w:p>
        </w:tc>
        <w:tc>
          <w:tcPr>
            <w:tcW w:type="dxa" w:w="455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Any trade fairs, launches, or events to list</w:t>
            </w:r>
          </w:p>
        </w:tc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News &amp; Events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Career Page Email ID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Confirm the email address applications should go to (rest of career content is being reused as-is)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Career</w:t>
            </w:r>
          </w:p>
        </w:tc>
      </w:tr>
      <w:tr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Stats / Machine Advantages</w:t>
            </w:r>
          </w:p>
        </w:tc>
        <w:tc>
          <w:tcPr>
            <w:tcW w:type="dxa" w:w="455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What to highlight — key features or advantages to show as stat callouts</w:t>
            </w:r>
          </w:p>
        </w:tc>
        <w:tc>
          <w:tcPr>
            <w:tcW w:type="dxa" w:w="2400"/>
            <w:shd w:fill="F5F5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Home — stats section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Additional Office Locations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Address details for any other branch locations to add to the same Google Business Profile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262626"/>
                <w:sz w:val="19"/>
                <w:szCs w:val="19"/>
              </w:rPr>
              <w:t xml:space="preserve">Contact Us — map</w:t>
            </w:r>
          </w:p>
        </w:tc>
      </w:tr>
    </w:tbl>
    <w:p>
      <w:pPr>
        <w:spacing w:after="130"/>
      </w:pPr>
      <w:r>
        <w:rPr>
          <w:rFonts w:ascii="Inter" w:cs="Inter" w:eastAsia="Inter" w:hAnsi="Inter"/>
          <w:i/>
          <w:iCs/>
          <w:color w:val="6B7280"/>
          <w:sz w:val="20"/>
          <w:szCs w:val="20"/>
        </w:rPr>
        <w:t xml:space="preserve">Certifications: confirmed there are none currently — this item is removed from the requirements list.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340"/>
      </w:pPr>
      <w:r>
        <w:rPr>
          <w:rFonts w:ascii="Inter" w:cs="Inter" w:eastAsia="Inter" w:hAnsi="Inter"/>
          <w:b/>
          <w:bCs/>
          <w:color w:val="000000"/>
          <w:sz w:val="27"/>
          <w:szCs w:val="27"/>
        </w:rPr>
        <w:t xml:space="preserve">2. What We Can Start Building Now</w:t>
      </w:r>
    </w:p>
    <w:p>
      <w:pPr>
        <w:spacing w:after="13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The following work does not depend on the pending items above and can begin immediately.</w:t>
      </w:r>
    </w:p>
    <w:p>
      <w:pPr>
        <w:pStyle w:val="Heading2"/>
        <w:spacing w:after="120" w:before="22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Full layout build using the finalized design theme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3 of the 4 showcased products (Fiber Laser Cutting, CNC Press Brake, Fiber Laser Welding) using existing site photography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Panel Bender visual — AI-generated placeholder image until real photography arrives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Header, footer, navigation, and all static structural elements</w:t>
      </w:r>
    </w:p>
    <w:p>
      <w:pPr>
        <w:pStyle w:val="Heading2"/>
        <w:spacing w:after="120" w:before="22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About Us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Page structure and timeline layout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"Who We Are" / "What We Do" copy, reused and refined from the existing site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Existing About Us photos used as placeholders until team and factory photography arrive</w:t>
      </w:r>
    </w:p>
    <w:p>
      <w:pPr>
        <w:pStyle w:val="Heading2"/>
        <w:spacing w:after="120" w:before="22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Hub page and all 8 category page templates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All model page templates, built and ready to receive real specs/photos once supplied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Existing category-level photography used as interim placeholders for individual models within each category</w:t>
      </w:r>
    </w:p>
    <w:p>
      <w:pPr>
        <w:pStyle w:val="Heading2"/>
        <w:spacing w:after="120" w:before="22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Applications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Hub page and all 19 individual industry page templates, fully built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Icons handled in-house — no client dependency here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Only the real installation photos per industry remain pending</w:t>
      </w:r>
    </w:p>
    <w:p>
      <w:pPr>
        <w:pStyle w:val="Heading2"/>
        <w:spacing w:after="120" w:before="22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Gallery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Machine Gallery — populated now using existing product photography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Installation &amp; Site Photos section — structure ready, content pending from client</w:t>
      </w:r>
    </w:p>
    <w:p>
      <w:pPr>
        <w:pStyle w:val="Heading2"/>
        <w:spacing w:after="120" w:before="22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Clients &amp; Case Studies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Page layout ready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Content (logos, case studies, testimonials) blocked until client provides — this section will go live last</w:t>
      </w:r>
    </w:p>
    <w:p>
      <w:pPr>
        <w:pStyle w:val="Heading2"/>
        <w:spacing w:after="120" w:before="22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Blog and FAQ page structure ready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Draft FAQ list to be prepared by us for client review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First blog posts pending the 2 topics from client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Catalogue/spec-sheet library structure ready, to be populated as PDFs arrive</w:t>
      </w:r>
    </w:p>
    <w:p>
      <w:pPr>
        <w:pStyle w:val="Heading2"/>
        <w:spacing w:after="120" w:before="22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News &amp; Events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Page structure ready; entries pending client's list of events</w:t>
      </w:r>
    </w:p>
    <w:p>
      <w:pPr>
        <w:pStyle w:val="Heading2"/>
        <w:spacing w:after="120" w:before="22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Career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Can be finalized almost immediately — content is being reused as-is, pending only the application email confirmation</w:t>
      </w:r>
    </w:p>
    <w:p>
      <w:pPr>
        <w:pStyle w:val="Heading2"/>
        <w:spacing w:after="120" w:before="22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Contact Us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HQ and factory address, phone, and email already confirmed — primary contact block and map can be built now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Additional branch locations added once addresses are provided</w:t>
      </w:r>
    </w:p>
    <w:p>
      <w:pPr>
        <w:pStyle w:val="Heading2"/>
        <w:spacing w:after="120" w:before="220"/>
      </w:pPr>
      <w:r>
        <w:rPr>
          <w:rFonts w:ascii="Inter" w:cs="Inter" w:eastAsia="Inter" w:hAnsi="Inter"/>
          <w:b/>
          <w:bCs/>
          <w:color w:val="4F46E5"/>
          <w:sz w:val="22"/>
          <w:szCs w:val="22"/>
        </w:rPr>
        <w:t xml:space="preserve">Domain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Inter" w:cs="Inter" w:eastAsia="Inter" w:hAnsi="Inter"/>
          <w:color w:val="262626"/>
          <w:sz w:val="20"/>
          <w:szCs w:val="20"/>
        </w:rPr>
        <w:t xml:space="preserve">Not a content item — flagged separately as a go-live requirement. Domain access should be arranged early since registrar/DNS steps can take time independent of content readiness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2026-07-10T07:32:40.467Z</dcterms:created>
  <dcterms:modified xsi:type="dcterms:W3CDTF">2026-07-10T07:32:40.468Z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