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7DBDA" w14:textId="77777777" w:rsidR="002F2821" w:rsidRPr="002F2821" w:rsidRDefault="002F2821" w:rsidP="002F2821">
      <w:pPr>
        <w:rPr>
          <w:b/>
          <w:bCs/>
        </w:rPr>
      </w:pPr>
      <w:r w:rsidRPr="002F2821">
        <w:rPr>
          <w:b/>
          <w:bCs/>
        </w:rPr>
        <w:t>AUM &amp; Industry Growth Insights</w:t>
      </w:r>
    </w:p>
    <w:p w14:paraId="0889FEAF" w14:textId="77777777" w:rsidR="002F2821" w:rsidRPr="002F2821" w:rsidRDefault="002F2821" w:rsidP="002F2821">
      <w:pPr>
        <w:rPr>
          <w:b/>
          <w:bCs/>
        </w:rPr>
      </w:pPr>
      <w:r w:rsidRPr="002F2821">
        <w:rPr>
          <w:b/>
          <w:bCs/>
        </w:rPr>
        <w:t>Insight 1</w:t>
      </w:r>
    </w:p>
    <w:p w14:paraId="30FC33CD" w14:textId="77777777" w:rsidR="002F2821" w:rsidRPr="002F2821" w:rsidRDefault="002F2821" w:rsidP="002F2821">
      <w:r w:rsidRPr="002F2821">
        <w:t>The mutual fund industry has experienced consistent AUM growth over the analysis period, indicating increased investor confidence and expanding participation in financial markets.</w:t>
      </w:r>
    </w:p>
    <w:p w14:paraId="565C0A1A" w14:textId="77777777" w:rsidR="002F2821" w:rsidRPr="002F2821" w:rsidRDefault="002F2821" w:rsidP="002F2821">
      <w:pPr>
        <w:rPr>
          <w:b/>
          <w:bCs/>
        </w:rPr>
      </w:pPr>
      <w:r w:rsidRPr="002F2821">
        <w:rPr>
          <w:b/>
          <w:bCs/>
        </w:rPr>
        <w:t>Insight 2</w:t>
      </w:r>
    </w:p>
    <w:p w14:paraId="23FC5DFD" w14:textId="77777777" w:rsidR="002F2821" w:rsidRPr="002F2821" w:rsidRDefault="002F2821" w:rsidP="002F2821">
      <w:r w:rsidRPr="002F2821">
        <w:t>The top five AMCs collectively manage a significant share of the industry's total AUM, highlighting strong market concentration among leading fund houses.</w:t>
      </w:r>
    </w:p>
    <w:p w14:paraId="23AE84E2" w14:textId="77777777" w:rsidR="002F2821" w:rsidRPr="002F2821" w:rsidRDefault="002F2821" w:rsidP="002F2821">
      <w:pPr>
        <w:rPr>
          <w:b/>
          <w:bCs/>
        </w:rPr>
      </w:pPr>
      <w:r w:rsidRPr="002F2821">
        <w:rPr>
          <w:b/>
          <w:bCs/>
        </w:rPr>
        <w:t>Insight 3</w:t>
      </w:r>
    </w:p>
    <w:p w14:paraId="792CA0FF" w14:textId="77777777" w:rsidR="002F2821" w:rsidRPr="002F2821" w:rsidRDefault="002F2821" w:rsidP="002F2821">
      <w:r w:rsidRPr="002F2821">
        <w:t>Monthly AUM growth accelerated during periods of positive market performance, suggesting a correlation between investor sentiment and equity market trends.</w:t>
      </w:r>
    </w:p>
    <w:p w14:paraId="4029611B" w14:textId="77777777" w:rsidR="002F2821" w:rsidRPr="002F2821" w:rsidRDefault="002F2821" w:rsidP="002F2821">
      <w:pPr>
        <w:rPr>
          <w:b/>
          <w:bCs/>
        </w:rPr>
      </w:pPr>
      <w:r w:rsidRPr="002F2821">
        <w:rPr>
          <w:b/>
          <w:bCs/>
        </w:rPr>
        <w:t>Insight 4</w:t>
      </w:r>
    </w:p>
    <w:p w14:paraId="0E7F1610" w14:textId="77777777" w:rsidR="002F2821" w:rsidRDefault="002F2821" w:rsidP="002F2821">
      <w:r w:rsidRPr="002F2821">
        <w:t>Smaller AMCs showed steady asset growth, indicating increasing competition and diversification within the mutual fund industry.</w:t>
      </w:r>
    </w:p>
    <w:p w14:paraId="44AC93A5" w14:textId="77777777" w:rsidR="002F2821" w:rsidRPr="002F2821" w:rsidRDefault="002F2821" w:rsidP="002F2821"/>
    <w:p w14:paraId="4D099D31" w14:textId="77777777" w:rsidR="002F2821" w:rsidRPr="002F2821" w:rsidRDefault="002F2821" w:rsidP="002F2821">
      <w:pPr>
        <w:rPr>
          <w:b/>
          <w:bCs/>
        </w:rPr>
      </w:pPr>
      <w:r w:rsidRPr="002F2821">
        <w:rPr>
          <w:b/>
          <w:bCs/>
        </w:rPr>
        <w:t>SIP Insights</w:t>
      </w:r>
    </w:p>
    <w:p w14:paraId="04E04A61" w14:textId="0CDD5A01" w:rsidR="002F2821" w:rsidRPr="002F2821" w:rsidRDefault="002F2821" w:rsidP="002F2821">
      <w:pPr>
        <w:rPr>
          <w:b/>
          <w:bCs/>
        </w:rPr>
      </w:pPr>
      <w:r w:rsidRPr="002F2821">
        <w:rPr>
          <w:b/>
          <w:bCs/>
        </w:rPr>
        <w:t xml:space="preserve">Insight </w:t>
      </w:r>
      <w:r>
        <w:rPr>
          <w:b/>
          <w:bCs/>
        </w:rPr>
        <w:t>1</w:t>
      </w:r>
    </w:p>
    <w:p w14:paraId="2B921C18" w14:textId="77777777" w:rsidR="002F2821" w:rsidRPr="002F2821" w:rsidRDefault="002F2821" w:rsidP="002F2821">
      <w:r w:rsidRPr="002F2821">
        <w:t>SIP inflows demonstrated consistent year-over-year growth, reflecting investors' preference for disciplined and long-term wealth creation.</w:t>
      </w:r>
    </w:p>
    <w:p w14:paraId="1F4C88AE" w14:textId="029C0529" w:rsidR="002F2821" w:rsidRPr="002F2821" w:rsidRDefault="002F2821" w:rsidP="002F2821">
      <w:pPr>
        <w:rPr>
          <w:b/>
          <w:bCs/>
        </w:rPr>
      </w:pPr>
      <w:r w:rsidRPr="002F2821">
        <w:rPr>
          <w:b/>
          <w:bCs/>
        </w:rPr>
        <w:t xml:space="preserve">Insight </w:t>
      </w:r>
      <w:r>
        <w:rPr>
          <w:b/>
          <w:bCs/>
        </w:rPr>
        <w:t>2</w:t>
      </w:r>
    </w:p>
    <w:p w14:paraId="56244B62" w14:textId="77777777" w:rsidR="002F2821" w:rsidRPr="002F2821" w:rsidRDefault="002F2821" w:rsidP="002F2821">
      <w:r w:rsidRPr="002F2821">
        <w:t>Despite short-term market fluctuations, SIP contributions remained stable, indicating strong investor commitment to systematic investing.</w:t>
      </w:r>
    </w:p>
    <w:p w14:paraId="496CD614" w14:textId="3417B47B" w:rsidR="002F2821" w:rsidRPr="002F2821" w:rsidRDefault="002F2821" w:rsidP="002F2821">
      <w:pPr>
        <w:rPr>
          <w:b/>
          <w:bCs/>
        </w:rPr>
      </w:pPr>
      <w:r w:rsidRPr="002F2821">
        <w:rPr>
          <w:b/>
          <w:bCs/>
        </w:rPr>
        <w:t xml:space="preserve">Insight </w:t>
      </w:r>
      <w:r>
        <w:rPr>
          <w:b/>
          <w:bCs/>
        </w:rPr>
        <w:t>3</w:t>
      </w:r>
    </w:p>
    <w:p w14:paraId="6F5D912F" w14:textId="77777777" w:rsidR="002F2821" w:rsidRPr="002F2821" w:rsidRDefault="002F2821" w:rsidP="002F2821">
      <w:r w:rsidRPr="002F2821">
        <w:t>The highest monthly SIP inflow occurred during periods of favorable market conditions, suggesting increased investor confidence.</w:t>
      </w:r>
    </w:p>
    <w:p w14:paraId="7397A2B2" w14:textId="4ABD18B9" w:rsidR="002F2821" w:rsidRPr="002F2821" w:rsidRDefault="002F2821" w:rsidP="002F2821">
      <w:pPr>
        <w:rPr>
          <w:b/>
          <w:bCs/>
        </w:rPr>
      </w:pPr>
      <w:r w:rsidRPr="002F2821">
        <w:rPr>
          <w:b/>
          <w:bCs/>
        </w:rPr>
        <w:t xml:space="preserve">Insight </w:t>
      </w:r>
      <w:r>
        <w:rPr>
          <w:b/>
          <w:bCs/>
        </w:rPr>
        <w:t>4</w:t>
      </w:r>
    </w:p>
    <w:p w14:paraId="331DDE3F" w14:textId="1BE3E69D" w:rsidR="002F2821" w:rsidRPr="002F2821" w:rsidRDefault="002F2821" w:rsidP="002F2821">
      <w:r w:rsidRPr="002F2821">
        <w:t>Continuous growth in SIP inflows indicates that retail investors increasingly prefer automated investment strategies over one-time investments.</w:t>
      </w:r>
    </w:p>
    <w:p w14:paraId="6BC5670D" w14:textId="2E429E29" w:rsidR="002F2821" w:rsidRDefault="002F2821" w:rsidP="002F2821"/>
    <w:p w14:paraId="1A2A09AD" w14:textId="77777777" w:rsidR="002F2821" w:rsidRDefault="002F2821" w:rsidP="002F2821"/>
    <w:p w14:paraId="00B519BD" w14:textId="77777777" w:rsidR="002F2821" w:rsidRPr="002F2821" w:rsidRDefault="002F2821" w:rsidP="002F2821"/>
    <w:p w14:paraId="0F0F5C5B" w14:textId="77777777" w:rsidR="002F2821" w:rsidRPr="002F2821" w:rsidRDefault="002F2821" w:rsidP="002F2821">
      <w:pPr>
        <w:rPr>
          <w:b/>
          <w:bCs/>
        </w:rPr>
      </w:pPr>
      <w:r w:rsidRPr="002F2821">
        <w:rPr>
          <w:b/>
          <w:bCs/>
        </w:rPr>
        <w:lastRenderedPageBreak/>
        <w:t>Fund Performance Insights</w:t>
      </w:r>
    </w:p>
    <w:p w14:paraId="5B56C1A2" w14:textId="33181724" w:rsidR="002F2821" w:rsidRPr="002F2821" w:rsidRDefault="002F2821" w:rsidP="002F2821">
      <w:pPr>
        <w:rPr>
          <w:b/>
          <w:bCs/>
        </w:rPr>
      </w:pPr>
      <w:r w:rsidRPr="002F2821">
        <w:rPr>
          <w:b/>
          <w:bCs/>
        </w:rPr>
        <w:t xml:space="preserve">Insight </w:t>
      </w:r>
      <w:r>
        <w:rPr>
          <w:b/>
          <w:bCs/>
        </w:rPr>
        <w:t>1</w:t>
      </w:r>
    </w:p>
    <w:p w14:paraId="2A4F54FF" w14:textId="77777777" w:rsidR="002F2821" w:rsidRPr="002F2821" w:rsidRDefault="002F2821" w:rsidP="002F2821">
      <w:r w:rsidRPr="002F2821">
        <w:t>Equity-oriented mutual funds delivered higher long-term returns compared to debt-oriented schemes, although they exhibited greater volatility.</w:t>
      </w:r>
    </w:p>
    <w:p w14:paraId="407C78C1" w14:textId="0CA82D83" w:rsidR="002F2821" w:rsidRPr="002F2821" w:rsidRDefault="002F2821" w:rsidP="002F2821">
      <w:pPr>
        <w:rPr>
          <w:b/>
          <w:bCs/>
        </w:rPr>
      </w:pPr>
      <w:r w:rsidRPr="002F2821">
        <w:rPr>
          <w:b/>
          <w:bCs/>
        </w:rPr>
        <w:t xml:space="preserve">Insight </w:t>
      </w:r>
      <w:r>
        <w:rPr>
          <w:b/>
          <w:bCs/>
        </w:rPr>
        <w:t>2</w:t>
      </w:r>
    </w:p>
    <w:p w14:paraId="02314DD9" w14:textId="77777777" w:rsidR="002F2821" w:rsidRPr="002F2821" w:rsidRDefault="002F2821" w:rsidP="002F2821">
      <w:r w:rsidRPr="002F2821">
        <w:t>Funds with higher Sharpe Ratios consistently provided better risk-adjusted returns, making them attractive for long-term investors.</w:t>
      </w:r>
    </w:p>
    <w:p w14:paraId="3884271E" w14:textId="3826681A" w:rsidR="002F2821" w:rsidRPr="002F2821" w:rsidRDefault="002F2821" w:rsidP="002F2821">
      <w:pPr>
        <w:rPr>
          <w:b/>
          <w:bCs/>
        </w:rPr>
      </w:pPr>
      <w:r w:rsidRPr="002F2821">
        <w:rPr>
          <w:b/>
          <w:bCs/>
        </w:rPr>
        <w:t xml:space="preserve">Insight </w:t>
      </w:r>
      <w:r>
        <w:rPr>
          <w:b/>
          <w:bCs/>
        </w:rPr>
        <w:t>3</w:t>
      </w:r>
    </w:p>
    <w:p w14:paraId="40DD86F6" w14:textId="77777777" w:rsidR="002F2821" w:rsidRPr="002F2821" w:rsidRDefault="002F2821" w:rsidP="002F2821">
      <w:r w:rsidRPr="002F2821">
        <w:t>Several funds generated returns above the benchmark index, demonstrating effective portfolio management.</w:t>
      </w:r>
    </w:p>
    <w:p w14:paraId="0D8F6CC7" w14:textId="061079E4" w:rsidR="002F2821" w:rsidRPr="002F2821" w:rsidRDefault="002F2821" w:rsidP="002F2821">
      <w:pPr>
        <w:rPr>
          <w:b/>
          <w:bCs/>
        </w:rPr>
      </w:pPr>
      <w:r w:rsidRPr="002F2821">
        <w:rPr>
          <w:b/>
          <w:bCs/>
        </w:rPr>
        <w:t xml:space="preserve">Insight </w:t>
      </w:r>
      <w:r>
        <w:rPr>
          <w:b/>
          <w:bCs/>
        </w:rPr>
        <w:t>4</w:t>
      </w:r>
    </w:p>
    <w:p w14:paraId="524CC6DD" w14:textId="77777777" w:rsidR="002F2821" w:rsidRPr="002F2821" w:rsidRDefault="002F2821" w:rsidP="002F2821">
      <w:r w:rsidRPr="002F2821">
        <w:t>High-return funds generally carried higher levels of market risk, emphasizing the trade-off between return and volatility.</w:t>
      </w:r>
    </w:p>
    <w:p w14:paraId="24489E25" w14:textId="77777777" w:rsidR="002F2821" w:rsidRPr="002F2821" w:rsidRDefault="002F2821" w:rsidP="002F2821"/>
    <w:p w14:paraId="08CDF8A0" w14:textId="77777777" w:rsidR="002F2821" w:rsidRPr="002F2821" w:rsidRDefault="002F2821" w:rsidP="002F2821">
      <w:pPr>
        <w:rPr>
          <w:b/>
          <w:bCs/>
        </w:rPr>
      </w:pPr>
      <w:r w:rsidRPr="002F2821">
        <w:rPr>
          <w:b/>
          <w:bCs/>
        </w:rPr>
        <w:t>Risk Analysis Insights</w:t>
      </w:r>
    </w:p>
    <w:p w14:paraId="60C7CA05" w14:textId="273A9D28" w:rsidR="002F2821" w:rsidRPr="002F2821" w:rsidRDefault="002F2821" w:rsidP="002F2821">
      <w:pPr>
        <w:rPr>
          <w:b/>
          <w:bCs/>
        </w:rPr>
      </w:pPr>
      <w:r w:rsidRPr="002F2821">
        <w:rPr>
          <w:b/>
          <w:bCs/>
        </w:rPr>
        <w:t>Insight 1</w:t>
      </w:r>
    </w:p>
    <w:p w14:paraId="6B9E0EFC" w14:textId="77777777" w:rsidR="002F2821" w:rsidRPr="002F2821" w:rsidRDefault="002F2821" w:rsidP="002F2821">
      <w:r w:rsidRPr="002F2821">
        <w:t>Most high-performing funds belong to the high-risk category, indicating that investors seeking superior returns must be prepared for increased volatility.</w:t>
      </w:r>
    </w:p>
    <w:p w14:paraId="29B1CC57" w14:textId="060C17D7" w:rsidR="002F2821" w:rsidRPr="002F2821" w:rsidRDefault="002F2821" w:rsidP="002F2821">
      <w:pPr>
        <w:rPr>
          <w:b/>
          <w:bCs/>
        </w:rPr>
      </w:pPr>
      <w:r w:rsidRPr="002F2821">
        <w:rPr>
          <w:b/>
          <w:bCs/>
        </w:rPr>
        <w:t xml:space="preserve">Insight </w:t>
      </w:r>
      <w:r>
        <w:rPr>
          <w:b/>
          <w:bCs/>
        </w:rPr>
        <w:t>2</w:t>
      </w:r>
    </w:p>
    <w:p w14:paraId="24F8E393" w14:textId="77777777" w:rsidR="002F2821" w:rsidRPr="002F2821" w:rsidRDefault="002F2821" w:rsidP="002F2821">
      <w:r w:rsidRPr="002F2821">
        <w:t>Moderate-risk funds delivered competitive returns while maintaining more stable performance during market fluctuations.</w:t>
      </w:r>
    </w:p>
    <w:p w14:paraId="7B3F3A31" w14:textId="17DB5397" w:rsidR="002F2821" w:rsidRPr="002F2821" w:rsidRDefault="002F2821" w:rsidP="002F2821">
      <w:pPr>
        <w:rPr>
          <w:b/>
          <w:bCs/>
        </w:rPr>
      </w:pPr>
      <w:r w:rsidRPr="002F2821">
        <w:rPr>
          <w:b/>
          <w:bCs/>
        </w:rPr>
        <w:t xml:space="preserve">Insight </w:t>
      </w:r>
      <w:r>
        <w:rPr>
          <w:b/>
          <w:bCs/>
        </w:rPr>
        <w:t>3</w:t>
      </w:r>
    </w:p>
    <w:p w14:paraId="2EACBD79" w14:textId="06E6CD9B" w:rsidR="002F2821" w:rsidRPr="002F2821" w:rsidRDefault="002F2821" w:rsidP="002F2821">
      <w:r w:rsidRPr="002F2821">
        <w:t>Diversification across fund categories reduced overall investment risk while maintaining consistent returns.</w:t>
      </w:r>
    </w:p>
    <w:p w14:paraId="3B218ECA" w14:textId="77777777" w:rsidR="002F2821" w:rsidRDefault="002F2821" w:rsidP="002F2821">
      <w:pPr>
        <w:rPr>
          <w:b/>
          <w:bCs/>
        </w:rPr>
      </w:pPr>
    </w:p>
    <w:p w14:paraId="33EDA360" w14:textId="21725B34" w:rsidR="002F2821" w:rsidRPr="002F2821" w:rsidRDefault="002F2821" w:rsidP="002F2821">
      <w:pPr>
        <w:rPr>
          <w:b/>
          <w:bCs/>
        </w:rPr>
      </w:pPr>
      <w:r w:rsidRPr="002F2821">
        <w:rPr>
          <w:b/>
          <w:bCs/>
        </w:rPr>
        <w:t>Investor Behavior Insights</w:t>
      </w:r>
    </w:p>
    <w:p w14:paraId="3EA15A3D" w14:textId="5F6A6249" w:rsidR="002F2821" w:rsidRPr="002F2821" w:rsidRDefault="002F2821" w:rsidP="002F2821">
      <w:pPr>
        <w:rPr>
          <w:b/>
          <w:bCs/>
        </w:rPr>
      </w:pPr>
      <w:r w:rsidRPr="002F2821">
        <w:rPr>
          <w:b/>
          <w:bCs/>
        </w:rPr>
        <w:t>Insight 1</w:t>
      </w:r>
    </w:p>
    <w:p w14:paraId="4F0FB11F" w14:textId="77777777" w:rsidR="002F2821" w:rsidRPr="002F2821" w:rsidRDefault="002F2821" w:rsidP="002F2821">
      <w:r w:rsidRPr="002F2821">
        <w:t>Working professionals contributed the highest share of investments, indicating greater participation from individuals in their prime earning years.</w:t>
      </w:r>
    </w:p>
    <w:p w14:paraId="43FF0AB3" w14:textId="77777777" w:rsidR="002F2821" w:rsidRDefault="002F2821" w:rsidP="002F2821">
      <w:pPr>
        <w:rPr>
          <w:b/>
          <w:bCs/>
        </w:rPr>
      </w:pPr>
    </w:p>
    <w:p w14:paraId="280ADFBC" w14:textId="5D7A9DA7" w:rsidR="002F2821" w:rsidRPr="002F2821" w:rsidRDefault="002F2821" w:rsidP="002F2821">
      <w:pPr>
        <w:rPr>
          <w:b/>
          <w:bCs/>
        </w:rPr>
      </w:pPr>
      <w:r w:rsidRPr="002F2821">
        <w:rPr>
          <w:b/>
          <w:bCs/>
        </w:rPr>
        <w:lastRenderedPageBreak/>
        <w:t xml:space="preserve">Insight </w:t>
      </w:r>
      <w:r>
        <w:rPr>
          <w:b/>
          <w:bCs/>
        </w:rPr>
        <w:t>2</w:t>
      </w:r>
    </w:p>
    <w:p w14:paraId="4435F13C" w14:textId="77777777" w:rsidR="002F2821" w:rsidRPr="002F2821" w:rsidRDefault="002F2821" w:rsidP="002F2821">
      <w:r w:rsidRPr="002F2821">
        <w:t>Younger investors showed stronger preference for SIP investments, suggesting increased awareness of long-term financial planning.</w:t>
      </w:r>
    </w:p>
    <w:p w14:paraId="64745EA4" w14:textId="13CA24F8" w:rsidR="002F2821" w:rsidRPr="002F2821" w:rsidRDefault="002F2821" w:rsidP="002F2821">
      <w:pPr>
        <w:rPr>
          <w:b/>
          <w:bCs/>
        </w:rPr>
      </w:pPr>
      <w:r w:rsidRPr="002F2821">
        <w:rPr>
          <w:b/>
          <w:bCs/>
        </w:rPr>
        <w:t xml:space="preserve">Insight </w:t>
      </w:r>
      <w:r>
        <w:rPr>
          <w:b/>
          <w:bCs/>
        </w:rPr>
        <w:t>3</w:t>
      </w:r>
    </w:p>
    <w:p w14:paraId="5F5F9D3B" w14:textId="77777777" w:rsidR="002F2821" w:rsidRPr="002F2821" w:rsidRDefault="002F2821" w:rsidP="002F2821">
      <w:r w:rsidRPr="002F2821">
        <w:t>Older investors displayed relatively higher participation in debt-oriented investment products.</w:t>
      </w:r>
    </w:p>
    <w:p w14:paraId="721FD099" w14:textId="549D368D" w:rsidR="002F2821" w:rsidRPr="002F2821" w:rsidRDefault="002F2821" w:rsidP="002F2821">
      <w:pPr>
        <w:rPr>
          <w:b/>
          <w:bCs/>
        </w:rPr>
      </w:pPr>
      <w:r w:rsidRPr="002F2821">
        <w:rPr>
          <w:b/>
          <w:bCs/>
        </w:rPr>
        <w:t xml:space="preserve">Insight </w:t>
      </w:r>
      <w:r>
        <w:rPr>
          <w:b/>
          <w:bCs/>
        </w:rPr>
        <w:t>4</w:t>
      </w:r>
    </w:p>
    <w:p w14:paraId="49927A90" w14:textId="77777777" w:rsidR="002F2821" w:rsidRPr="002F2821" w:rsidRDefault="002F2821" w:rsidP="002F2821">
      <w:r w:rsidRPr="002F2821">
        <w:t>The majority of investors preferred systematic investment plans over lump-sum investments, reflecting a disciplined investment approach.</w:t>
      </w:r>
    </w:p>
    <w:p w14:paraId="0D8406B4" w14:textId="77777777" w:rsidR="002F2821" w:rsidRPr="002F2821" w:rsidRDefault="002F2821" w:rsidP="002F2821"/>
    <w:p w14:paraId="00D9EB65" w14:textId="77777777" w:rsidR="002F2821" w:rsidRPr="002F2821" w:rsidRDefault="002F2821" w:rsidP="002F2821">
      <w:pPr>
        <w:rPr>
          <w:b/>
          <w:bCs/>
        </w:rPr>
      </w:pPr>
      <w:r w:rsidRPr="002F2821">
        <w:rPr>
          <w:b/>
          <w:bCs/>
        </w:rPr>
        <w:t>Geographic Insights</w:t>
      </w:r>
    </w:p>
    <w:p w14:paraId="43283FCF" w14:textId="43840550" w:rsidR="002F2821" w:rsidRPr="002F2821" w:rsidRDefault="002F2821" w:rsidP="002F2821">
      <w:pPr>
        <w:rPr>
          <w:b/>
          <w:bCs/>
        </w:rPr>
      </w:pPr>
      <w:r w:rsidRPr="002F2821">
        <w:rPr>
          <w:b/>
          <w:bCs/>
        </w:rPr>
        <w:t xml:space="preserve">Insight </w:t>
      </w:r>
      <w:r>
        <w:rPr>
          <w:b/>
          <w:bCs/>
        </w:rPr>
        <w:t>1</w:t>
      </w:r>
    </w:p>
    <w:p w14:paraId="7A24B1ED" w14:textId="77777777" w:rsidR="002F2821" w:rsidRPr="002F2821" w:rsidRDefault="002F2821" w:rsidP="002F2821">
      <w:r w:rsidRPr="002F2821">
        <w:t>Metropolitan states contributed the largest investment volumes, reflecting higher financial literacy and investment awareness.</w:t>
      </w:r>
    </w:p>
    <w:p w14:paraId="6CCAD292" w14:textId="33DD4BB5" w:rsidR="002F2821" w:rsidRPr="002F2821" w:rsidRDefault="002F2821" w:rsidP="002F2821">
      <w:pPr>
        <w:rPr>
          <w:b/>
          <w:bCs/>
        </w:rPr>
      </w:pPr>
      <w:r w:rsidRPr="002F2821">
        <w:rPr>
          <w:b/>
          <w:bCs/>
        </w:rPr>
        <w:t xml:space="preserve">Insight </w:t>
      </w:r>
      <w:r>
        <w:rPr>
          <w:b/>
          <w:bCs/>
        </w:rPr>
        <w:t>2</w:t>
      </w:r>
    </w:p>
    <w:p w14:paraId="3BFD2672" w14:textId="77777777" w:rsidR="002F2821" w:rsidRPr="002F2821" w:rsidRDefault="002F2821" w:rsidP="002F2821">
      <w:r w:rsidRPr="002F2821">
        <w:t>Tier-1 cities accounted for a significant proportion of total investments, while smaller cities demonstrated steady growth in participation.</w:t>
      </w:r>
    </w:p>
    <w:p w14:paraId="79B8C38B" w14:textId="4BAE3705" w:rsidR="002F2821" w:rsidRPr="002F2821" w:rsidRDefault="002F2821" w:rsidP="002F2821">
      <w:pPr>
        <w:rPr>
          <w:b/>
          <w:bCs/>
        </w:rPr>
      </w:pPr>
      <w:r w:rsidRPr="002F2821">
        <w:rPr>
          <w:b/>
          <w:bCs/>
        </w:rPr>
        <w:t>Insight 3</w:t>
      </w:r>
    </w:p>
    <w:p w14:paraId="4032AD6C" w14:textId="77777777" w:rsidR="002F2821" w:rsidRPr="002F2821" w:rsidRDefault="002F2821" w:rsidP="002F2821">
      <w:r w:rsidRPr="002F2821">
        <w:t>Emerging cities present substantial opportunities for expanding mutual fund penetration.</w:t>
      </w:r>
    </w:p>
    <w:p w14:paraId="7333E0DF" w14:textId="7581939A" w:rsidR="002F2821" w:rsidRPr="002F2821" w:rsidRDefault="002F2821" w:rsidP="002F2821">
      <w:pPr>
        <w:rPr>
          <w:b/>
          <w:bCs/>
        </w:rPr>
      </w:pPr>
      <w:r w:rsidRPr="002F2821">
        <w:rPr>
          <w:b/>
          <w:bCs/>
        </w:rPr>
        <w:t>Insight 4</w:t>
      </w:r>
    </w:p>
    <w:p w14:paraId="2846C6A5" w14:textId="77777777" w:rsidR="002F2821" w:rsidRPr="002F2821" w:rsidRDefault="002F2821" w:rsidP="002F2821">
      <w:r w:rsidRPr="002F2821">
        <w:t>Investment concentration in economically developed regions indicates potential for targeted expansion into underrepresented markets.</w:t>
      </w:r>
    </w:p>
    <w:p w14:paraId="3E3F76B1" w14:textId="07088484" w:rsidR="002F2821" w:rsidRPr="002F2821" w:rsidRDefault="002F2821" w:rsidP="002F2821"/>
    <w:p w14:paraId="23B93A78" w14:textId="77777777" w:rsidR="002F2821" w:rsidRPr="002F2821" w:rsidRDefault="002F2821" w:rsidP="002F2821">
      <w:pPr>
        <w:rPr>
          <w:b/>
          <w:bCs/>
        </w:rPr>
      </w:pPr>
      <w:r w:rsidRPr="002F2821">
        <w:rPr>
          <w:b/>
          <w:bCs/>
        </w:rPr>
        <w:t>Transaction Insights</w:t>
      </w:r>
    </w:p>
    <w:p w14:paraId="1404E317" w14:textId="7E227CD6" w:rsidR="002F2821" w:rsidRPr="002F2821" w:rsidRDefault="002F2821" w:rsidP="002F2821">
      <w:pPr>
        <w:rPr>
          <w:b/>
          <w:bCs/>
        </w:rPr>
      </w:pPr>
      <w:r w:rsidRPr="002F2821">
        <w:rPr>
          <w:b/>
          <w:bCs/>
        </w:rPr>
        <w:t xml:space="preserve">Insight </w:t>
      </w:r>
      <w:r>
        <w:rPr>
          <w:b/>
          <w:bCs/>
        </w:rPr>
        <w:t>1</w:t>
      </w:r>
    </w:p>
    <w:p w14:paraId="1A88A680" w14:textId="77777777" w:rsidR="002F2821" w:rsidRPr="002F2821" w:rsidRDefault="002F2821" w:rsidP="002F2821">
      <w:r w:rsidRPr="002F2821">
        <w:t>SIP transactions represented the largest share of total transactions, demonstrating investors' preference for regular investment plans.</w:t>
      </w:r>
    </w:p>
    <w:p w14:paraId="0768385F" w14:textId="0C1C0B97" w:rsidR="002F2821" w:rsidRPr="002F2821" w:rsidRDefault="002F2821" w:rsidP="002F2821">
      <w:pPr>
        <w:rPr>
          <w:b/>
          <w:bCs/>
        </w:rPr>
      </w:pPr>
      <w:r w:rsidRPr="002F2821">
        <w:rPr>
          <w:b/>
          <w:bCs/>
        </w:rPr>
        <w:t>Insight 2</w:t>
      </w:r>
    </w:p>
    <w:p w14:paraId="44474D02" w14:textId="77777777" w:rsidR="002F2821" w:rsidRPr="002F2821" w:rsidRDefault="002F2821" w:rsidP="002F2821">
      <w:r w:rsidRPr="002F2821">
        <w:t>Redemption activity increased during periods of market uncertainty, indicating cautious investor behavior.</w:t>
      </w:r>
    </w:p>
    <w:p w14:paraId="7E621DEA" w14:textId="5F9134D9" w:rsidR="002F2821" w:rsidRPr="002F2821" w:rsidRDefault="002F2821" w:rsidP="002F2821">
      <w:pPr>
        <w:rPr>
          <w:b/>
          <w:bCs/>
        </w:rPr>
      </w:pPr>
      <w:r w:rsidRPr="002F2821">
        <w:rPr>
          <w:b/>
          <w:bCs/>
        </w:rPr>
        <w:lastRenderedPageBreak/>
        <w:t xml:space="preserve">Insight </w:t>
      </w:r>
      <w:r>
        <w:rPr>
          <w:b/>
          <w:bCs/>
        </w:rPr>
        <w:t>3</w:t>
      </w:r>
    </w:p>
    <w:p w14:paraId="15229232" w14:textId="4518F36E" w:rsidR="002F2821" w:rsidRPr="002F2821" w:rsidRDefault="002F2821" w:rsidP="002F2821">
      <w:r w:rsidRPr="002F2821">
        <w:t>Lump-sum investments were more common during bullish market conditions.</w:t>
      </w:r>
    </w:p>
    <w:p w14:paraId="6A4F4920" w14:textId="0DDBB38B" w:rsidR="002F2821" w:rsidRPr="002F2821" w:rsidRDefault="002F2821" w:rsidP="002F2821"/>
    <w:p w14:paraId="7EB53CF8" w14:textId="77777777" w:rsidR="002F2821" w:rsidRPr="002F2821" w:rsidRDefault="002F2821" w:rsidP="002F2821">
      <w:pPr>
        <w:rPr>
          <w:b/>
          <w:bCs/>
        </w:rPr>
      </w:pPr>
      <w:r w:rsidRPr="002F2821">
        <w:rPr>
          <w:b/>
          <w:bCs/>
        </w:rPr>
        <w:t>Category Insights</w:t>
      </w:r>
    </w:p>
    <w:p w14:paraId="09F0E8F6" w14:textId="141BE098" w:rsidR="002F2821" w:rsidRPr="002F2821" w:rsidRDefault="002F2821" w:rsidP="002F2821">
      <w:pPr>
        <w:rPr>
          <w:b/>
          <w:bCs/>
        </w:rPr>
      </w:pPr>
      <w:r w:rsidRPr="002F2821">
        <w:rPr>
          <w:b/>
          <w:bCs/>
        </w:rPr>
        <w:t xml:space="preserve">Insight </w:t>
      </w:r>
      <w:r>
        <w:rPr>
          <w:b/>
          <w:bCs/>
        </w:rPr>
        <w:t>1</w:t>
      </w:r>
    </w:p>
    <w:p w14:paraId="7A25EA5F" w14:textId="77777777" w:rsidR="002F2821" w:rsidRPr="002F2821" w:rsidRDefault="002F2821" w:rsidP="002F2821">
      <w:r w:rsidRPr="002F2821">
        <w:t>Equity fund categories attracted the highest net inflows, reflecting investor optimism toward long-term capital appreciation.</w:t>
      </w:r>
    </w:p>
    <w:p w14:paraId="1B9D49E2" w14:textId="0C83EB7B" w:rsidR="002F2821" w:rsidRPr="002F2821" w:rsidRDefault="002F2821" w:rsidP="002F2821">
      <w:pPr>
        <w:rPr>
          <w:b/>
          <w:bCs/>
        </w:rPr>
      </w:pPr>
      <w:r w:rsidRPr="002F2821">
        <w:rPr>
          <w:b/>
          <w:bCs/>
        </w:rPr>
        <w:t>Insight 2</w:t>
      </w:r>
    </w:p>
    <w:p w14:paraId="7C2810E1" w14:textId="77777777" w:rsidR="002F2821" w:rsidRPr="002F2821" w:rsidRDefault="002F2821" w:rsidP="002F2821">
      <w:r w:rsidRPr="002F2821">
        <w:t>Hybrid fund categories experienced steady inflows due to their balanced risk-return characteristics.</w:t>
      </w:r>
    </w:p>
    <w:p w14:paraId="281C8745" w14:textId="3BED935E" w:rsidR="002F2821" w:rsidRPr="002F2821" w:rsidRDefault="002F2821" w:rsidP="002F2821">
      <w:pPr>
        <w:rPr>
          <w:b/>
          <w:bCs/>
        </w:rPr>
      </w:pPr>
      <w:r w:rsidRPr="002F2821">
        <w:rPr>
          <w:b/>
          <w:bCs/>
        </w:rPr>
        <w:t>Insight 3</w:t>
      </w:r>
    </w:p>
    <w:p w14:paraId="697E1B89" w14:textId="77777777" w:rsidR="002F2821" w:rsidRPr="002F2821" w:rsidRDefault="002F2821" w:rsidP="002F2821">
      <w:r w:rsidRPr="002F2821">
        <w:t>Debt fund inflows remained relatively stable, highlighting their role in conservative investment portfolios.</w:t>
      </w:r>
    </w:p>
    <w:p w14:paraId="25F33CD3" w14:textId="243B5424" w:rsidR="002F2821" w:rsidRPr="002F2821" w:rsidRDefault="002F2821" w:rsidP="002F2821"/>
    <w:p w14:paraId="7F712D43" w14:textId="77777777" w:rsidR="002F2821" w:rsidRPr="002F2821" w:rsidRDefault="002F2821" w:rsidP="002F2821">
      <w:pPr>
        <w:rPr>
          <w:b/>
          <w:bCs/>
        </w:rPr>
      </w:pPr>
      <w:r w:rsidRPr="002F2821">
        <w:rPr>
          <w:b/>
          <w:bCs/>
        </w:rPr>
        <w:t>Benchmark Insights</w:t>
      </w:r>
    </w:p>
    <w:p w14:paraId="33E24F8A" w14:textId="1317BE80" w:rsidR="002F2821" w:rsidRPr="002F2821" w:rsidRDefault="002F2821" w:rsidP="002F2821">
      <w:pPr>
        <w:rPr>
          <w:b/>
          <w:bCs/>
        </w:rPr>
      </w:pPr>
      <w:r w:rsidRPr="002F2821">
        <w:rPr>
          <w:b/>
          <w:bCs/>
        </w:rPr>
        <w:t>Insight 1</w:t>
      </w:r>
    </w:p>
    <w:p w14:paraId="0C121FB4" w14:textId="77777777" w:rsidR="002F2821" w:rsidRPr="002F2821" w:rsidRDefault="002F2821" w:rsidP="002F2821">
      <w:r w:rsidRPr="002F2821">
        <w:t>Several top-performing schemes consistently outperformed the benchmark index over the analysis period.</w:t>
      </w:r>
    </w:p>
    <w:p w14:paraId="2E56E334" w14:textId="10F3EAAD" w:rsidR="002F2821" w:rsidRPr="002F2821" w:rsidRDefault="002F2821" w:rsidP="002F2821">
      <w:pPr>
        <w:rPr>
          <w:b/>
          <w:bCs/>
        </w:rPr>
      </w:pPr>
      <w:r w:rsidRPr="002F2821">
        <w:rPr>
          <w:b/>
          <w:bCs/>
        </w:rPr>
        <w:t>Insight 2</w:t>
      </w:r>
    </w:p>
    <w:p w14:paraId="56571F2D" w14:textId="77777777" w:rsidR="002F2821" w:rsidRPr="002F2821" w:rsidRDefault="002F2821" w:rsidP="002F2821">
      <w:r w:rsidRPr="002F2821">
        <w:t>Benchmark fluctuations influenced short-term fund performance, while long-term trends remained positive.</w:t>
      </w:r>
    </w:p>
    <w:p w14:paraId="6753E0A8" w14:textId="787EAED5" w:rsidR="002F2821" w:rsidRPr="002F2821" w:rsidRDefault="002F2821" w:rsidP="002F2821"/>
    <w:p w14:paraId="17DE68AC" w14:textId="77777777" w:rsidR="002F2821" w:rsidRPr="002F2821" w:rsidRDefault="002F2821" w:rsidP="002F2821">
      <w:pPr>
        <w:rPr>
          <w:b/>
          <w:bCs/>
        </w:rPr>
      </w:pPr>
      <w:r w:rsidRPr="002F2821">
        <w:rPr>
          <w:b/>
          <w:bCs/>
        </w:rPr>
        <w:t>Business Recommendation Insights</w:t>
      </w:r>
    </w:p>
    <w:p w14:paraId="4A624794" w14:textId="74AB70F3" w:rsidR="002F2821" w:rsidRPr="002F2821" w:rsidRDefault="002F2821" w:rsidP="002F2821">
      <w:pPr>
        <w:rPr>
          <w:b/>
          <w:bCs/>
        </w:rPr>
      </w:pPr>
      <w:r w:rsidRPr="002F2821">
        <w:rPr>
          <w:b/>
          <w:bCs/>
        </w:rPr>
        <w:t xml:space="preserve">Insight </w:t>
      </w:r>
      <w:r>
        <w:rPr>
          <w:b/>
          <w:bCs/>
        </w:rPr>
        <w:t>1</w:t>
      </w:r>
    </w:p>
    <w:p w14:paraId="3760E257" w14:textId="77777777" w:rsidR="002F2821" w:rsidRPr="002F2821" w:rsidRDefault="002F2821" w:rsidP="002F2821">
      <w:r w:rsidRPr="002F2821">
        <w:t>Asset Management Companies should strengthen their digital SIP campaigns, as systematic investments continue to drive industry growth.</w:t>
      </w:r>
    </w:p>
    <w:p w14:paraId="1AD7FAD3" w14:textId="76A1C17D" w:rsidR="002F2821" w:rsidRPr="002F2821" w:rsidRDefault="002F2821" w:rsidP="002F2821">
      <w:pPr>
        <w:rPr>
          <w:b/>
          <w:bCs/>
        </w:rPr>
      </w:pPr>
      <w:r w:rsidRPr="002F2821">
        <w:rPr>
          <w:b/>
          <w:bCs/>
        </w:rPr>
        <w:t xml:space="preserve">Insight </w:t>
      </w:r>
      <w:r>
        <w:rPr>
          <w:b/>
          <w:bCs/>
        </w:rPr>
        <w:t>2</w:t>
      </w:r>
    </w:p>
    <w:p w14:paraId="6ABE349C" w14:textId="77777777" w:rsidR="002F2821" w:rsidRDefault="002F2821" w:rsidP="002F2821">
      <w:r w:rsidRPr="002F2821">
        <w:t>Increasing investor education in underpenetrated regions could significantly expand the mutual fund investor base.</w:t>
      </w:r>
    </w:p>
    <w:p w14:paraId="10FC4247" w14:textId="77777777" w:rsidR="002F2821" w:rsidRPr="002F2821" w:rsidRDefault="002F2821" w:rsidP="002F2821"/>
    <w:p w14:paraId="1DF53B36" w14:textId="3688CBA7" w:rsidR="002F2821" w:rsidRPr="002F2821" w:rsidRDefault="002F2821" w:rsidP="002F2821">
      <w:pPr>
        <w:rPr>
          <w:b/>
          <w:bCs/>
        </w:rPr>
      </w:pPr>
      <w:r w:rsidRPr="002F2821">
        <w:rPr>
          <w:b/>
          <w:bCs/>
        </w:rPr>
        <w:lastRenderedPageBreak/>
        <w:t>Insight 3</w:t>
      </w:r>
    </w:p>
    <w:p w14:paraId="63ED47BA" w14:textId="77777777" w:rsidR="002F2821" w:rsidRPr="002F2821" w:rsidRDefault="002F2821" w:rsidP="002F2821">
      <w:r w:rsidRPr="002F2821">
        <w:t>Promoting diversified investment portfolios may improve long-term investor retention and reduce portfolio risk.</w:t>
      </w:r>
    </w:p>
    <w:p w14:paraId="20E5A4DB" w14:textId="5775BF5E" w:rsidR="002F2821" w:rsidRPr="002F2821" w:rsidRDefault="002F2821" w:rsidP="002F2821">
      <w:pPr>
        <w:rPr>
          <w:b/>
          <w:bCs/>
        </w:rPr>
      </w:pPr>
      <w:r w:rsidRPr="002F2821">
        <w:rPr>
          <w:b/>
          <w:bCs/>
        </w:rPr>
        <w:t xml:space="preserve">Insight </w:t>
      </w:r>
      <w:r>
        <w:rPr>
          <w:b/>
          <w:bCs/>
        </w:rPr>
        <w:t>4</w:t>
      </w:r>
    </w:p>
    <w:p w14:paraId="24F229D2" w14:textId="77777777" w:rsidR="002F2821" w:rsidRPr="002F2821" w:rsidRDefault="002F2821" w:rsidP="002F2821">
      <w:r w:rsidRPr="002F2821">
        <w:t>Personalized investment recommendations based on age, risk appetite, and investment objectives can improve customer engagement and satisfaction.</w:t>
      </w:r>
    </w:p>
    <w:p w14:paraId="793B22F8" w14:textId="38876AAC" w:rsidR="002F2821" w:rsidRPr="002F2821" w:rsidRDefault="002F2821" w:rsidP="002F2821"/>
    <w:p w14:paraId="6CB98172" w14:textId="77777777" w:rsidR="002F2821" w:rsidRPr="002F2821" w:rsidRDefault="002F2821" w:rsidP="002F2821">
      <w:pPr>
        <w:rPr>
          <w:b/>
          <w:bCs/>
        </w:rPr>
      </w:pPr>
      <w:r w:rsidRPr="002F2821">
        <w:rPr>
          <w:b/>
          <w:bCs/>
        </w:rPr>
        <w:t>Interview-Level Insights</w:t>
      </w:r>
    </w:p>
    <w:p w14:paraId="23A7EE46" w14:textId="3E3CEEB0" w:rsidR="002F2821" w:rsidRPr="002F2821" w:rsidRDefault="002F2821" w:rsidP="002F2821">
      <w:pPr>
        <w:rPr>
          <w:b/>
          <w:bCs/>
        </w:rPr>
      </w:pPr>
      <w:r w:rsidRPr="002F2821">
        <w:rPr>
          <w:b/>
          <w:bCs/>
        </w:rPr>
        <w:t xml:space="preserve">Insight </w:t>
      </w:r>
      <w:r>
        <w:rPr>
          <w:b/>
          <w:bCs/>
        </w:rPr>
        <w:t>1</w:t>
      </w:r>
    </w:p>
    <w:p w14:paraId="7C6CB0A5" w14:textId="77777777" w:rsidR="002F2821" w:rsidRPr="002F2821" w:rsidRDefault="002F2821" w:rsidP="002F2821">
      <w:r w:rsidRPr="002F2821">
        <w:t>The dashboard indicates that long-term investing through SIPs remains the dominant strategy, reinforcing the importance of disciplined investing regardless of short-term market volatility.</w:t>
      </w:r>
    </w:p>
    <w:p w14:paraId="70C19323" w14:textId="54657C58" w:rsidR="002F2821" w:rsidRPr="002F2821" w:rsidRDefault="002F2821" w:rsidP="002F2821">
      <w:pPr>
        <w:rPr>
          <w:b/>
          <w:bCs/>
        </w:rPr>
      </w:pPr>
      <w:r w:rsidRPr="002F2821">
        <w:rPr>
          <w:b/>
          <w:bCs/>
        </w:rPr>
        <w:t xml:space="preserve">Insight </w:t>
      </w:r>
      <w:r>
        <w:rPr>
          <w:b/>
          <w:bCs/>
        </w:rPr>
        <w:t>2</w:t>
      </w:r>
    </w:p>
    <w:p w14:paraId="4D36A6D1" w14:textId="77777777" w:rsidR="002F2821" w:rsidRPr="002F2821" w:rsidRDefault="002F2821" w:rsidP="002F2821">
      <w:r w:rsidRPr="002F2821">
        <w:t>Analysis of risk-adjusted performance suggests that selecting funds solely based on returns may not always lead to the most efficient investment decisions.</w:t>
      </w:r>
    </w:p>
    <w:p w14:paraId="44AA7891" w14:textId="54601FFF" w:rsidR="002F2821" w:rsidRPr="002F2821" w:rsidRDefault="002F2821" w:rsidP="002F2821">
      <w:pPr>
        <w:rPr>
          <w:b/>
          <w:bCs/>
        </w:rPr>
      </w:pPr>
      <w:r w:rsidRPr="002F2821">
        <w:rPr>
          <w:b/>
          <w:bCs/>
        </w:rPr>
        <w:t>Insight 3</w:t>
      </w:r>
    </w:p>
    <w:p w14:paraId="5AE027F1" w14:textId="77777777" w:rsidR="002F2821" w:rsidRPr="002F2821" w:rsidRDefault="002F2821" w:rsidP="002F2821">
      <w:r w:rsidRPr="002F2821">
        <w:t>Geographic analysis reveals untapped market opportunities in emerging cities, where increasing financial awareness could drive future industry growth.</w:t>
      </w:r>
    </w:p>
    <w:p w14:paraId="64693D83" w14:textId="06B86649" w:rsidR="002F2821" w:rsidRPr="002F2821" w:rsidRDefault="002F2821" w:rsidP="002F2821">
      <w:pPr>
        <w:rPr>
          <w:b/>
          <w:bCs/>
        </w:rPr>
      </w:pPr>
      <w:r w:rsidRPr="002F2821">
        <w:rPr>
          <w:b/>
          <w:bCs/>
        </w:rPr>
        <w:t>Insight 4</w:t>
      </w:r>
    </w:p>
    <w:p w14:paraId="3469B92F" w14:textId="77777777" w:rsidR="002F2821" w:rsidRPr="002F2821" w:rsidRDefault="002F2821" w:rsidP="002F2821">
      <w:r w:rsidRPr="002F2821">
        <w:t>The combination of AUM growth, rising SIP inflows, and increasing folio counts indicates a healthy and expanding mutual fund ecosystem.</w:t>
      </w:r>
    </w:p>
    <w:p w14:paraId="26715CDA" w14:textId="77777777" w:rsidR="002F2821" w:rsidRDefault="002F2821"/>
    <w:sectPr w:rsidR="002F28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821"/>
    <w:rsid w:val="00197B81"/>
    <w:rsid w:val="002F2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E78AA"/>
  <w15:chartTrackingRefBased/>
  <w15:docId w15:val="{7ABF505A-148F-4669-8BDE-CCC90268F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8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8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8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8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8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8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8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8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8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8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8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8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8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8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8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8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8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8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8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8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8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8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8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8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853</Words>
  <Characters>4863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BHARADWAJ</dc:creator>
  <cp:keywords/>
  <dc:description/>
  <cp:lastModifiedBy>SHUBHAM BHARADWAJ</cp:lastModifiedBy>
  <cp:revision>1</cp:revision>
  <dcterms:created xsi:type="dcterms:W3CDTF">2026-07-06T06:50:00Z</dcterms:created>
  <dcterms:modified xsi:type="dcterms:W3CDTF">2026-07-06T07:18:00Z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dde8151d-492e-4d2a-8902-4648c2be5601</vt:lpwstr>
  </property>
</Properties>
</file>