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kern w:val="2"/>
          <w:sz w:val="24"/>
          <w:szCs w:val="24"/>
          <w:lang w:bidi="si-LK"/>
          <w14:ligatures w14:val="standardContextual"/>
        </w:rPr>
        <w:id w:val="36482622"/>
        <w:docPartObj>
          <w:docPartGallery w:val="Table of Contents"/>
          <w:docPartUnique/>
        </w:docPartObj>
      </w:sdtPr>
      <w:sdtEndPr>
        <w:rPr>
          <w:b/>
          <w:bCs/>
          <w:noProof/>
        </w:rPr>
      </w:sdtEndPr>
      <w:sdtContent>
        <w:p w:rsidR="00A1364D" w:rsidRPr="00A1364D" w:rsidRDefault="00A1364D">
          <w:pPr>
            <w:pStyle w:val="TOCHeading"/>
            <w:rPr>
              <w:rFonts w:ascii="Times New Roman" w:hAnsi="Times New Roman" w:cs="Times New Roman"/>
              <w:b/>
              <w:bCs/>
              <w:color w:val="auto"/>
            </w:rPr>
          </w:pPr>
          <w:r w:rsidRPr="00A1364D">
            <w:rPr>
              <w:rFonts w:ascii="Times New Roman" w:hAnsi="Times New Roman" w:cs="Times New Roman"/>
              <w:b/>
              <w:bCs/>
              <w:color w:val="auto"/>
            </w:rPr>
            <w:t>Contents</w:t>
          </w:r>
        </w:p>
        <w:p w:rsidR="00486EAC" w:rsidRDefault="00A1364D">
          <w:pPr>
            <w:pStyle w:val="TOC1"/>
            <w:tabs>
              <w:tab w:val="left" w:pos="440"/>
              <w:tab w:val="right" w:leader="dot" w:pos="9016"/>
            </w:tabs>
            <w:rPr>
              <w:rFonts w:asciiTheme="minorHAnsi" w:eastAsiaTheme="minorEastAsia" w:hAnsiTheme="minorHAnsi" w:cstheme="minorBidi"/>
              <w:noProof/>
              <w:kern w:val="0"/>
              <w:sz w:val="22"/>
              <w:szCs w:val="22"/>
              <w14:ligatures w14:val="none"/>
            </w:rPr>
          </w:pPr>
          <w:r>
            <w:rPr>
              <w:b/>
              <w:bCs/>
              <w:noProof/>
            </w:rPr>
            <w:fldChar w:fldCharType="begin"/>
          </w:r>
          <w:r>
            <w:rPr>
              <w:b/>
              <w:bCs/>
              <w:noProof/>
            </w:rPr>
            <w:instrText xml:space="preserve"> TOC \o "1-3" \h \z \u </w:instrText>
          </w:r>
          <w:r>
            <w:rPr>
              <w:b/>
              <w:bCs/>
              <w:noProof/>
            </w:rPr>
            <w:fldChar w:fldCharType="separate"/>
          </w:r>
          <w:hyperlink w:anchor="_Toc137546230" w:history="1">
            <w:r w:rsidR="00486EAC" w:rsidRPr="00F10A05">
              <w:rPr>
                <w:rStyle w:val="Hyperlink"/>
                <w:noProof/>
                <w:lang w:bidi="ar-SA"/>
              </w:rPr>
              <w:t>1</w:t>
            </w:r>
            <w:r w:rsidR="00486EAC">
              <w:rPr>
                <w:rFonts w:asciiTheme="minorHAnsi" w:eastAsiaTheme="minorEastAsia" w:hAnsiTheme="minorHAnsi" w:cstheme="minorBidi"/>
                <w:noProof/>
                <w:kern w:val="0"/>
                <w:sz w:val="22"/>
                <w:szCs w:val="22"/>
                <w14:ligatures w14:val="none"/>
              </w:rPr>
              <w:tab/>
            </w:r>
            <w:r w:rsidR="00486EAC" w:rsidRPr="00F10A05">
              <w:rPr>
                <w:rStyle w:val="Hyperlink"/>
                <w:noProof/>
                <w:lang w:bidi="ar-SA"/>
              </w:rPr>
              <w:t>Introduction</w:t>
            </w:r>
            <w:r w:rsidR="00486EAC">
              <w:rPr>
                <w:noProof/>
                <w:webHidden/>
              </w:rPr>
              <w:tab/>
            </w:r>
            <w:r w:rsidR="00486EAC">
              <w:rPr>
                <w:noProof/>
                <w:webHidden/>
              </w:rPr>
              <w:fldChar w:fldCharType="begin"/>
            </w:r>
            <w:r w:rsidR="00486EAC">
              <w:rPr>
                <w:noProof/>
                <w:webHidden/>
              </w:rPr>
              <w:instrText xml:space="preserve"> PAGEREF _Toc137546230 \h </w:instrText>
            </w:r>
            <w:r w:rsidR="00486EAC">
              <w:rPr>
                <w:noProof/>
                <w:webHidden/>
              </w:rPr>
            </w:r>
            <w:r w:rsidR="00486EAC">
              <w:rPr>
                <w:noProof/>
                <w:webHidden/>
              </w:rPr>
              <w:fldChar w:fldCharType="separate"/>
            </w:r>
            <w:r w:rsidR="00486EAC">
              <w:rPr>
                <w:noProof/>
                <w:webHidden/>
              </w:rPr>
              <w:t>1</w:t>
            </w:r>
            <w:r w:rsidR="00486EAC">
              <w:rPr>
                <w:noProof/>
                <w:webHidden/>
              </w:rPr>
              <w:fldChar w:fldCharType="end"/>
            </w:r>
          </w:hyperlink>
        </w:p>
        <w:p w:rsidR="00486EAC" w:rsidRDefault="00486EAC">
          <w:pPr>
            <w:pStyle w:val="TOC1"/>
            <w:tabs>
              <w:tab w:val="left" w:pos="440"/>
              <w:tab w:val="right" w:leader="dot" w:pos="9016"/>
            </w:tabs>
            <w:rPr>
              <w:rFonts w:asciiTheme="minorHAnsi" w:eastAsiaTheme="minorEastAsia" w:hAnsiTheme="minorHAnsi" w:cstheme="minorBidi"/>
              <w:noProof/>
              <w:kern w:val="0"/>
              <w:sz w:val="22"/>
              <w:szCs w:val="22"/>
              <w14:ligatures w14:val="none"/>
            </w:rPr>
          </w:pPr>
          <w:hyperlink w:anchor="_Toc137546231" w:history="1">
            <w:r w:rsidRPr="00F10A05">
              <w:rPr>
                <w:rStyle w:val="Hyperlink"/>
                <w:noProof/>
                <w:lang w:bidi="ar-SA"/>
              </w:rPr>
              <w:t>2</w:t>
            </w:r>
            <w:r>
              <w:rPr>
                <w:rFonts w:asciiTheme="minorHAnsi" w:eastAsiaTheme="minorEastAsia" w:hAnsiTheme="minorHAnsi" w:cstheme="minorBidi"/>
                <w:noProof/>
                <w:kern w:val="0"/>
                <w:sz w:val="22"/>
                <w:szCs w:val="22"/>
                <w14:ligatures w14:val="none"/>
              </w:rPr>
              <w:tab/>
            </w:r>
            <w:r w:rsidRPr="00F10A05">
              <w:rPr>
                <w:rStyle w:val="Hyperlink"/>
                <w:noProof/>
                <w:lang w:bidi="ar-SA"/>
              </w:rPr>
              <w:t>The Importance of Professional Ethics in Quantity Surveying Practice</w:t>
            </w:r>
            <w:r>
              <w:rPr>
                <w:noProof/>
                <w:webHidden/>
              </w:rPr>
              <w:tab/>
            </w:r>
            <w:r>
              <w:rPr>
                <w:noProof/>
                <w:webHidden/>
              </w:rPr>
              <w:fldChar w:fldCharType="begin"/>
            </w:r>
            <w:r>
              <w:rPr>
                <w:noProof/>
                <w:webHidden/>
              </w:rPr>
              <w:instrText xml:space="preserve"> PAGEREF _Toc137546231 \h </w:instrText>
            </w:r>
            <w:r>
              <w:rPr>
                <w:noProof/>
                <w:webHidden/>
              </w:rPr>
            </w:r>
            <w:r>
              <w:rPr>
                <w:noProof/>
                <w:webHidden/>
              </w:rPr>
              <w:fldChar w:fldCharType="separate"/>
            </w:r>
            <w:r>
              <w:rPr>
                <w:noProof/>
                <w:webHidden/>
              </w:rPr>
              <w:t>3</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32" w:history="1">
            <w:r w:rsidRPr="00F10A05">
              <w:rPr>
                <w:rStyle w:val="Hyperlink"/>
                <w:noProof/>
              </w:rPr>
              <w:t>2.1</w:t>
            </w:r>
            <w:r>
              <w:rPr>
                <w:rFonts w:asciiTheme="minorHAnsi" w:eastAsiaTheme="minorEastAsia" w:hAnsiTheme="minorHAnsi" w:cstheme="minorBidi"/>
                <w:noProof/>
                <w:kern w:val="0"/>
                <w:sz w:val="22"/>
                <w:szCs w:val="22"/>
                <w14:ligatures w14:val="none"/>
              </w:rPr>
              <w:tab/>
            </w:r>
            <w:r w:rsidRPr="00F10A05">
              <w:rPr>
                <w:rStyle w:val="Hyperlink"/>
                <w:noProof/>
              </w:rPr>
              <w:t>Upholding Reputation:</w:t>
            </w:r>
            <w:r>
              <w:rPr>
                <w:noProof/>
                <w:webHidden/>
              </w:rPr>
              <w:tab/>
            </w:r>
            <w:r>
              <w:rPr>
                <w:noProof/>
                <w:webHidden/>
              </w:rPr>
              <w:fldChar w:fldCharType="begin"/>
            </w:r>
            <w:r>
              <w:rPr>
                <w:noProof/>
                <w:webHidden/>
              </w:rPr>
              <w:instrText xml:space="preserve"> PAGEREF _Toc137546232 \h </w:instrText>
            </w:r>
            <w:r>
              <w:rPr>
                <w:noProof/>
                <w:webHidden/>
              </w:rPr>
            </w:r>
            <w:r>
              <w:rPr>
                <w:noProof/>
                <w:webHidden/>
              </w:rPr>
              <w:fldChar w:fldCharType="separate"/>
            </w:r>
            <w:r>
              <w:rPr>
                <w:noProof/>
                <w:webHidden/>
              </w:rPr>
              <w:t>3</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33" w:history="1">
            <w:r w:rsidRPr="00F10A05">
              <w:rPr>
                <w:rStyle w:val="Hyperlink"/>
                <w:noProof/>
              </w:rPr>
              <w:t>2.2</w:t>
            </w:r>
            <w:r>
              <w:rPr>
                <w:rFonts w:asciiTheme="minorHAnsi" w:eastAsiaTheme="minorEastAsia" w:hAnsiTheme="minorHAnsi" w:cstheme="minorBidi"/>
                <w:noProof/>
                <w:kern w:val="0"/>
                <w:sz w:val="22"/>
                <w:szCs w:val="22"/>
                <w14:ligatures w14:val="none"/>
              </w:rPr>
              <w:tab/>
            </w:r>
            <w:r w:rsidRPr="00F10A05">
              <w:rPr>
                <w:rStyle w:val="Hyperlink"/>
                <w:noProof/>
              </w:rPr>
              <w:t>Client Relationships:</w:t>
            </w:r>
            <w:r>
              <w:rPr>
                <w:noProof/>
                <w:webHidden/>
              </w:rPr>
              <w:tab/>
            </w:r>
            <w:r>
              <w:rPr>
                <w:noProof/>
                <w:webHidden/>
              </w:rPr>
              <w:fldChar w:fldCharType="begin"/>
            </w:r>
            <w:r>
              <w:rPr>
                <w:noProof/>
                <w:webHidden/>
              </w:rPr>
              <w:instrText xml:space="preserve"> PAGEREF _Toc137546233 \h </w:instrText>
            </w:r>
            <w:r>
              <w:rPr>
                <w:noProof/>
                <w:webHidden/>
              </w:rPr>
            </w:r>
            <w:r>
              <w:rPr>
                <w:noProof/>
                <w:webHidden/>
              </w:rPr>
              <w:fldChar w:fldCharType="separate"/>
            </w:r>
            <w:r>
              <w:rPr>
                <w:noProof/>
                <w:webHidden/>
              </w:rPr>
              <w:t>3</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34" w:history="1">
            <w:r w:rsidRPr="00F10A05">
              <w:rPr>
                <w:rStyle w:val="Hyperlink"/>
                <w:noProof/>
              </w:rPr>
              <w:t>2.3</w:t>
            </w:r>
            <w:r>
              <w:rPr>
                <w:rFonts w:asciiTheme="minorHAnsi" w:eastAsiaTheme="minorEastAsia" w:hAnsiTheme="minorHAnsi" w:cstheme="minorBidi"/>
                <w:noProof/>
                <w:kern w:val="0"/>
                <w:sz w:val="22"/>
                <w:szCs w:val="22"/>
                <w14:ligatures w14:val="none"/>
              </w:rPr>
              <w:tab/>
            </w:r>
            <w:r w:rsidRPr="00F10A05">
              <w:rPr>
                <w:rStyle w:val="Hyperlink"/>
                <w:noProof/>
              </w:rPr>
              <w:t>Industry Integrity:</w:t>
            </w:r>
            <w:r>
              <w:rPr>
                <w:noProof/>
                <w:webHidden/>
              </w:rPr>
              <w:tab/>
            </w:r>
            <w:r>
              <w:rPr>
                <w:noProof/>
                <w:webHidden/>
              </w:rPr>
              <w:fldChar w:fldCharType="begin"/>
            </w:r>
            <w:r>
              <w:rPr>
                <w:noProof/>
                <w:webHidden/>
              </w:rPr>
              <w:instrText xml:space="preserve"> PAGEREF _Toc137546234 \h </w:instrText>
            </w:r>
            <w:r>
              <w:rPr>
                <w:noProof/>
                <w:webHidden/>
              </w:rPr>
            </w:r>
            <w:r>
              <w:rPr>
                <w:noProof/>
                <w:webHidden/>
              </w:rPr>
              <w:fldChar w:fldCharType="separate"/>
            </w:r>
            <w:r>
              <w:rPr>
                <w:noProof/>
                <w:webHidden/>
              </w:rPr>
              <w:t>3</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35" w:history="1">
            <w:r w:rsidRPr="00F10A05">
              <w:rPr>
                <w:rStyle w:val="Hyperlink"/>
                <w:noProof/>
              </w:rPr>
              <w:t>2.4</w:t>
            </w:r>
            <w:r>
              <w:rPr>
                <w:rFonts w:asciiTheme="minorHAnsi" w:eastAsiaTheme="minorEastAsia" w:hAnsiTheme="minorHAnsi" w:cstheme="minorBidi"/>
                <w:noProof/>
                <w:kern w:val="0"/>
                <w:sz w:val="22"/>
                <w:szCs w:val="22"/>
                <w14:ligatures w14:val="none"/>
              </w:rPr>
              <w:tab/>
            </w:r>
            <w:r w:rsidRPr="00F10A05">
              <w:rPr>
                <w:rStyle w:val="Hyperlink"/>
                <w:noProof/>
              </w:rPr>
              <w:t>Legal and Regulatory Compliance:</w:t>
            </w:r>
            <w:r>
              <w:rPr>
                <w:noProof/>
                <w:webHidden/>
              </w:rPr>
              <w:tab/>
            </w:r>
            <w:r>
              <w:rPr>
                <w:noProof/>
                <w:webHidden/>
              </w:rPr>
              <w:fldChar w:fldCharType="begin"/>
            </w:r>
            <w:r>
              <w:rPr>
                <w:noProof/>
                <w:webHidden/>
              </w:rPr>
              <w:instrText xml:space="preserve"> PAGEREF _Toc137546235 \h </w:instrText>
            </w:r>
            <w:r>
              <w:rPr>
                <w:noProof/>
                <w:webHidden/>
              </w:rPr>
            </w:r>
            <w:r>
              <w:rPr>
                <w:noProof/>
                <w:webHidden/>
              </w:rPr>
              <w:fldChar w:fldCharType="separate"/>
            </w:r>
            <w:r>
              <w:rPr>
                <w:noProof/>
                <w:webHidden/>
              </w:rPr>
              <w:t>3</w:t>
            </w:r>
            <w:r>
              <w:rPr>
                <w:noProof/>
                <w:webHidden/>
              </w:rPr>
              <w:fldChar w:fldCharType="end"/>
            </w:r>
          </w:hyperlink>
        </w:p>
        <w:p w:rsidR="00486EAC" w:rsidRDefault="00486EAC">
          <w:pPr>
            <w:pStyle w:val="TOC1"/>
            <w:tabs>
              <w:tab w:val="left" w:pos="440"/>
              <w:tab w:val="right" w:leader="dot" w:pos="9016"/>
            </w:tabs>
            <w:rPr>
              <w:rFonts w:asciiTheme="minorHAnsi" w:eastAsiaTheme="minorEastAsia" w:hAnsiTheme="minorHAnsi" w:cstheme="minorBidi"/>
              <w:noProof/>
              <w:kern w:val="0"/>
              <w:sz w:val="22"/>
              <w:szCs w:val="22"/>
              <w14:ligatures w14:val="none"/>
            </w:rPr>
          </w:pPr>
          <w:hyperlink w:anchor="_Toc137546236" w:history="1">
            <w:r w:rsidRPr="00F10A05">
              <w:rPr>
                <w:rStyle w:val="Hyperlink"/>
                <w:noProof/>
                <w:lang w:bidi="ar-SA"/>
              </w:rPr>
              <w:t>3</w:t>
            </w:r>
            <w:r>
              <w:rPr>
                <w:rFonts w:asciiTheme="minorHAnsi" w:eastAsiaTheme="minorEastAsia" w:hAnsiTheme="minorHAnsi" w:cstheme="minorBidi"/>
                <w:noProof/>
                <w:kern w:val="0"/>
                <w:sz w:val="22"/>
                <w:szCs w:val="22"/>
                <w14:ligatures w14:val="none"/>
              </w:rPr>
              <w:tab/>
            </w:r>
            <w:r w:rsidRPr="00F10A05">
              <w:rPr>
                <w:rStyle w:val="Hyperlink"/>
                <w:noProof/>
                <w:lang w:bidi="ar-SA"/>
              </w:rPr>
              <w:t>RICS Global Ethical Standards for Quantity Surveyors</w:t>
            </w:r>
            <w:r>
              <w:rPr>
                <w:noProof/>
                <w:webHidden/>
              </w:rPr>
              <w:tab/>
            </w:r>
            <w:r>
              <w:rPr>
                <w:noProof/>
                <w:webHidden/>
              </w:rPr>
              <w:fldChar w:fldCharType="begin"/>
            </w:r>
            <w:r>
              <w:rPr>
                <w:noProof/>
                <w:webHidden/>
              </w:rPr>
              <w:instrText xml:space="preserve"> PAGEREF _Toc137546236 \h </w:instrText>
            </w:r>
            <w:r>
              <w:rPr>
                <w:noProof/>
                <w:webHidden/>
              </w:rPr>
            </w:r>
            <w:r>
              <w:rPr>
                <w:noProof/>
                <w:webHidden/>
              </w:rPr>
              <w:fldChar w:fldCharType="separate"/>
            </w:r>
            <w:r>
              <w:rPr>
                <w:noProof/>
                <w:webHidden/>
              </w:rPr>
              <w:t>5</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37" w:history="1">
            <w:r w:rsidRPr="00F10A05">
              <w:rPr>
                <w:rStyle w:val="Hyperlink"/>
                <w:rFonts w:eastAsia="Times New Roman"/>
                <w:noProof/>
              </w:rPr>
              <w:t>3.1</w:t>
            </w:r>
            <w:r>
              <w:rPr>
                <w:rFonts w:asciiTheme="minorHAnsi" w:eastAsiaTheme="minorEastAsia" w:hAnsiTheme="minorHAnsi" w:cstheme="minorBidi"/>
                <w:noProof/>
                <w:kern w:val="0"/>
                <w:sz w:val="22"/>
                <w:szCs w:val="22"/>
                <w14:ligatures w14:val="none"/>
              </w:rPr>
              <w:tab/>
            </w:r>
            <w:r w:rsidRPr="00F10A05">
              <w:rPr>
                <w:rStyle w:val="Hyperlink"/>
                <w:rFonts w:eastAsia="Times New Roman"/>
                <w:noProof/>
              </w:rPr>
              <w:t>Act with Integrity:</w:t>
            </w:r>
            <w:r>
              <w:rPr>
                <w:noProof/>
                <w:webHidden/>
              </w:rPr>
              <w:tab/>
            </w:r>
            <w:r>
              <w:rPr>
                <w:noProof/>
                <w:webHidden/>
              </w:rPr>
              <w:fldChar w:fldCharType="begin"/>
            </w:r>
            <w:r>
              <w:rPr>
                <w:noProof/>
                <w:webHidden/>
              </w:rPr>
              <w:instrText xml:space="preserve"> PAGEREF _Toc137546237 \h </w:instrText>
            </w:r>
            <w:r>
              <w:rPr>
                <w:noProof/>
                <w:webHidden/>
              </w:rPr>
            </w:r>
            <w:r>
              <w:rPr>
                <w:noProof/>
                <w:webHidden/>
              </w:rPr>
              <w:fldChar w:fldCharType="separate"/>
            </w:r>
            <w:r>
              <w:rPr>
                <w:noProof/>
                <w:webHidden/>
              </w:rPr>
              <w:t>5</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38" w:history="1">
            <w:r w:rsidRPr="00F10A05">
              <w:rPr>
                <w:rStyle w:val="Hyperlink"/>
                <w:rFonts w:eastAsia="Times New Roman"/>
                <w:noProof/>
              </w:rPr>
              <w:t>3.2</w:t>
            </w:r>
            <w:r>
              <w:rPr>
                <w:rFonts w:asciiTheme="minorHAnsi" w:eastAsiaTheme="minorEastAsia" w:hAnsiTheme="minorHAnsi" w:cstheme="minorBidi"/>
                <w:noProof/>
                <w:kern w:val="0"/>
                <w:sz w:val="22"/>
                <w:szCs w:val="22"/>
                <w14:ligatures w14:val="none"/>
              </w:rPr>
              <w:tab/>
            </w:r>
            <w:r w:rsidRPr="00F10A05">
              <w:rPr>
                <w:rStyle w:val="Hyperlink"/>
                <w:rFonts w:eastAsia="Times New Roman"/>
                <w:noProof/>
              </w:rPr>
              <w:t>Provide a High Standard of Service:</w:t>
            </w:r>
            <w:r>
              <w:rPr>
                <w:noProof/>
                <w:webHidden/>
              </w:rPr>
              <w:tab/>
            </w:r>
            <w:r>
              <w:rPr>
                <w:noProof/>
                <w:webHidden/>
              </w:rPr>
              <w:fldChar w:fldCharType="begin"/>
            </w:r>
            <w:r>
              <w:rPr>
                <w:noProof/>
                <w:webHidden/>
              </w:rPr>
              <w:instrText xml:space="preserve"> PAGEREF _Toc137546238 \h </w:instrText>
            </w:r>
            <w:r>
              <w:rPr>
                <w:noProof/>
                <w:webHidden/>
              </w:rPr>
            </w:r>
            <w:r>
              <w:rPr>
                <w:noProof/>
                <w:webHidden/>
              </w:rPr>
              <w:fldChar w:fldCharType="separate"/>
            </w:r>
            <w:r>
              <w:rPr>
                <w:noProof/>
                <w:webHidden/>
              </w:rPr>
              <w:t>5</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39" w:history="1">
            <w:r w:rsidRPr="00F10A05">
              <w:rPr>
                <w:rStyle w:val="Hyperlink"/>
                <w:rFonts w:eastAsia="Times New Roman"/>
                <w:noProof/>
              </w:rPr>
              <w:t>3.3</w:t>
            </w:r>
            <w:r>
              <w:rPr>
                <w:rFonts w:asciiTheme="minorHAnsi" w:eastAsiaTheme="minorEastAsia" w:hAnsiTheme="minorHAnsi" w:cstheme="minorBidi"/>
                <w:noProof/>
                <w:kern w:val="0"/>
                <w:sz w:val="22"/>
                <w:szCs w:val="22"/>
                <w14:ligatures w14:val="none"/>
              </w:rPr>
              <w:tab/>
            </w:r>
            <w:r w:rsidRPr="00F10A05">
              <w:rPr>
                <w:rStyle w:val="Hyperlink"/>
                <w:rFonts w:eastAsia="Times New Roman"/>
                <w:noProof/>
              </w:rPr>
              <w:t>Act in a Manner that Promotes Trust in the Profession:</w:t>
            </w:r>
            <w:r>
              <w:rPr>
                <w:noProof/>
                <w:webHidden/>
              </w:rPr>
              <w:tab/>
            </w:r>
            <w:r>
              <w:rPr>
                <w:noProof/>
                <w:webHidden/>
              </w:rPr>
              <w:fldChar w:fldCharType="begin"/>
            </w:r>
            <w:r>
              <w:rPr>
                <w:noProof/>
                <w:webHidden/>
              </w:rPr>
              <w:instrText xml:space="preserve"> PAGEREF _Toc137546239 \h </w:instrText>
            </w:r>
            <w:r>
              <w:rPr>
                <w:noProof/>
                <w:webHidden/>
              </w:rPr>
            </w:r>
            <w:r>
              <w:rPr>
                <w:noProof/>
                <w:webHidden/>
              </w:rPr>
              <w:fldChar w:fldCharType="separate"/>
            </w:r>
            <w:r>
              <w:rPr>
                <w:noProof/>
                <w:webHidden/>
              </w:rPr>
              <w:t>5</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40" w:history="1">
            <w:r w:rsidRPr="00F10A05">
              <w:rPr>
                <w:rStyle w:val="Hyperlink"/>
                <w:rFonts w:eastAsia="Times New Roman"/>
                <w:noProof/>
              </w:rPr>
              <w:t>3.4</w:t>
            </w:r>
            <w:r>
              <w:rPr>
                <w:rFonts w:asciiTheme="minorHAnsi" w:eastAsiaTheme="minorEastAsia" w:hAnsiTheme="minorHAnsi" w:cstheme="minorBidi"/>
                <w:noProof/>
                <w:kern w:val="0"/>
                <w:sz w:val="22"/>
                <w:szCs w:val="22"/>
                <w14:ligatures w14:val="none"/>
              </w:rPr>
              <w:tab/>
            </w:r>
            <w:r w:rsidRPr="00F10A05">
              <w:rPr>
                <w:rStyle w:val="Hyperlink"/>
                <w:rFonts w:eastAsia="Times New Roman"/>
                <w:noProof/>
              </w:rPr>
              <w:t>Treat Others with Respect:</w:t>
            </w:r>
            <w:r>
              <w:rPr>
                <w:noProof/>
                <w:webHidden/>
              </w:rPr>
              <w:tab/>
            </w:r>
            <w:r>
              <w:rPr>
                <w:noProof/>
                <w:webHidden/>
              </w:rPr>
              <w:fldChar w:fldCharType="begin"/>
            </w:r>
            <w:r>
              <w:rPr>
                <w:noProof/>
                <w:webHidden/>
              </w:rPr>
              <w:instrText xml:space="preserve"> PAGEREF _Toc137546240 \h </w:instrText>
            </w:r>
            <w:r>
              <w:rPr>
                <w:noProof/>
                <w:webHidden/>
              </w:rPr>
            </w:r>
            <w:r>
              <w:rPr>
                <w:noProof/>
                <w:webHidden/>
              </w:rPr>
              <w:fldChar w:fldCharType="separate"/>
            </w:r>
            <w:r>
              <w:rPr>
                <w:noProof/>
                <w:webHidden/>
              </w:rPr>
              <w:t>5</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41" w:history="1">
            <w:r w:rsidRPr="00F10A05">
              <w:rPr>
                <w:rStyle w:val="Hyperlink"/>
                <w:rFonts w:eastAsia="Times New Roman"/>
                <w:noProof/>
              </w:rPr>
              <w:t>3.5</w:t>
            </w:r>
            <w:r>
              <w:rPr>
                <w:rFonts w:asciiTheme="minorHAnsi" w:eastAsiaTheme="minorEastAsia" w:hAnsiTheme="minorHAnsi" w:cstheme="minorBidi"/>
                <w:noProof/>
                <w:kern w:val="0"/>
                <w:sz w:val="22"/>
                <w:szCs w:val="22"/>
                <w14:ligatures w14:val="none"/>
              </w:rPr>
              <w:tab/>
            </w:r>
            <w:r w:rsidRPr="00F10A05">
              <w:rPr>
                <w:rStyle w:val="Hyperlink"/>
                <w:rFonts w:eastAsia="Times New Roman"/>
                <w:noProof/>
              </w:rPr>
              <w:t>Take Responsibility:</w:t>
            </w:r>
            <w:r>
              <w:rPr>
                <w:noProof/>
                <w:webHidden/>
              </w:rPr>
              <w:tab/>
            </w:r>
            <w:r>
              <w:rPr>
                <w:noProof/>
                <w:webHidden/>
              </w:rPr>
              <w:fldChar w:fldCharType="begin"/>
            </w:r>
            <w:r>
              <w:rPr>
                <w:noProof/>
                <w:webHidden/>
              </w:rPr>
              <w:instrText xml:space="preserve"> PAGEREF _Toc137546241 \h </w:instrText>
            </w:r>
            <w:r>
              <w:rPr>
                <w:noProof/>
                <w:webHidden/>
              </w:rPr>
            </w:r>
            <w:r>
              <w:rPr>
                <w:noProof/>
                <w:webHidden/>
              </w:rPr>
              <w:fldChar w:fldCharType="separate"/>
            </w:r>
            <w:r>
              <w:rPr>
                <w:noProof/>
                <w:webHidden/>
              </w:rPr>
              <w:t>6</w:t>
            </w:r>
            <w:r>
              <w:rPr>
                <w:noProof/>
                <w:webHidden/>
              </w:rPr>
              <w:fldChar w:fldCharType="end"/>
            </w:r>
          </w:hyperlink>
        </w:p>
        <w:p w:rsidR="00486EAC" w:rsidRDefault="00486EAC">
          <w:pPr>
            <w:pStyle w:val="TOC1"/>
            <w:tabs>
              <w:tab w:val="left" w:pos="440"/>
              <w:tab w:val="right" w:leader="dot" w:pos="9016"/>
            </w:tabs>
            <w:rPr>
              <w:rFonts w:asciiTheme="minorHAnsi" w:eastAsiaTheme="minorEastAsia" w:hAnsiTheme="minorHAnsi" w:cstheme="minorBidi"/>
              <w:noProof/>
              <w:kern w:val="0"/>
              <w:sz w:val="22"/>
              <w:szCs w:val="22"/>
              <w14:ligatures w14:val="none"/>
            </w:rPr>
          </w:pPr>
          <w:hyperlink w:anchor="_Toc137546242" w:history="1">
            <w:r w:rsidRPr="00F10A05">
              <w:rPr>
                <w:rStyle w:val="Hyperlink"/>
                <w:noProof/>
                <w:lang w:bidi="ar-SA"/>
              </w:rPr>
              <w:t>4</w:t>
            </w:r>
            <w:r>
              <w:rPr>
                <w:rFonts w:asciiTheme="minorHAnsi" w:eastAsiaTheme="minorEastAsia" w:hAnsiTheme="minorHAnsi" w:cstheme="minorBidi"/>
                <w:noProof/>
                <w:kern w:val="0"/>
                <w:sz w:val="22"/>
                <w:szCs w:val="22"/>
                <w14:ligatures w14:val="none"/>
              </w:rPr>
              <w:tab/>
            </w:r>
            <w:r w:rsidRPr="00F10A05">
              <w:rPr>
                <w:rStyle w:val="Hyperlink"/>
                <w:noProof/>
                <w:lang w:bidi="ar-SA"/>
              </w:rPr>
              <w:t>Conclusion</w:t>
            </w:r>
            <w:r>
              <w:rPr>
                <w:noProof/>
                <w:webHidden/>
              </w:rPr>
              <w:tab/>
            </w:r>
            <w:r>
              <w:rPr>
                <w:noProof/>
                <w:webHidden/>
              </w:rPr>
              <w:fldChar w:fldCharType="begin"/>
            </w:r>
            <w:r>
              <w:rPr>
                <w:noProof/>
                <w:webHidden/>
              </w:rPr>
              <w:instrText xml:space="preserve"> PAGEREF _Toc137546242 \h </w:instrText>
            </w:r>
            <w:r>
              <w:rPr>
                <w:noProof/>
                <w:webHidden/>
              </w:rPr>
            </w:r>
            <w:r>
              <w:rPr>
                <w:noProof/>
                <w:webHidden/>
              </w:rPr>
              <w:fldChar w:fldCharType="separate"/>
            </w:r>
            <w:r>
              <w:rPr>
                <w:noProof/>
                <w:webHidden/>
              </w:rPr>
              <w:t>7</w:t>
            </w:r>
            <w:r>
              <w:rPr>
                <w:noProof/>
                <w:webHidden/>
              </w:rPr>
              <w:fldChar w:fldCharType="end"/>
            </w:r>
          </w:hyperlink>
        </w:p>
        <w:p w:rsidR="00486EAC" w:rsidRDefault="00486EAC">
          <w:pPr>
            <w:pStyle w:val="TOC1"/>
            <w:tabs>
              <w:tab w:val="left" w:pos="440"/>
              <w:tab w:val="right" w:leader="dot" w:pos="9016"/>
            </w:tabs>
            <w:rPr>
              <w:rFonts w:asciiTheme="minorHAnsi" w:eastAsiaTheme="minorEastAsia" w:hAnsiTheme="minorHAnsi" w:cstheme="minorBidi"/>
              <w:noProof/>
              <w:kern w:val="0"/>
              <w:sz w:val="22"/>
              <w:szCs w:val="22"/>
              <w14:ligatures w14:val="none"/>
            </w:rPr>
          </w:pPr>
          <w:hyperlink w:anchor="_Toc137546243" w:history="1">
            <w:r w:rsidRPr="00F10A05">
              <w:rPr>
                <w:rStyle w:val="Hyperlink"/>
                <w:noProof/>
                <w:lang w:bidi="ar-SA"/>
              </w:rPr>
              <w:t>5</w:t>
            </w:r>
            <w:r>
              <w:rPr>
                <w:rFonts w:asciiTheme="minorHAnsi" w:eastAsiaTheme="minorEastAsia" w:hAnsiTheme="minorHAnsi" w:cstheme="minorBidi"/>
                <w:noProof/>
                <w:kern w:val="0"/>
                <w:sz w:val="22"/>
                <w:szCs w:val="22"/>
                <w14:ligatures w14:val="none"/>
              </w:rPr>
              <w:tab/>
            </w:r>
            <w:r w:rsidRPr="00F10A05">
              <w:rPr>
                <w:rStyle w:val="Hyperlink"/>
                <w:noProof/>
                <w:lang w:bidi="ar-SA"/>
              </w:rPr>
              <w:t>References</w:t>
            </w:r>
            <w:r>
              <w:rPr>
                <w:noProof/>
                <w:webHidden/>
              </w:rPr>
              <w:tab/>
            </w:r>
            <w:r>
              <w:rPr>
                <w:noProof/>
                <w:webHidden/>
              </w:rPr>
              <w:fldChar w:fldCharType="begin"/>
            </w:r>
            <w:r>
              <w:rPr>
                <w:noProof/>
                <w:webHidden/>
              </w:rPr>
              <w:instrText xml:space="preserve"> PAGEREF _Toc137546243 \h </w:instrText>
            </w:r>
            <w:r>
              <w:rPr>
                <w:noProof/>
                <w:webHidden/>
              </w:rPr>
            </w:r>
            <w:r>
              <w:rPr>
                <w:noProof/>
                <w:webHidden/>
              </w:rPr>
              <w:fldChar w:fldCharType="separate"/>
            </w:r>
            <w:r>
              <w:rPr>
                <w:noProof/>
                <w:webHidden/>
              </w:rPr>
              <w:t>8</w:t>
            </w:r>
            <w:r>
              <w:rPr>
                <w:noProof/>
                <w:webHidden/>
              </w:rPr>
              <w:fldChar w:fldCharType="end"/>
            </w:r>
          </w:hyperlink>
        </w:p>
        <w:p w:rsidR="00486EAC" w:rsidRDefault="00486EAC">
          <w:pPr>
            <w:pStyle w:val="TOC1"/>
            <w:tabs>
              <w:tab w:val="left" w:pos="440"/>
              <w:tab w:val="right" w:leader="dot" w:pos="9016"/>
            </w:tabs>
            <w:rPr>
              <w:rFonts w:asciiTheme="minorHAnsi" w:eastAsiaTheme="minorEastAsia" w:hAnsiTheme="minorHAnsi" w:cstheme="minorBidi"/>
              <w:noProof/>
              <w:kern w:val="0"/>
              <w:sz w:val="22"/>
              <w:szCs w:val="22"/>
              <w14:ligatures w14:val="none"/>
            </w:rPr>
          </w:pPr>
          <w:hyperlink w:anchor="_Toc137546244" w:history="1">
            <w:r w:rsidRPr="00F10A05">
              <w:rPr>
                <w:rStyle w:val="Hyperlink"/>
                <w:noProof/>
                <w:lang w:bidi="ar-SA"/>
              </w:rPr>
              <w:t>6</w:t>
            </w:r>
            <w:r>
              <w:rPr>
                <w:rFonts w:asciiTheme="minorHAnsi" w:eastAsiaTheme="minorEastAsia" w:hAnsiTheme="minorHAnsi" w:cstheme="minorBidi"/>
                <w:noProof/>
                <w:kern w:val="0"/>
                <w:sz w:val="22"/>
                <w:szCs w:val="22"/>
                <w14:ligatures w14:val="none"/>
              </w:rPr>
              <w:tab/>
            </w:r>
            <w:r w:rsidRPr="00F10A05">
              <w:rPr>
                <w:rStyle w:val="Hyperlink"/>
                <w:noProof/>
                <w:lang w:bidi="ar-SA"/>
              </w:rPr>
              <w:t>Task 02</w:t>
            </w:r>
            <w:r>
              <w:rPr>
                <w:noProof/>
                <w:webHidden/>
              </w:rPr>
              <w:tab/>
            </w:r>
            <w:r>
              <w:rPr>
                <w:noProof/>
                <w:webHidden/>
              </w:rPr>
              <w:fldChar w:fldCharType="begin"/>
            </w:r>
            <w:r>
              <w:rPr>
                <w:noProof/>
                <w:webHidden/>
              </w:rPr>
              <w:instrText xml:space="preserve"> PAGEREF _Toc137546244 \h </w:instrText>
            </w:r>
            <w:r>
              <w:rPr>
                <w:noProof/>
                <w:webHidden/>
              </w:rPr>
            </w:r>
            <w:r>
              <w:rPr>
                <w:noProof/>
                <w:webHidden/>
              </w:rPr>
              <w:fldChar w:fldCharType="separate"/>
            </w:r>
            <w:r>
              <w:rPr>
                <w:noProof/>
                <w:webHidden/>
              </w:rPr>
              <w:t>10</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45" w:history="1">
            <w:r w:rsidRPr="00F10A05">
              <w:rPr>
                <w:rStyle w:val="Hyperlink"/>
                <w:noProof/>
              </w:rPr>
              <w:t>6.1</w:t>
            </w:r>
            <w:r>
              <w:rPr>
                <w:rFonts w:asciiTheme="minorHAnsi" w:eastAsiaTheme="minorEastAsia" w:hAnsiTheme="minorHAnsi" w:cstheme="minorBidi"/>
                <w:noProof/>
                <w:kern w:val="0"/>
                <w:sz w:val="22"/>
                <w:szCs w:val="22"/>
                <w14:ligatures w14:val="none"/>
              </w:rPr>
              <w:tab/>
            </w:r>
            <w:r w:rsidRPr="00F10A05">
              <w:rPr>
                <w:rStyle w:val="Hyperlink"/>
                <w:noProof/>
              </w:rPr>
              <w:t>Details of the Proposed Project</w:t>
            </w:r>
            <w:r>
              <w:rPr>
                <w:noProof/>
                <w:webHidden/>
              </w:rPr>
              <w:tab/>
            </w:r>
            <w:r>
              <w:rPr>
                <w:noProof/>
                <w:webHidden/>
              </w:rPr>
              <w:fldChar w:fldCharType="begin"/>
            </w:r>
            <w:r>
              <w:rPr>
                <w:noProof/>
                <w:webHidden/>
              </w:rPr>
              <w:instrText xml:space="preserve"> PAGEREF _Toc137546245 \h </w:instrText>
            </w:r>
            <w:r>
              <w:rPr>
                <w:noProof/>
                <w:webHidden/>
              </w:rPr>
            </w:r>
            <w:r>
              <w:rPr>
                <w:noProof/>
                <w:webHidden/>
              </w:rPr>
              <w:fldChar w:fldCharType="separate"/>
            </w:r>
            <w:r>
              <w:rPr>
                <w:noProof/>
                <w:webHidden/>
              </w:rPr>
              <w:t>10</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46" w:history="1">
            <w:r w:rsidRPr="00F10A05">
              <w:rPr>
                <w:rStyle w:val="Hyperlink"/>
                <w:noProof/>
              </w:rPr>
              <w:t>6.2</w:t>
            </w:r>
            <w:r>
              <w:rPr>
                <w:rFonts w:asciiTheme="minorHAnsi" w:eastAsiaTheme="minorEastAsia" w:hAnsiTheme="minorHAnsi" w:cstheme="minorBidi"/>
                <w:noProof/>
                <w:kern w:val="0"/>
                <w:sz w:val="22"/>
                <w:szCs w:val="22"/>
                <w14:ligatures w14:val="none"/>
              </w:rPr>
              <w:tab/>
            </w:r>
            <w:r w:rsidRPr="00F10A05">
              <w:rPr>
                <w:rStyle w:val="Hyperlink"/>
                <w:noProof/>
              </w:rPr>
              <w:t>Calculating percentage addition for inflation</w:t>
            </w:r>
            <w:r>
              <w:rPr>
                <w:noProof/>
                <w:webHidden/>
              </w:rPr>
              <w:tab/>
            </w:r>
            <w:r>
              <w:rPr>
                <w:noProof/>
                <w:webHidden/>
              </w:rPr>
              <w:fldChar w:fldCharType="begin"/>
            </w:r>
            <w:r>
              <w:rPr>
                <w:noProof/>
                <w:webHidden/>
              </w:rPr>
              <w:instrText xml:space="preserve"> PAGEREF _Toc137546246 \h </w:instrText>
            </w:r>
            <w:r>
              <w:rPr>
                <w:noProof/>
                <w:webHidden/>
              </w:rPr>
            </w:r>
            <w:r>
              <w:rPr>
                <w:noProof/>
                <w:webHidden/>
              </w:rPr>
              <w:fldChar w:fldCharType="separate"/>
            </w:r>
            <w:r>
              <w:rPr>
                <w:noProof/>
                <w:webHidden/>
              </w:rPr>
              <w:t>10</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47" w:history="1">
            <w:r w:rsidRPr="00F10A05">
              <w:rPr>
                <w:rStyle w:val="Hyperlink"/>
                <w:noProof/>
              </w:rPr>
              <w:t>6.3</w:t>
            </w:r>
            <w:r>
              <w:rPr>
                <w:rFonts w:asciiTheme="minorHAnsi" w:eastAsiaTheme="minorEastAsia" w:hAnsiTheme="minorHAnsi" w:cstheme="minorBidi"/>
                <w:noProof/>
                <w:kern w:val="0"/>
                <w:sz w:val="22"/>
                <w:szCs w:val="22"/>
                <w14:ligatures w14:val="none"/>
              </w:rPr>
              <w:tab/>
            </w:r>
            <w:r w:rsidRPr="00F10A05">
              <w:rPr>
                <w:rStyle w:val="Hyperlink"/>
                <w:noProof/>
              </w:rPr>
              <w:t>Calculating current base date unit rates</w:t>
            </w:r>
            <w:r>
              <w:rPr>
                <w:noProof/>
                <w:webHidden/>
              </w:rPr>
              <w:tab/>
            </w:r>
            <w:r>
              <w:rPr>
                <w:noProof/>
                <w:webHidden/>
              </w:rPr>
              <w:fldChar w:fldCharType="begin"/>
            </w:r>
            <w:r>
              <w:rPr>
                <w:noProof/>
                <w:webHidden/>
              </w:rPr>
              <w:instrText xml:space="preserve"> PAGEREF _Toc137546247 \h </w:instrText>
            </w:r>
            <w:r>
              <w:rPr>
                <w:noProof/>
                <w:webHidden/>
              </w:rPr>
            </w:r>
            <w:r>
              <w:rPr>
                <w:noProof/>
                <w:webHidden/>
              </w:rPr>
              <w:fldChar w:fldCharType="separate"/>
            </w:r>
            <w:r>
              <w:rPr>
                <w:noProof/>
                <w:webHidden/>
              </w:rPr>
              <w:t>11</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48" w:history="1">
            <w:r w:rsidRPr="00F10A05">
              <w:rPr>
                <w:rStyle w:val="Hyperlink"/>
                <w:noProof/>
              </w:rPr>
              <w:t>6.4</w:t>
            </w:r>
            <w:r>
              <w:rPr>
                <w:rFonts w:asciiTheme="minorHAnsi" w:eastAsiaTheme="minorEastAsia" w:hAnsiTheme="minorHAnsi" w:cstheme="minorBidi"/>
                <w:noProof/>
                <w:kern w:val="0"/>
                <w:sz w:val="22"/>
                <w:szCs w:val="22"/>
                <w14:ligatures w14:val="none"/>
              </w:rPr>
              <w:tab/>
            </w:r>
            <w:r w:rsidRPr="00F10A05">
              <w:rPr>
                <w:rStyle w:val="Hyperlink"/>
                <w:noProof/>
              </w:rPr>
              <w:t>Elemental Cost analysis of the building</w:t>
            </w:r>
            <w:r>
              <w:rPr>
                <w:noProof/>
                <w:webHidden/>
              </w:rPr>
              <w:tab/>
            </w:r>
            <w:r>
              <w:rPr>
                <w:noProof/>
                <w:webHidden/>
              </w:rPr>
              <w:fldChar w:fldCharType="begin"/>
            </w:r>
            <w:r>
              <w:rPr>
                <w:noProof/>
                <w:webHidden/>
              </w:rPr>
              <w:instrText xml:space="preserve"> PAGEREF _Toc137546248 \h </w:instrText>
            </w:r>
            <w:r>
              <w:rPr>
                <w:noProof/>
                <w:webHidden/>
              </w:rPr>
            </w:r>
            <w:r>
              <w:rPr>
                <w:noProof/>
                <w:webHidden/>
              </w:rPr>
              <w:fldChar w:fldCharType="separate"/>
            </w:r>
            <w:r>
              <w:rPr>
                <w:noProof/>
                <w:webHidden/>
              </w:rPr>
              <w:t>11</w:t>
            </w:r>
            <w:r>
              <w:rPr>
                <w:noProof/>
                <w:webHidden/>
              </w:rPr>
              <w:fldChar w:fldCharType="end"/>
            </w:r>
          </w:hyperlink>
        </w:p>
        <w:p w:rsidR="00486EAC" w:rsidRDefault="00486EAC">
          <w:pPr>
            <w:pStyle w:val="TOC2"/>
            <w:tabs>
              <w:tab w:val="left" w:pos="880"/>
              <w:tab w:val="right" w:leader="dot" w:pos="9016"/>
            </w:tabs>
            <w:rPr>
              <w:rFonts w:asciiTheme="minorHAnsi" w:eastAsiaTheme="minorEastAsia" w:hAnsiTheme="minorHAnsi" w:cstheme="minorBidi"/>
              <w:noProof/>
              <w:kern w:val="0"/>
              <w:sz w:val="22"/>
              <w:szCs w:val="22"/>
              <w14:ligatures w14:val="none"/>
            </w:rPr>
          </w:pPr>
          <w:hyperlink w:anchor="_Toc137546249" w:history="1">
            <w:r w:rsidRPr="00F10A05">
              <w:rPr>
                <w:rStyle w:val="Hyperlink"/>
                <w:noProof/>
              </w:rPr>
              <w:t>6.5</w:t>
            </w:r>
            <w:r>
              <w:rPr>
                <w:rFonts w:asciiTheme="minorHAnsi" w:eastAsiaTheme="minorEastAsia" w:hAnsiTheme="minorHAnsi" w:cstheme="minorBidi"/>
                <w:noProof/>
                <w:kern w:val="0"/>
                <w:sz w:val="22"/>
                <w:szCs w:val="22"/>
                <w14:ligatures w14:val="none"/>
              </w:rPr>
              <w:tab/>
            </w:r>
            <w:r w:rsidRPr="00F10A05">
              <w:rPr>
                <w:rStyle w:val="Hyperlink"/>
                <w:noProof/>
              </w:rPr>
              <w:t>Cost Plan No 2</w:t>
            </w:r>
            <w:r>
              <w:rPr>
                <w:noProof/>
                <w:webHidden/>
              </w:rPr>
              <w:tab/>
            </w:r>
            <w:r>
              <w:rPr>
                <w:noProof/>
                <w:webHidden/>
              </w:rPr>
              <w:fldChar w:fldCharType="begin"/>
            </w:r>
            <w:r>
              <w:rPr>
                <w:noProof/>
                <w:webHidden/>
              </w:rPr>
              <w:instrText xml:space="preserve"> PAGEREF _Toc137546249 \h </w:instrText>
            </w:r>
            <w:r>
              <w:rPr>
                <w:noProof/>
                <w:webHidden/>
              </w:rPr>
            </w:r>
            <w:r>
              <w:rPr>
                <w:noProof/>
                <w:webHidden/>
              </w:rPr>
              <w:fldChar w:fldCharType="separate"/>
            </w:r>
            <w:r>
              <w:rPr>
                <w:noProof/>
                <w:webHidden/>
              </w:rPr>
              <w:t>12</w:t>
            </w:r>
            <w:r>
              <w:rPr>
                <w:noProof/>
                <w:webHidden/>
              </w:rPr>
              <w:fldChar w:fldCharType="end"/>
            </w:r>
          </w:hyperlink>
        </w:p>
        <w:p w:rsidR="00A1364D" w:rsidRDefault="00A1364D">
          <w:r>
            <w:rPr>
              <w:b/>
              <w:bCs/>
              <w:noProof/>
            </w:rPr>
            <w:fldChar w:fldCharType="end"/>
          </w:r>
        </w:p>
      </w:sdtContent>
    </w:sdt>
    <w:p w:rsidR="00A1364D" w:rsidRDefault="00A1364D" w:rsidP="00CC27EC"/>
    <w:p w:rsidR="00A1364D" w:rsidRDefault="00A1364D">
      <w:pPr>
        <w:spacing w:line="259" w:lineRule="auto"/>
        <w:jc w:val="left"/>
      </w:pPr>
      <w:r>
        <w:br w:type="page"/>
      </w:r>
    </w:p>
    <w:p w:rsidR="00BB1B53" w:rsidRDefault="00BB1B53" w:rsidP="00CC27EC"/>
    <w:p w:rsidR="00A1364D" w:rsidRDefault="00A1364D" w:rsidP="00CC27EC"/>
    <w:p w:rsidR="00A1364D" w:rsidRDefault="00A1364D" w:rsidP="00CC27EC"/>
    <w:p w:rsidR="00A1364D" w:rsidRDefault="00A1364D" w:rsidP="00CC27EC">
      <w:pPr>
        <w:sectPr w:rsidR="00A1364D" w:rsidSect="00A1364D">
          <w:footerReference w:type="default" r:id="rId8"/>
          <w:pgSz w:w="11906" w:h="16838" w:code="9"/>
          <w:pgMar w:top="1440" w:right="1440" w:bottom="1440" w:left="1440" w:header="720" w:footer="720" w:gutter="0"/>
          <w:pgNumType w:fmt="lowerRoman" w:start="1"/>
          <w:cols w:space="720"/>
          <w:titlePg/>
          <w:docGrid w:linePitch="360"/>
        </w:sectPr>
      </w:pPr>
    </w:p>
    <w:p w:rsidR="00BB1B53" w:rsidRPr="00210B09" w:rsidRDefault="00210B09" w:rsidP="00210B09">
      <w:pPr>
        <w:pStyle w:val="Heading1"/>
      </w:pPr>
      <w:bookmarkStart w:id="0" w:name="_Toc137546230"/>
      <w:r w:rsidRPr="00210B09">
        <w:lastRenderedPageBreak/>
        <w:t>Introduction</w:t>
      </w:r>
      <w:bookmarkEnd w:id="0"/>
    </w:p>
    <w:p w:rsidR="005E2570" w:rsidRDefault="005E2570" w:rsidP="00CC27EC">
      <w:r>
        <w:t>The construction industry relies on the expertise and professionalism of Quantity Surveyors (QS) to effectively manage project costs and e</w:t>
      </w:r>
      <w:r w:rsidR="00D103FE">
        <w:t>nsure ethical practices</w:t>
      </w:r>
      <w:sdt>
        <w:sdtPr>
          <w:id w:val="-834380137"/>
          <w:citation/>
        </w:sdtPr>
        <w:sdtEndPr/>
        <w:sdtContent>
          <w:r w:rsidR="00D103FE">
            <w:fldChar w:fldCharType="begin"/>
          </w:r>
          <w:r w:rsidR="00D103FE">
            <w:instrText xml:space="preserve"> CITATION Lam04 \l 1033 </w:instrText>
          </w:r>
          <w:r w:rsidR="00D103FE">
            <w:fldChar w:fldCharType="separate"/>
          </w:r>
          <w:r w:rsidR="00D103FE">
            <w:rPr>
              <w:noProof/>
            </w:rPr>
            <w:t xml:space="preserve"> </w:t>
          </w:r>
          <w:r w:rsidR="00D103FE" w:rsidRPr="00D103FE">
            <w:rPr>
              <w:noProof/>
            </w:rPr>
            <w:t>[1]</w:t>
          </w:r>
          <w:r w:rsidR="00D103FE">
            <w:fldChar w:fldCharType="end"/>
          </w:r>
        </w:sdtContent>
      </w:sdt>
      <w:r w:rsidR="00D103FE">
        <w:t xml:space="preserve">. As </w:t>
      </w:r>
      <w:r>
        <w:t>new graduate Quantity Surveyors joining our team, it is crucial to understand the significance of professional ethics and familiarize ourselves with the Royal Institution of Chartered Surveyors (RICS) five Global ethical standards that apply to our field. This essay aims to provide an overview of professional ethics in quantity surveying, emphasizing its importance and exploring the relevance of RICS ethical standards.</w:t>
      </w:r>
    </w:p>
    <w:p w:rsidR="005E2570" w:rsidRDefault="005E2570" w:rsidP="00CC27EC">
      <w:r>
        <w:t>Professional ethics encompass the moral principles and standards that guide the behavior and decision-making of individuals within a specific profession</w:t>
      </w:r>
      <w:sdt>
        <w:sdtPr>
          <w:id w:val="1218702324"/>
          <w:citation/>
        </w:sdtPr>
        <w:sdtEndPr/>
        <w:sdtContent>
          <w:r w:rsidR="004F34F4">
            <w:fldChar w:fldCharType="begin"/>
          </w:r>
          <w:r w:rsidR="004F34F4">
            <w:instrText xml:space="preserve"> CITATION Mir22 \l 1033 </w:instrText>
          </w:r>
          <w:r w:rsidR="004F34F4">
            <w:fldChar w:fldCharType="separate"/>
          </w:r>
          <w:r w:rsidR="004F34F4">
            <w:rPr>
              <w:noProof/>
            </w:rPr>
            <w:t xml:space="preserve"> </w:t>
          </w:r>
          <w:r w:rsidR="004F34F4" w:rsidRPr="004F34F4">
            <w:rPr>
              <w:noProof/>
            </w:rPr>
            <w:t>[2]</w:t>
          </w:r>
          <w:r w:rsidR="004F34F4">
            <w:fldChar w:fldCharType="end"/>
          </w:r>
        </w:sdtContent>
      </w:sdt>
      <w:r>
        <w:t>. In the context of quantity surveying, maintaining high ethical standards is vital due to the fiduciary responsibilities associated with managing project costs and financial aspects</w:t>
      </w:r>
      <w:sdt>
        <w:sdtPr>
          <w:id w:val="-583686102"/>
          <w:citation/>
        </w:sdtPr>
        <w:sdtEndPr/>
        <w:sdtContent>
          <w:r w:rsidR="004F34F4">
            <w:fldChar w:fldCharType="begin"/>
          </w:r>
          <w:r w:rsidR="004F34F4">
            <w:instrText xml:space="preserve"> CITATION Cun11 \l 1033 </w:instrText>
          </w:r>
          <w:r w:rsidR="004F34F4">
            <w:fldChar w:fldCharType="separate"/>
          </w:r>
          <w:r w:rsidR="004F34F4">
            <w:rPr>
              <w:noProof/>
            </w:rPr>
            <w:t xml:space="preserve"> </w:t>
          </w:r>
          <w:r w:rsidR="004F34F4" w:rsidRPr="004F34F4">
            <w:rPr>
              <w:noProof/>
            </w:rPr>
            <w:t>[3]</w:t>
          </w:r>
          <w:r w:rsidR="004F34F4">
            <w:fldChar w:fldCharType="end"/>
          </w:r>
        </w:sdtContent>
      </w:sdt>
      <w:r>
        <w:t>. This essay will delve into the reasons why professional ethics is crucial in our practice and how adherence to RICS ethical standards ensures responsible and accountable conduct.</w:t>
      </w:r>
    </w:p>
    <w:p w:rsidR="00210B09" w:rsidRDefault="00210B09" w:rsidP="00210B09">
      <w:r>
        <w:t xml:space="preserve">The essay will be structured as follows: Firstly, we will explore the importance of professional ethics in quantity surveying practice, highlighting its impact on reputation, client relationships, and the overall construction industry. Numerous studies have emphasized the correlation between ethical behavior and a positive professional reputation </w:t>
      </w:r>
      <w:sdt>
        <w:sdtPr>
          <w:id w:val="321242053"/>
          <w:citation/>
        </w:sdtPr>
        <w:sdtEndPr/>
        <w:sdtContent>
          <w:r>
            <w:fldChar w:fldCharType="begin"/>
          </w:r>
          <w:r>
            <w:instrText xml:space="preserve"> CITATION Cha19 \l 1033 </w:instrText>
          </w:r>
          <w:r>
            <w:fldChar w:fldCharType="separate"/>
          </w:r>
          <w:r w:rsidRPr="00210B09">
            <w:rPr>
              <w:noProof/>
            </w:rPr>
            <w:t>[4]</w:t>
          </w:r>
          <w:r>
            <w:fldChar w:fldCharType="end"/>
          </w:r>
        </w:sdtContent>
      </w:sdt>
      <w:r>
        <w:t>. Ethical conduct cultivates trust among clients, colleagues, and stakeholders, leading to enhanced credibility and increased opportunities for business growth.</w:t>
      </w:r>
    </w:p>
    <w:p w:rsidR="00210B09" w:rsidRDefault="00210B09" w:rsidP="00210B09">
      <w:r>
        <w:t>Furthermore, ethical behavior is crucial in fostering positive client relationships. Quantity surveyors have a fiduciary duty to act in the best interest of their clients, ensuring transparency, fairness, and impartiality in their dealings</w:t>
      </w:r>
      <w:sdt>
        <w:sdtPr>
          <w:id w:val="1041406740"/>
          <w:citation/>
        </w:sdtPr>
        <w:sdtEndPr/>
        <w:sdtContent>
          <w:r>
            <w:fldChar w:fldCharType="begin"/>
          </w:r>
          <w:r>
            <w:instrText xml:space="preserve"> CITATION Car19 \l 1033 </w:instrText>
          </w:r>
          <w:r>
            <w:fldChar w:fldCharType="separate"/>
          </w:r>
          <w:r>
            <w:rPr>
              <w:noProof/>
            </w:rPr>
            <w:t xml:space="preserve"> </w:t>
          </w:r>
          <w:r w:rsidRPr="00210B09">
            <w:rPr>
              <w:noProof/>
            </w:rPr>
            <w:t>[5]</w:t>
          </w:r>
          <w:r>
            <w:fldChar w:fldCharType="end"/>
          </w:r>
        </w:sdtContent>
      </w:sdt>
      <w:r>
        <w:t>. By adhering to ethical principles, such as avoiding conflicts of interest and maintaining client confidentiality, surveyors can establish strong rapport and trust with clients, creating a conducive environment for collaboration and effective project management</w:t>
      </w:r>
      <w:sdt>
        <w:sdtPr>
          <w:id w:val="-2057226657"/>
          <w:citation/>
        </w:sdtPr>
        <w:sdtEndPr/>
        <w:sdtContent>
          <w:r>
            <w:fldChar w:fldCharType="begin"/>
          </w:r>
          <w:r>
            <w:instrText xml:space="preserve"> CITATION Che16 \l 1033 </w:instrText>
          </w:r>
          <w:r>
            <w:fldChar w:fldCharType="separate"/>
          </w:r>
          <w:r>
            <w:rPr>
              <w:noProof/>
            </w:rPr>
            <w:t xml:space="preserve"> </w:t>
          </w:r>
          <w:r w:rsidRPr="00210B09">
            <w:rPr>
              <w:noProof/>
            </w:rPr>
            <w:t>[6]</w:t>
          </w:r>
          <w:r>
            <w:fldChar w:fldCharType="end"/>
          </w:r>
        </w:sdtContent>
      </w:sdt>
      <w:r>
        <w:t>.</w:t>
      </w:r>
    </w:p>
    <w:p w:rsidR="00210B09" w:rsidRDefault="00210B09" w:rsidP="00210B09">
      <w:r>
        <w:t>Next, we will examine the five Global ethical standards set forth by RICS and discuss their relevance to quantity surveyors. These standards include acting with integrity, providing a high standard of service, promoting trust in the profession, treating others with respect, and taking responsibility</w:t>
      </w:r>
      <w:sdt>
        <w:sdtPr>
          <w:id w:val="-917093914"/>
          <w:citation/>
        </w:sdtPr>
        <w:sdtEndPr/>
        <w:sdtContent>
          <w:r>
            <w:fldChar w:fldCharType="begin"/>
          </w:r>
          <w:r>
            <w:instrText xml:space="preserve"> CITATION RIC201 \l 1033 </w:instrText>
          </w:r>
          <w:r>
            <w:fldChar w:fldCharType="separate"/>
          </w:r>
          <w:r>
            <w:rPr>
              <w:noProof/>
            </w:rPr>
            <w:t xml:space="preserve"> </w:t>
          </w:r>
          <w:r w:rsidRPr="00210B09">
            <w:rPr>
              <w:noProof/>
            </w:rPr>
            <w:t>[7]</w:t>
          </w:r>
          <w:r>
            <w:fldChar w:fldCharType="end"/>
          </w:r>
        </w:sdtContent>
      </w:sdt>
      <w:r>
        <w:t>. Adhering to these standards ensures that quantity surveyors uphold the highest ethical principles, maintain professionalism, and contribute to the overall integrity and credibility of the quantity surveying profession.</w:t>
      </w:r>
    </w:p>
    <w:p w:rsidR="00210B09" w:rsidRDefault="00210B09" w:rsidP="00210B09"/>
    <w:p w:rsidR="00BB1B53" w:rsidRDefault="00210B09" w:rsidP="00210B09">
      <w:r>
        <w:t>By understanding and embracing professional ethics, we can cultivate a positive work environment, foster trust with clients and stakeholders, and contribute to the sustainable growth of the construction industry</w:t>
      </w:r>
      <w:sdt>
        <w:sdtPr>
          <w:id w:val="-1230460060"/>
          <w:citation/>
        </w:sdtPr>
        <w:sdtEndPr/>
        <w:sdtContent>
          <w:r>
            <w:fldChar w:fldCharType="begin"/>
          </w:r>
          <w:r>
            <w:instrText xml:space="preserve"> CITATION Car19 \l 1033 </w:instrText>
          </w:r>
          <w:r>
            <w:fldChar w:fldCharType="separate"/>
          </w:r>
          <w:r>
            <w:rPr>
              <w:noProof/>
            </w:rPr>
            <w:t xml:space="preserve"> </w:t>
          </w:r>
          <w:r w:rsidRPr="00210B09">
            <w:rPr>
              <w:noProof/>
            </w:rPr>
            <w:t>[5]</w:t>
          </w:r>
          <w:r>
            <w:fldChar w:fldCharType="end"/>
          </w:r>
        </w:sdtContent>
      </w:sdt>
      <w:r>
        <w:t>. Adherence to RICS ethical standards provides a clear framework for responsible and accountable conduct in our daily practice.</w:t>
      </w:r>
      <w:r w:rsidR="00BB1B53">
        <w:br w:type="page"/>
      </w:r>
    </w:p>
    <w:p w:rsidR="00BB1B53" w:rsidRPr="00D2557F" w:rsidRDefault="00D2557F" w:rsidP="00210B09">
      <w:pPr>
        <w:pStyle w:val="Heading1"/>
      </w:pPr>
      <w:bookmarkStart w:id="1" w:name="_Toc137546231"/>
      <w:r w:rsidRPr="00D2557F">
        <w:lastRenderedPageBreak/>
        <w:t>The Importance of Professional Ethics in Quantity Surveying Practice</w:t>
      </w:r>
      <w:bookmarkEnd w:id="1"/>
    </w:p>
    <w:p w:rsidR="0091323B" w:rsidRDefault="0091323B" w:rsidP="00CC27EC">
      <w:r>
        <w:t>Professional ethics serve as the foundation for the integrity and reputation of any profession. In the context of quantity surveying, adherence to high ethical standards is of paramount importance. This chapter aims to explore the significance of professional ethics in quantity surveying practice, examining its impact on various aspects such as reputation, client relationships, and the overall construction industry. By understanding the importance of ethical conduct, new graduate Quantity Surveyors can cultivate a strong ethical framework and contribute positively to their profession.</w:t>
      </w:r>
    </w:p>
    <w:p w:rsidR="0091323B" w:rsidRPr="00210B09" w:rsidRDefault="0091323B" w:rsidP="00210B09">
      <w:pPr>
        <w:pStyle w:val="Heading2"/>
      </w:pPr>
      <w:bookmarkStart w:id="2" w:name="_Toc137546232"/>
      <w:r w:rsidRPr="00210B09">
        <w:t>Upholding Reputation:</w:t>
      </w:r>
      <w:bookmarkEnd w:id="2"/>
    </w:p>
    <w:p w:rsidR="0091323B" w:rsidRDefault="0091323B" w:rsidP="00CC27EC">
      <w:r>
        <w:t>Maintaining a strong professional reputation is crucial for quantity surveyors. Ethical conduct builds trust among clients, colleagues, and stakeholders, which, in turn, enhances the reputation of both the individual surveyor and the organization they represent. A surveyor known for their ethical behavior is more likely to attract clients and secure repeat business, leading to long-term success in the field</w:t>
      </w:r>
      <w:sdt>
        <w:sdtPr>
          <w:id w:val="-1556386328"/>
          <w:citation/>
        </w:sdtPr>
        <w:sdtEndPr/>
        <w:sdtContent>
          <w:r>
            <w:fldChar w:fldCharType="begin"/>
          </w:r>
          <w:r w:rsidR="00D7630D">
            <w:instrText xml:space="preserve">CITATION RIC20 \l 1033 </w:instrText>
          </w:r>
          <w:r>
            <w:fldChar w:fldCharType="separate"/>
          </w:r>
          <w:r w:rsidR="00210B09">
            <w:rPr>
              <w:noProof/>
            </w:rPr>
            <w:t xml:space="preserve"> </w:t>
          </w:r>
          <w:r w:rsidR="00210B09" w:rsidRPr="00210B09">
            <w:rPr>
              <w:noProof/>
            </w:rPr>
            <w:t>[8]</w:t>
          </w:r>
          <w:r>
            <w:fldChar w:fldCharType="end"/>
          </w:r>
        </w:sdtContent>
      </w:sdt>
      <w:r>
        <w:t>.</w:t>
      </w:r>
    </w:p>
    <w:p w:rsidR="0091323B" w:rsidRPr="0091323B" w:rsidRDefault="0091323B" w:rsidP="00210B09">
      <w:pPr>
        <w:pStyle w:val="Heading2"/>
      </w:pPr>
      <w:bookmarkStart w:id="3" w:name="_Toc137546233"/>
      <w:r w:rsidRPr="0091323B">
        <w:t>Client Relationships:</w:t>
      </w:r>
      <w:bookmarkEnd w:id="3"/>
    </w:p>
    <w:p w:rsidR="0091323B" w:rsidRDefault="0091323B" w:rsidP="00CC27EC">
      <w:r>
        <w:t>Ethics play a vital role in fostering positive client relationships. Quantity surveyors have a fiduciary duty to act in the best interest of their clients, ensuring transparency, fairness, and impartiality in their dealings. By adhering to ethical principles, such as avoiding conflicts of interest and maintaining client confidentiality, surveyors can establish strong rapport and trust with clients, creating a conducive environment for collaboration and effective project management</w:t>
      </w:r>
      <w:sdt>
        <w:sdtPr>
          <w:id w:val="852307741"/>
          <w:citation/>
        </w:sdtPr>
        <w:sdtEndPr/>
        <w:sdtContent>
          <w:r>
            <w:fldChar w:fldCharType="begin"/>
          </w:r>
          <w:r>
            <w:instrText xml:space="preserve"> CITATION Che16 \l 1033 </w:instrText>
          </w:r>
          <w:r>
            <w:fldChar w:fldCharType="separate"/>
          </w:r>
          <w:r w:rsidR="00210B09">
            <w:rPr>
              <w:noProof/>
            </w:rPr>
            <w:t xml:space="preserve"> </w:t>
          </w:r>
          <w:r w:rsidR="00210B09" w:rsidRPr="00210B09">
            <w:rPr>
              <w:noProof/>
            </w:rPr>
            <w:t>[6]</w:t>
          </w:r>
          <w:r>
            <w:fldChar w:fldCharType="end"/>
          </w:r>
        </w:sdtContent>
      </w:sdt>
      <w:r>
        <w:t>.</w:t>
      </w:r>
    </w:p>
    <w:p w:rsidR="0091323B" w:rsidRPr="0091323B" w:rsidRDefault="0091323B" w:rsidP="00210B09">
      <w:pPr>
        <w:pStyle w:val="Heading2"/>
      </w:pPr>
      <w:bookmarkStart w:id="4" w:name="_Toc137546234"/>
      <w:r w:rsidRPr="0091323B">
        <w:t>Industry Integrity:</w:t>
      </w:r>
      <w:bookmarkEnd w:id="4"/>
    </w:p>
    <w:p w:rsidR="0091323B" w:rsidRDefault="0091323B" w:rsidP="00CC27EC">
      <w:r>
        <w:t>The construction industry relies on the ethical conduct of its professionals to ensure fairness, accountability, and sustainability. Quantity surveyors have a responsibility to promote ethical behavior within the industry, acting as role models for other professionals. Ethical practices contribute to the overall integrity of the industry, preventing corruption, promoting fair competition, and fostering a culture of professionalism</w:t>
      </w:r>
      <w:sdt>
        <w:sdtPr>
          <w:id w:val="-1845395398"/>
          <w:citation/>
        </w:sdtPr>
        <w:sdtEndPr/>
        <w:sdtContent>
          <w:r>
            <w:fldChar w:fldCharType="begin"/>
          </w:r>
          <w:r>
            <w:instrText xml:space="preserve"> CITATION Car12 \l 1033 </w:instrText>
          </w:r>
          <w:r>
            <w:fldChar w:fldCharType="separate"/>
          </w:r>
          <w:r w:rsidR="00210B09">
            <w:rPr>
              <w:noProof/>
            </w:rPr>
            <w:t xml:space="preserve"> </w:t>
          </w:r>
          <w:r w:rsidR="00210B09" w:rsidRPr="00210B09">
            <w:rPr>
              <w:noProof/>
            </w:rPr>
            <w:t>[9]</w:t>
          </w:r>
          <w:r>
            <w:fldChar w:fldCharType="end"/>
          </w:r>
        </w:sdtContent>
      </w:sdt>
      <w:r>
        <w:t>.</w:t>
      </w:r>
    </w:p>
    <w:p w:rsidR="0091323B" w:rsidRPr="0091323B" w:rsidRDefault="0091323B" w:rsidP="00210B09">
      <w:pPr>
        <w:pStyle w:val="Heading2"/>
      </w:pPr>
      <w:bookmarkStart w:id="5" w:name="_Toc137546235"/>
      <w:r w:rsidRPr="0091323B">
        <w:t>Legal and Regulatory Compliance:</w:t>
      </w:r>
      <w:bookmarkEnd w:id="5"/>
    </w:p>
    <w:p w:rsidR="0091323B" w:rsidRDefault="0091323B" w:rsidP="00CC27EC">
      <w:r>
        <w:t xml:space="preserve">Professional ethics guide quantity surveyors in complying with legal and regulatory frameworks governing their practice. By adhering to ethical standards, surveyors can navigate </w:t>
      </w:r>
      <w:r>
        <w:lastRenderedPageBreak/>
        <w:t>complex legal landscapes and ensure compliance with relevant laws and regulations, mitigating the risk of legal issues and reputational damage. Ethical conduct serves as a compass for making informed decisions that are both legally sound and morally upright</w:t>
      </w:r>
      <w:sdt>
        <w:sdtPr>
          <w:id w:val="865107291"/>
          <w:citation/>
        </w:sdtPr>
        <w:sdtEndPr/>
        <w:sdtContent>
          <w:r>
            <w:fldChar w:fldCharType="begin"/>
          </w:r>
          <w:r>
            <w:instrText xml:space="preserve"> CITATION Cha19 \l 1033 </w:instrText>
          </w:r>
          <w:r>
            <w:fldChar w:fldCharType="separate"/>
          </w:r>
          <w:r w:rsidR="00210B09">
            <w:rPr>
              <w:noProof/>
            </w:rPr>
            <w:t xml:space="preserve"> </w:t>
          </w:r>
          <w:r w:rsidR="00210B09" w:rsidRPr="00210B09">
            <w:rPr>
              <w:noProof/>
            </w:rPr>
            <w:t>[4]</w:t>
          </w:r>
          <w:r>
            <w:fldChar w:fldCharType="end"/>
          </w:r>
        </w:sdtContent>
      </w:sdt>
      <w:r>
        <w:t>.</w:t>
      </w:r>
    </w:p>
    <w:p w:rsidR="0091323B" w:rsidRPr="0091323B" w:rsidRDefault="0091323B" w:rsidP="00CC27EC"/>
    <w:p w:rsidR="00BB1B53" w:rsidRDefault="0091323B" w:rsidP="00CC27EC">
      <w:r>
        <w:t xml:space="preserve">Professional ethics form the bedrock of quantity surveying practice, impacting reputation, client relationships, and the construction industry as a whole. By upholding high ethical standards, quantity </w:t>
      </w:r>
      <w:r w:rsidRPr="00CC27EC">
        <w:t>surveyors can build trust, foster positive client relationships, and contribute to the integrity and sustainability of the construction industry. Understanding the importance of professional ethics empowers</w:t>
      </w:r>
      <w:r>
        <w:t xml:space="preserve"> new graduate Quantity Surveyors to make ethical decisions, navigate complex challenges, and excel in their roles as responsible professionals.</w:t>
      </w:r>
    </w:p>
    <w:p w:rsidR="0091323B" w:rsidRDefault="0091323B" w:rsidP="00CC27EC"/>
    <w:p w:rsidR="0091323B" w:rsidRDefault="0091323B" w:rsidP="00CC27EC">
      <w:r>
        <w:br w:type="page"/>
      </w:r>
    </w:p>
    <w:p w:rsidR="0091323B" w:rsidRPr="001B3F7A" w:rsidRDefault="00D7630D" w:rsidP="00210B09">
      <w:pPr>
        <w:pStyle w:val="Heading1"/>
      </w:pPr>
      <w:bookmarkStart w:id="6" w:name="_Toc137546236"/>
      <w:r w:rsidRPr="001B3F7A">
        <w:lastRenderedPageBreak/>
        <w:t>RICS Global Ethical Standards for Quantity Surveyors</w:t>
      </w:r>
      <w:bookmarkEnd w:id="6"/>
    </w:p>
    <w:p w:rsidR="00CC27EC" w:rsidRPr="00CC27EC" w:rsidRDefault="00CC27EC" w:rsidP="00CC27EC">
      <w:r w:rsidRPr="00CC27EC">
        <w:t>The Royal Institution of Chartered Surveyors (RICS) has established a set of Global ethical standards that serve as a guiding framework for professionals in the quantity surveying field. These standards outline the expected behaviors and ethical responsibilities of quantity surveyors, ensuring professionalism, integrity, and accountability in their practice. This chapter aims to explore the five Global ethical standards set forth by RICS and analyze their relevance to quantity surveyors.</w:t>
      </w:r>
    </w:p>
    <w:p w:rsidR="00CC27EC" w:rsidRPr="00CC27EC" w:rsidRDefault="00CC27EC" w:rsidP="00210B09">
      <w:pPr>
        <w:pStyle w:val="Heading2"/>
        <w:rPr>
          <w:rFonts w:eastAsia="Times New Roman"/>
        </w:rPr>
      </w:pPr>
      <w:bookmarkStart w:id="7" w:name="_Toc137546237"/>
      <w:r w:rsidRPr="00CC27EC">
        <w:rPr>
          <w:rFonts w:eastAsia="Times New Roman"/>
        </w:rPr>
        <w:t>Act with Integrity:</w:t>
      </w:r>
      <w:bookmarkEnd w:id="7"/>
    </w:p>
    <w:p w:rsidR="00CC27EC" w:rsidRPr="00CC27EC" w:rsidRDefault="00CC27EC" w:rsidP="00CC27EC">
      <w:r w:rsidRPr="00CC27EC">
        <w:t>The first ethical standard requires quantity surveyors to act with integrity, demonstrating honesty, fairness, and transparency in all professional dealings. This involves maintaining professional independence, avoiding conflicts of interest, and upholding the highest ethical principles</w:t>
      </w:r>
      <w:sdt>
        <w:sdtPr>
          <w:id w:val="-599803081"/>
          <w:citation/>
        </w:sdtPr>
        <w:sdtEndPr/>
        <w:sdtContent>
          <w:r w:rsidR="001B3F7A">
            <w:fldChar w:fldCharType="begin"/>
          </w:r>
          <w:r w:rsidR="001B3F7A">
            <w:instrText xml:space="preserve"> CITATION RIC0b \l 1033 </w:instrText>
          </w:r>
          <w:r w:rsidR="001B3F7A">
            <w:fldChar w:fldCharType="separate"/>
          </w:r>
          <w:r w:rsidR="00210B09">
            <w:rPr>
              <w:noProof/>
            </w:rPr>
            <w:t xml:space="preserve"> </w:t>
          </w:r>
          <w:r w:rsidR="00210B09" w:rsidRPr="00210B09">
            <w:rPr>
              <w:noProof/>
            </w:rPr>
            <w:t>[10]</w:t>
          </w:r>
          <w:r w:rsidR="001B3F7A">
            <w:fldChar w:fldCharType="end"/>
          </w:r>
        </w:sdtContent>
      </w:sdt>
      <w:r w:rsidRPr="00CC27EC">
        <w:t>. By adhering to this standard, quantity surveyors foster trust and ensure ethical decision-making throughout the project lifecycle.</w:t>
      </w:r>
    </w:p>
    <w:p w:rsidR="00CC27EC" w:rsidRPr="00CC27EC" w:rsidRDefault="00CC27EC" w:rsidP="00210B09">
      <w:pPr>
        <w:pStyle w:val="Heading2"/>
        <w:rPr>
          <w:rFonts w:eastAsia="Times New Roman"/>
        </w:rPr>
      </w:pPr>
      <w:bookmarkStart w:id="8" w:name="_Toc137546238"/>
      <w:r w:rsidRPr="00CC27EC">
        <w:rPr>
          <w:rFonts w:eastAsia="Times New Roman"/>
        </w:rPr>
        <w:t>Provide a High Standard of Service:</w:t>
      </w:r>
      <w:bookmarkEnd w:id="8"/>
    </w:p>
    <w:p w:rsidR="00CC27EC" w:rsidRPr="00CC27EC" w:rsidRDefault="00CC27EC" w:rsidP="00CC27EC">
      <w:r w:rsidRPr="00CC27EC">
        <w:t>Quantity surveyors are expected to provide a high standard of service, delivering accurate and unbiased advice to clients. This ethical standard emphasizes the importance of competence, professionalism, and continuous improvement in the quantity surveying profession. By staying abreast of industry developments, embracing technological advancements, and maintaining up-to-date knowledge, quantity surveyors can provide exceptional service that meets client expectations</w:t>
      </w:r>
      <w:sdt>
        <w:sdtPr>
          <w:id w:val="1665435269"/>
          <w:citation/>
        </w:sdtPr>
        <w:sdtEndPr/>
        <w:sdtContent>
          <w:r w:rsidR="001B3F7A">
            <w:fldChar w:fldCharType="begin"/>
          </w:r>
          <w:r w:rsidR="001B3F7A">
            <w:instrText xml:space="preserve"> CITATION RIC0b \l 1033 </w:instrText>
          </w:r>
          <w:r w:rsidR="001B3F7A">
            <w:fldChar w:fldCharType="separate"/>
          </w:r>
          <w:r w:rsidR="00210B09">
            <w:rPr>
              <w:noProof/>
            </w:rPr>
            <w:t xml:space="preserve"> </w:t>
          </w:r>
          <w:r w:rsidR="00210B09" w:rsidRPr="00210B09">
            <w:rPr>
              <w:noProof/>
            </w:rPr>
            <w:t>[10]</w:t>
          </w:r>
          <w:r w:rsidR="001B3F7A">
            <w:fldChar w:fldCharType="end"/>
          </w:r>
        </w:sdtContent>
      </w:sdt>
      <w:r w:rsidRPr="00CC27EC">
        <w:t>.</w:t>
      </w:r>
    </w:p>
    <w:p w:rsidR="00CC27EC" w:rsidRPr="00CC27EC" w:rsidRDefault="00CC27EC" w:rsidP="00210B09">
      <w:pPr>
        <w:pStyle w:val="Heading2"/>
        <w:rPr>
          <w:rFonts w:eastAsia="Times New Roman"/>
        </w:rPr>
      </w:pPr>
      <w:bookmarkStart w:id="9" w:name="_Toc137546239"/>
      <w:r w:rsidRPr="00CC27EC">
        <w:rPr>
          <w:rFonts w:eastAsia="Times New Roman"/>
        </w:rPr>
        <w:t>Act in a Manner that Promotes Trust in the Profession:</w:t>
      </w:r>
      <w:bookmarkEnd w:id="9"/>
    </w:p>
    <w:p w:rsidR="00CC27EC" w:rsidRPr="00CC27EC" w:rsidRDefault="00CC27EC" w:rsidP="00CC27EC">
      <w:r w:rsidRPr="00CC27EC">
        <w:t xml:space="preserve">Quantity surveyors play a crucial role in promoting trust and confidence in the profession. This ethical standard requires surveyors to uphold the reputation of the quantity surveying profession by demonstrating ethical behavior, acting in the public interest, and avoiding conduct that may discredit the profession. By conducting themselves in a manner that promotes trust, quantity surveyors contribute to the overall integrity </w:t>
      </w:r>
      <w:r w:rsidR="001B3F7A">
        <w:t>and credibility of the industry</w:t>
      </w:r>
      <w:sdt>
        <w:sdtPr>
          <w:id w:val="555207314"/>
          <w:citation/>
        </w:sdtPr>
        <w:sdtEndPr/>
        <w:sdtContent>
          <w:r w:rsidR="001B3F7A">
            <w:fldChar w:fldCharType="begin"/>
          </w:r>
          <w:r w:rsidR="001B3F7A">
            <w:instrText xml:space="preserve"> CITATION RIC0b \l 1033 </w:instrText>
          </w:r>
          <w:r w:rsidR="001B3F7A">
            <w:fldChar w:fldCharType="separate"/>
          </w:r>
          <w:r w:rsidR="00210B09">
            <w:rPr>
              <w:noProof/>
            </w:rPr>
            <w:t xml:space="preserve"> </w:t>
          </w:r>
          <w:r w:rsidR="00210B09" w:rsidRPr="00210B09">
            <w:rPr>
              <w:noProof/>
            </w:rPr>
            <w:t>[10]</w:t>
          </w:r>
          <w:r w:rsidR="001B3F7A">
            <w:fldChar w:fldCharType="end"/>
          </w:r>
        </w:sdtContent>
      </w:sdt>
      <w:r w:rsidR="001B3F7A">
        <w:t>.</w:t>
      </w:r>
    </w:p>
    <w:p w:rsidR="00CC27EC" w:rsidRPr="00CC27EC" w:rsidRDefault="00CC27EC" w:rsidP="00210B09">
      <w:pPr>
        <w:pStyle w:val="Heading2"/>
        <w:rPr>
          <w:rFonts w:eastAsia="Times New Roman"/>
        </w:rPr>
      </w:pPr>
      <w:bookmarkStart w:id="10" w:name="_Toc137546240"/>
      <w:r w:rsidRPr="00CC27EC">
        <w:rPr>
          <w:rFonts w:eastAsia="Times New Roman"/>
        </w:rPr>
        <w:t>Treat Others with Respect:</w:t>
      </w:r>
      <w:bookmarkEnd w:id="10"/>
    </w:p>
    <w:p w:rsidR="00CC27EC" w:rsidRPr="00CC27EC" w:rsidRDefault="00CC27EC" w:rsidP="00CC27EC">
      <w:r w:rsidRPr="00CC27EC">
        <w:t xml:space="preserve">Respecting the rights, dignity, and diversity of others is another key ethical standard for quantity surveyors. This includes treating colleagues, clients, and stakeholders with fairness, impartiality, and professionalism. By embracing diversity, fostering inclusive work </w:t>
      </w:r>
      <w:r w:rsidRPr="00CC27EC">
        <w:lastRenderedPageBreak/>
        <w:t>environments, and valuing different perspectives, quantity surveyors contribute to a harmonious and respectful professional community</w:t>
      </w:r>
      <w:sdt>
        <w:sdtPr>
          <w:id w:val="1298497245"/>
          <w:citation/>
        </w:sdtPr>
        <w:sdtEndPr/>
        <w:sdtContent>
          <w:r w:rsidR="001B3F7A">
            <w:fldChar w:fldCharType="begin"/>
          </w:r>
          <w:r w:rsidR="001B3F7A">
            <w:instrText xml:space="preserve"> CITATION RIC0b \l 1033 </w:instrText>
          </w:r>
          <w:r w:rsidR="001B3F7A">
            <w:fldChar w:fldCharType="separate"/>
          </w:r>
          <w:r w:rsidR="00210B09">
            <w:rPr>
              <w:noProof/>
            </w:rPr>
            <w:t xml:space="preserve"> </w:t>
          </w:r>
          <w:r w:rsidR="00210B09" w:rsidRPr="00210B09">
            <w:rPr>
              <w:noProof/>
            </w:rPr>
            <w:t>[10]</w:t>
          </w:r>
          <w:r w:rsidR="001B3F7A">
            <w:fldChar w:fldCharType="end"/>
          </w:r>
        </w:sdtContent>
      </w:sdt>
      <w:r w:rsidRPr="00CC27EC">
        <w:t>.</w:t>
      </w:r>
    </w:p>
    <w:p w:rsidR="00CC27EC" w:rsidRPr="00CC27EC" w:rsidRDefault="00CC27EC" w:rsidP="00210B09">
      <w:pPr>
        <w:pStyle w:val="Heading2"/>
        <w:rPr>
          <w:rFonts w:eastAsia="Times New Roman"/>
        </w:rPr>
      </w:pPr>
      <w:bookmarkStart w:id="11" w:name="_Toc137546241"/>
      <w:r w:rsidRPr="00CC27EC">
        <w:rPr>
          <w:rFonts w:eastAsia="Times New Roman"/>
        </w:rPr>
        <w:t>Take Responsibility:</w:t>
      </w:r>
      <w:bookmarkEnd w:id="11"/>
    </w:p>
    <w:p w:rsidR="00CC27EC" w:rsidRPr="00CC27EC" w:rsidRDefault="00CC27EC" w:rsidP="00CC27EC">
      <w:r w:rsidRPr="00CC27EC">
        <w:t>The final ethical standard calls upon quantity surveyors to take responsibility for their actions, decisions, and their impact on the environment, society, and the profession. This includes considering the long-term consequences of their work, promoting sustainability, and being accountable for their professional conduct. Quantity surveyors have a duty to ensure that their actions align with ethical principles and contribute positively to the built environment</w:t>
      </w:r>
      <w:sdt>
        <w:sdtPr>
          <w:id w:val="1184087153"/>
          <w:citation/>
        </w:sdtPr>
        <w:sdtEndPr/>
        <w:sdtContent>
          <w:r w:rsidR="001B3F7A">
            <w:fldChar w:fldCharType="begin"/>
          </w:r>
          <w:r w:rsidR="001B3F7A">
            <w:instrText xml:space="preserve"> CITATION RIC0b \l 1033 </w:instrText>
          </w:r>
          <w:r w:rsidR="001B3F7A">
            <w:fldChar w:fldCharType="separate"/>
          </w:r>
          <w:r w:rsidR="00210B09">
            <w:rPr>
              <w:noProof/>
            </w:rPr>
            <w:t xml:space="preserve"> </w:t>
          </w:r>
          <w:r w:rsidR="00210B09" w:rsidRPr="00210B09">
            <w:rPr>
              <w:noProof/>
            </w:rPr>
            <w:t>[10]</w:t>
          </w:r>
          <w:r w:rsidR="001B3F7A">
            <w:fldChar w:fldCharType="end"/>
          </w:r>
        </w:sdtContent>
      </w:sdt>
      <w:r w:rsidRPr="00CC27EC">
        <w:t>.</w:t>
      </w:r>
    </w:p>
    <w:p w:rsidR="00CC27EC" w:rsidRPr="00CC27EC" w:rsidRDefault="00CC27EC" w:rsidP="00CC27EC"/>
    <w:p w:rsidR="00CC27EC" w:rsidRDefault="00CC27EC" w:rsidP="00CC27EC">
      <w:r w:rsidRPr="00CC27EC">
        <w:rPr>
          <w:rFonts w:eastAsia="Times New Roman"/>
          <w:kern w:val="0"/>
          <w14:ligatures w14:val="none"/>
        </w:rPr>
        <w:t xml:space="preserve">The RICS Global </w:t>
      </w:r>
      <w:r w:rsidRPr="00CC27EC">
        <w:t>ethical standards provide a comprehensive framework for quantity surveyors to maintain professionalism, integrity, and accountability. By embracing these ethical standards, quantity surveyors can act with integrity, provide exceptional service, promote trust in the profession, treat others with respect, and take responsibility for their actions. Adhering to these standards not only ensures ethical behavior but also contributes to the sustainable growth and positive reputation of the quantity surveying field.</w:t>
      </w:r>
    </w:p>
    <w:p w:rsidR="001B3F7A" w:rsidRDefault="001B3F7A" w:rsidP="00CC27EC"/>
    <w:p w:rsidR="001B3F7A" w:rsidRPr="001B3F7A" w:rsidRDefault="001B3F7A" w:rsidP="00210B09">
      <w:pPr>
        <w:pStyle w:val="Heading1"/>
      </w:pPr>
      <w:r>
        <w:br w:type="page"/>
      </w:r>
      <w:bookmarkStart w:id="12" w:name="_Toc137546242"/>
      <w:r w:rsidRPr="001B3F7A">
        <w:lastRenderedPageBreak/>
        <w:t>Conclusion</w:t>
      </w:r>
      <w:bookmarkEnd w:id="12"/>
    </w:p>
    <w:p w:rsidR="001B3F7A" w:rsidRDefault="001B3F7A" w:rsidP="001B3F7A">
      <w:r>
        <w:t>In conclusion, professional ethics play a vital role in the practice of quantity surveying. Adhering to ethical standards ensures that quantity surveyors uphold their responsibilities with integrity, professionalism, and accountability. Throughout this essay, we have explored the importance of professional ethics in quantity surveying practice and examined the relevance of the five Global ethical standards set forth by RICS.</w:t>
      </w:r>
    </w:p>
    <w:p w:rsidR="001B3F7A" w:rsidRDefault="001B3F7A" w:rsidP="001B3F7A">
      <w:r>
        <w:t>Professional ethics are essential for quantity surveyors as they impact various aspects of their work. Upholding ethical behavior helps maintain a strong reputation both for the individual surveyor and the organization they represent. Trust is built among clients, colleagues, and stakeholders, leading to stronger client relationships and repeat business. Ethical conduct also contributes to the integrity of the construction industry, promoting fair competition, preventing corruption, and fostering a culture of professionalism.</w:t>
      </w:r>
    </w:p>
    <w:p w:rsidR="001B3F7A" w:rsidRDefault="001B3F7A" w:rsidP="001B3F7A">
      <w:r>
        <w:t>The five Global ethical standards established by RICS provide a comprehensive framework for quantity surveyors to guide their ethical behavior. Acting with integrity, providing a high standard of service, promoting trust in the profession, treating others with respect, and taking responsibility are the key principles outlined by RICS. By adhering to these standards, quantity surveyors ensure ethical decision-making, professionalism, and responsible conduct in their practice.</w:t>
      </w:r>
    </w:p>
    <w:p w:rsidR="001B3F7A" w:rsidRDefault="001B3F7A" w:rsidP="001B3F7A">
      <w:r>
        <w:t>It is important for new graduate Quantity Surveyors to understand the significance of professional ethics and the RICS Global ethical standards as they embark on their careers. Adhering to these standards will not only guide their behavior but also contribute to their professional growth, reputation, and the overall sustainability of the construction industry.</w:t>
      </w:r>
    </w:p>
    <w:p w:rsidR="00D7630D" w:rsidRDefault="001B3F7A" w:rsidP="001B3F7A">
      <w:r>
        <w:t>In summary, professional ethics are the bedrock of quantity surveying practice. By upholding ethical standards, quantity surveyors build trust, foster positive client relationships, and promote the integrity of the profession and the industry as a whole. Adhering to the five Global ethical standards set forth by RICS ensures that quantity surveyors maintain the highest levels of professionalism, integrity, and accountability in their work.</w:t>
      </w:r>
    </w:p>
    <w:p w:rsidR="00210B09" w:rsidRDefault="00210B09">
      <w:pPr>
        <w:spacing w:line="259" w:lineRule="auto"/>
        <w:jc w:val="left"/>
      </w:pPr>
      <w:r>
        <w:br w:type="page"/>
      </w:r>
    </w:p>
    <w:bookmarkStart w:id="13" w:name="_Toc137546243" w:displacedByCustomXml="next"/>
    <w:sdt>
      <w:sdtPr>
        <w:rPr>
          <w:rFonts w:eastAsiaTheme="minorHAnsi"/>
          <w:b w:val="0"/>
          <w:bCs w:val="0"/>
          <w:kern w:val="2"/>
          <w:sz w:val="24"/>
          <w:szCs w:val="24"/>
          <w:lang w:bidi="si-LK"/>
          <w14:ligatures w14:val="standardContextual"/>
        </w:rPr>
        <w:id w:val="-238711531"/>
        <w:docPartObj>
          <w:docPartGallery w:val="Bibliographies"/>
          <w:docPartUnique/>
        </w:docPartObj>
      </w:sdtPr>
      <w:sdtEndPr/>
      <w:sdtContent>
        <w:p w:rsidR="00210B09" w:rsidRDefault="00210B09" w:rsidP="00210B09">
          <w:pPr>
            <w:pStyle w:val="Heading1"/>
          </w:pPr>
          <w:r>
            <w:t>References</w:t>
          </w:r>
          <w:bookmarkEnd w:id="13"/>
        </w:p>
        <w:sdt>
          <w:sdtPr>
            <w:id w:val="-573587230"/>
            <w:bibliography/>
          </w:sdtPr>
          <w:sdtEndPr/>
          <w:sdtContent>
            <w:p w:rsidR="00210B09" w:rsidRDefault="00210B09">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210B09">
                <w:trPr>
                  <w:divId w:val="781651271"/>
                  <w:tblCellSpacing w:w="15" w:type="dxa"/>
                </w:trPr>
                <w:tc>
                  <w:tcPr>
                    <w:tcW w:w="50" w:type="pct"/>
                    <w:hideMark/>
                  </w:tcPr>
                  <w:p w:rsidR="00210B09" w:rsidRDefault="00210B09">
                    <w:pPr>
                      <w:pStyle w:val="Bibliography"/>
                      <w:rPr>
                        <w:noProof/>
                      </w:rPr>
                    </w:pPr>
                    <w:r>
                      <w:rPr>
                        <w:noProof/>
                      </w:rPr>
                      <w:t xml:space="preserve">[1] </w:t>
                    </w:r>
                  </w:p>
                </w:tc>
                <w:tc>
                  <w:tcPr>
                    <w:tcW w:w="0" w:type="auto"/>
                    <w:hideMark/>
                  </w:tcPr>
                  <w:p w:rsidR="00210B09" w:rsidRDefault="00210B09">
                    <w:pPr>
                      <w:pStyle w:val="Bibliography"/>
                      <w:rPr>
                        <w:noProof/>
                      </w:rPr>
                    </w:pPr>
                    <w:r>
                      <w:rPr>
                        <w:noProof/>
                      </w:rPr>
                      <w:t xml:space="preserve">T. Lamb, Douglas and Merna, A Guide to the Procurement of Privately Financed Projects: An Indicative Assessment of the Procurement Process, ICE Publishing, 2004. </w:t>
                    </w:r>
                  </w:p>
                </w:tc>
              </w:tr>
              <w:tr w:rsidR="00210B09">
                <w:trPr>
                  <w:divId w:val="781651271"/>
                  <w:tblCellSpacing w:w="15" w:type="dxa"/>
                </w:trPr>
                <w:tc>
                  <w:tcPr>
                    <w:tcW w:w="50" w:type="pct"/>
                    <w:hideMark/>
                  </w:tcPr>
                  <w:p w:rsidR="00210B09" w:rsidRDefault="00210B09">
                    <w:pPr>
                      <w:pStyle w:val="Bibliography"/>
                      <w:rPr>
                        <w:noProof/>
                      </w:rPr>
                    </w:pPr>
                    <w:r>
                      <w:rPr>
                        <w:noProof/>
                      </w:rPr>
                      <w:t xml:space="preserve">[2] </w:t>
                    </w:r>
                  </w:p>
                </w:tc>
                <w:tc>
                  <w:tcPr>
                    <w:tcW w:w="0" w:type="auto"/>
                    <w:hideMark/>
                  </w:tcPr>
                  <w:p w:rsidR="00210B09" w:rsidRDefault="00210B09">
                    <w:pPr>
                      <w:pStyle w:val="Bibliography"/>
                      <w:rPr>
                        <w:noProof/>
                      </w:rPr>
                    </w:pPr>
                    <w:r>
                      <w:rPr>
                        <w:noProof/>
                      </w:rPr>
                      <w:t xml:space="preserve">R. Mirsky and J. Schaufelberger, Professional Ethics for the Construction Industry, Routledge , 2022. </w:t>
                    </w:r>
                  </w:p>
                </w:tc>
              </w:tr>
              <w:tr w:rsidR="00210B09">
                <w:trPr>
                  <w:divId w:val="781651271"/>
                  <w:tblCellSpacing w:w="15" w:type="dxa"/>
                </w:trPr>
                <w:tc>
                  <w:tcPr>
                    <w:tcW w:w="50" w:type="pct"/>
                    <w:hideMark/>
                  </w:tcPr>
                  <w:p w:rsidR="00210B09" w:rsidRDefault="00210B09">
                    <w:pPr>
                      <w:pStyle w:val="Bibliography"/>
                      <w:rPr>
                        <w:noProof/>
                      </w:rPr>
                    </w:pPr>
                    <w:r>
                      <w:rPr>
                        <w:noProof/>
                      </w:rPr>
                      <w:t xml:space="preserve">[3] </w:t>
                    </w:r>
                  </w:p>
                </w:tc>
                <w:tc>
                  <w:tcPr>
                    <w:tcW w:w="0" w:type="auto"/>
                    <w:hideMark/>
                  </w:tcPr>
                  <w:p w:rsidR="00210B09" w:rsidRDefault="00210B09">
                    <w:pPr>
                      <w:pStyle w:val="Bibliography"/>
                      <w:rPr>
                        <w:noProof/>
                      </w:rPr>
                    </w:pPr>
                    <w:r>
                      <w:rPr>
                        <w:noProof/>
                      </w:rPr>
                      <w:t>T. Cunningham, "Professionalism and Ethics: A Quantity Surveying Perspective," Dublin Institute of Technology, 2011.</w:t>
                    </w:r>
                  </w:p>
                </w:tc>
              </w:tr>
              <w:tr w:rsidR="00210B09">
                <w:trPr>
                  <w:divId w:val="781651271"/>
                  <w:tblCellSpacing w:w="15" w:type="dxa"/>
                </w:trPr>
                <w:tc>
                  <w:tcPr>
                    <w:tcW w:w="50" w:type="pct"/>
                    <w:hideMark/>
                  </w:tcPr>
                  <w:p w:rsidR="00210B09" w:rsidRDefault="00210B09">
                    <w:pPr>
                      <w:pStyle w:val="Bibliography"/>
                      <w:rPr>
                        <w:noProof/>
                      </w:rPr>
                    </w:pPr>
                    <w:r>
                      <w:rPr>
                        <w:noProof/>
                      </w:rPr>
                      <w:t xml:space="preserve">[4] </w:t>
                    </w:r>
                  </w:p>
                </w:tc>
                <w:tc>
                  <w:tcPr>
                    <w:tcW w:w="0" w:type="auto"/>
                    <w:hideMark/>
                  </w:tcPr>
                  <w:p w:rsidR="00210B09" w:rsidRDefault="00210B09">
                    <w:pPr>
                      <w:pStyle w:val="Bibliography"/>
                      <w:rPr>
                        <w:noProof/>
                      </w:rPr>
                    </w:pPr>
                    <w:r>
                      <w:rPr>
                        <w:noProof/>
                      </w:rPr>
                      <w:t xml:space="preserve">C. Chau, M. Anson and K. Yu, "The importance of professional ethics in the quantity surveying profession," </w:t>
                    </w:r>
                    <w:r>
                      <w:rPr>
                        <w:i/>
                        <w:iCs/>
                        <w:noProof/>
                      </w:rPr>
                      <w:t xml:space="preserve">Journal of Engineering, Design and Technology, </w:t>
                    </w:r>
                    <w:r>
                      <w:rPr>
                        <w:noProof/>
                      </w:rPr>
                      <w:t xml:space="preserve">vol. 17(2), pp. 295-312, 2019. </w:t>
                    </w:r>
                  </w:p>
                </w:tc>
              </w:tr>
              <w:tr w:rsidR="00210B09">
                <w:trPr>
                  <w:divId w:val="781651271"/>
                  <w:tblCellSpacing w:w="15" w:type="dxa"/>
                </w:trPr>
                <w:tc>
                  <w:tcPr>
                    <w:tcW w:w="50" w:type="pct"/>
                    <w:hideMark/>
                  </w:tcPr>
                  <w:p w:rsidR="00210B09" w:rsidRDefault="00210B09">
                    <w:pPr>
                      <w:pStyle w:val="Bibliography"/>
                      <w:rPr>
                        <w:noProof/>
                      </w:rPr>
                    </w:pPr>
                    <w:r>
                      <w:rPr>
                        <w:noProof/>
                      </w:rPr>
                      <w:t xml:space="preserve">[5] </w:t>
                    </w:r>
                  </w:p>
                </w:tc>
                <w:tc>
                  <w:tcPr>
                    <w:tcW w:w="0" w:type="auto"/>
                    <w:hideMark/>
                  </w:tcPr>
                  <w:p w:rsidR="00210B09" w:rsidRDefault="00210B09">
                    <w:pPr>
                      <w:pStyle w:val="Bibliography"/>
                      <w:rPr>
                        <w:noProof/>
                      </w:rPr>
                    </w:pPr>
                    <w:r>
                      <w:rPr>
                        <w:noProof/>
                      </w:rPr>
                      <w:t xml:space="preserve">D. Cartlidge, Quantity surveyor's pocket book (3rd ed.), Routledge, 2019. </w:t>
                    </w:r>
                  </w:p>
                </w:tc>
              </w:tr>
              <w:tr w:rsidR="00210B09">
                <w:trPr>
                  <w:divId w:val="781651271"/>
                  <w:tblCellSpacing w:w="15" w:type="dxa"/>
                </w:trPr>
                <w:tc>
                  <w:tcPr>
                    <w:tcW w:w="50" w:type="pct"/>
                    <w:hideMark/>
                  </w:tcPr>
                  <w:p w:rsidR="00210B09" w:rsidRDefault="00210B09">
                    <w:pPr>
                      <w:pStyle w:val="Bibliography"/>
                      <w:rPr>
                        <w:noProof/>
                      </w:rPr>
                    </w:pPr>
                    <w:r>
                      <w:rPr>
                        <w:noProof/>
                      </w:rPr>
                      <w:t xml:space="preserve">[6] </w:t>
                    </w:r>
                  </w:p>
                </w:tc>
                <w:tc>
                  <w:tcPr>
                    <w:tcW w:w="0" w:type="auto"/>
                    <w:hideMark/>
                  </w:tcPr>
                  <w:p w:rsidR="00210B09" w:rsidRDefault="00210B09">
                    <w:pPr>
                      <w:pStyle w:val="Bibliography"/>
                      <w:rPr>
                        <w:noProof/>
                      </w:rPr>
                    </w:pPr>
                    <w:r>
                      <w:rPr>
                        <w:noProof/>
                      </w:rPr>
                      <w:t xml:space="preserve">E. Cheng, H. Li and W. Lu, " Ethical challenges and the built environment: Examining the role of quantity surveyors in ethical decision-making," </w:t>
                    </w:r>
                    <w:r>
                      <w:rPr>
                        <w:i/>
                        <w:iCs/>
                        <w:noProof/>
                      </w:rPr>
                      <w:t xml:space="preserve">Engineering, Construction and Architectural Management, </w:t>
                    </w:r>
                    <w:r>
                      <w:rPr>
                        <w:noProof/>
                      </w:rPr>
                      <w:t xml:space="preserve">vol. 23(5), pp. 567-583, 2016. </w:t>
                    </w:r>
                  </w:p>
                </w:tc>
              </w:tr>
              <w:tr w:rsidR="00210B09">
                <w:trPr>
                  <w:divId w:val="781651271"/>
                  <w:tblCellSpacing w:w="15" w:type="dxa"/>
                </w:trPr>
                <w:tc>
                  <w:tcPr>
                    <w:tcW w:w="50" w:type="pct"/>
                    <w:hideMark/>
                  </w:tcPr>
                  <w:p w:rsidR="00210B09" w:rsidRDefault="00210B09">
                    <w:pPr>
                      <w:pStyle w:val="Bibliography"/>
                      <w:rPr>
                        <w:noProof/>
                      </w:rPr>
                    </w:pPr>
                    <w:r>
                      <w:rPr>
                        <w:noProof/>
                      </w:rPr>
                      <w:t xml:space="preserve">[7] </w:t>
                    </w:r>
                  </w:p>
                </w:tc>
                <w:tc>
                  <w:tcPr>
                    <w:tcW w:w="0" w:type="auto"/>
                    <w:hideMark/>
                  </w:tcPr>
                  <w:p w:rsidR="00210B09" w:rsidRDefault="00210B09">
                    <w:pPr>
                      <w:pStyle w:val="Bibliography"/>
                      <w:rPr>
                        <w:noProof/>
                      </w:rPr>
                    </w:pPr>
                    <w:r>
                      <w:rPr>
                        <w:noProof/>
                      </w:rPr>
                      <w:t>RICS, " RICS professional and ethical standards," 2020. [Online]. Available: https://www.rics.org/globalassets/rics-website/media/upholding-professional-standards/standards-of-professional-behaviour/apc---rics-professional-and-ethical-standards.pdf. [Accessed 06 06 2023].</w:t>
                    </w:r>
                  </w:p>
                </w:tc>
              </w:tr>
              <w:tr w:rsidR="00210B09">
                <w:trPr>
                  <w:divId w:val="781651271"/>
                  <w:tblCellSpacing w:w="15" w:type="dxa"/>
                </w:trPr>
                <w:tc>
                  <w:tcPr>
                    <w:tcW w:w="50" w:type="pct"/>
                    <w:hideMark/>
                  </w:tcPr>
                  <w:p w:rsidR="00210B09" w:rsidRDefault="00210B09">
                    <w:pPr>
                      <w:pStyle w:val="Bibliography"/>
                      <w:rPr>
                        <w:noProof/>
                      </w:rPr>
                    </w:pPr>
                    <w:r>
                      <w:rPr>
                        <w:noProof/>
                      </w:rPr>
                      <w:t xml:space="preserve">[8] </w:t>
                    </w:r>
                  </w:p>
                </w:tc>
                <w:tc>
                  <w:tcPr>
                    <w:tcW w:w="0" w:type="auto"/>
                    <w:hideMark/>
                  </w:tcPr>
                  <w:p w:rsidR="00210B09" w:rsidRDefault="00210B09">
                    <w:pPr>
                      <w:pStyle w:val="Bibliography"/>
                      <w:rPr>
                        <w:noProof/>
                      </w:rPr>
                    </w:pPr>
                    <w:r>
                      <w:rPr>
                        <w:noProof/>
                      </w:rPr>
                      <w:t>RICS, "RICS professional and ethical standards.," 2020(a). [Online]. Available: https://www.rics.org/globalassets/rics-website/media/upholding-professional-standards/standards-of-professional-behaviour/apc---rics-professional-and-ethical-standards.pdf. [Accessed 06 06 2023].</w:t>
                    </w:r>
                  </w:p>
                </w:tc>
              </w:tr>
              <w:tr w:rsidR="00210B09">
                <w:trPr>
                  <w:divId w:val="781651271"/>
                  <w:tblCellSpacing w:w="15" w:type="dxa"/>
                </w:trPr>
                <w:tc>
                  <w:tcPr>
                    <w:tcW w:w="50" w:type="pct"/>
                    <w:hideMark/>
                  </w:tcPr>
                  <w:p w:rsidR="00210B09" w:rsidRDefault="00210B09">
                    <w:pPr>
                      <w:pStyle w:val="Bibliography"/>
                      <w:rPr>
                        <w:noProof/>
                      </w:rPr>
                    </w:pPr>
                    <w:r>
                      <w:rPr>
                        <w:noProof/>
                      </w:rPr>
                      <w:t xml:space="preserve">[9] </w:t>
                    </w:r>
                  </w:p>
                </w:tc>
                <w:tc>
                  <w:tcPr>
                    <w:tcW w:w="0" w:type="auto"/>
                    <w:hideMark/>
                  </w:tcPr>
                  <w:p w:rsidR="00210B09" w:rsidRDefault="00210B09">
                    <w:pPr>
                      <w:pStyle w:val="Bibliography"/>
                      <w:rPr>
                        <w:noProof/>
                      </w:rPr>
                    </w:pPr>
                    <w:r>
                      <w:rPr>
                        <w:noProof/>
                      </w:rPr>
                      <w:t xml:space="preserve">. D. Cartlidge, Quantity Surveyor's Pocket Book, 2nd Edition, Routledge, 2012. </w:t>
                    </w:r>
                  </w:p>
                </w:tc>
              </w:tr>
              <w:tr w:rsidR="00210B09">
                <w:trPr>
                  <w:divId w:val="781651271"/>
                  <w:tblCellSpacing w:w="15" w:type="dxa"/>
                </w:trPr>
                <w:tc>
                  <w:tcPr>
                    <w:tcW w:w="50" w:type="pct"/>
                    <w:hideMark/>
                  </w:tcPr>
                  <w:p w:rsidR="00210B09" w:rsidRDefault="00210B09">
                    <w:pPr>
                      <w:pStyle w:val="Bibliography"/>
                      <w:rPr>
                        <w:noProof/>
                      </w:rPr>
                    </w:pPr>
                    <w:r>
                      <w:rPr>
                        <w:noProof/>
                      </w:rPr>
                      <w:t xml:space="preserve">[10] </w:t>
                    </w:r>
                  </w:p>
                </w:tc>
                <w:tc>
                  <w:tcPr>
                    <w:tcW w:w="0" w:type="auto"/>
                    <w:hideMark/>
                  </w:tcPr>
                  <w:p w:rsidR="00210B09" w:rsidRDefault="00210B09">
                    <w:pPr>
                      <w:pStyle w:val="Bibliography"/>
                      <w:rPr>
                        <w:noProof/>
                      </w:rPr>
                    </w:pPr>
                    <w:r>
                      <w:rPr>
                        <w:noProof/>
                      </w:rPr>
                      <w:t>RICS, "RICS professional and ethical standards: Global edition," 2020b. [Online]. Available: https://www.rics.org/globalassets/rics-website/media/upholding-professional-standards/standards-of-professional-behaviour/rics-global-standards-of-professional-behaviour.pdf. [Accessed 06 06 2023].</w:t>
                    </w:r>
                  </w:p>
                </w:tc>
              </w:tr>
            </w:tbl>
            <w:p w:rsidR="00210B09" w:rsidRDefault="00210B09">
              <w:pPr>
                <w:divId w:val="781651271"/>
                <w:rPr>
                  <w:rFonts w:eastAsia="Times New Roman"/>
                  <w:noProof/>
                </w:rPr>
              </w:pPr>
            </w:p>
            <w:p w:rsidR="00210B09" w:rsidRDefault="00210B09">
              <w:r>
                <w:rPr>
                  <w:b/>
                  <w:bCs/>
                  <w:noProof/>
                </w:rPr>
                <w:fldChar w:fldCharType="end"/>
              </w:r>
            </w:p>
          </w:sdtContent>
        </w:sdt>
      </w:sdtContent>
    </w:sdt>
    <w:p w:rsidR="001475D5" w:rsidRDefault="001475D5" w:rsidP="001B3F7A"/>
    <w:p w:rsidR="001475D5" w:rsidRDefault="001475D5" w:rsidP="001475D5">
      <w:r>
        <w:br w:type="page"/>
      </w:r>
    </w:p>
    <w:p w:rsidR="001475D5" w:rsidRDefault="001475D5" w:rsidP="001475D5">
      <w:pPr>
        <w:pStyle w:val="Heading1"/>
      </w:pPr>
      <w:bookmarkStart w:id="14" w:name="_Toc137546244"/>
      <w:r>
        <w:lastRenderedPageBreak/>
        <w:t>Task 02</w:t>
      </w:r>
      <w:bookmarkEnd w:id="14"/>
    </w:p>
    <w:p w:rsidR="001475D5" w:rsidRPr="00716C23" w:rsidRDefault="001475D5" w:rsidP="001475D5">
      <w:pPr>
        <w:pStyle w:val="Heading2"/>
      </w:pPr>
      <w:bookmarkStart w:id="15" w:name="_Toc137546245"/>
      <w:r w:rsidRPr="00716C23">
        <w:t>Details of the Proposed Project</w:t>
      </w:r>
      <w:bookmarkEnd w:id="15"/>
    </w:p>
    <w:tbl>
      <w:tblPr>
        <w:tblStyle w:val="TableGrid"/>
        <w:tblW w:w="0" w:type="auto"/>
        <w:tblLook w:val="04A0" w:firstRow="1" w:lastRow="0" w:firstColumn="1" w:lastColumn="0" w:noHBand="0" w:noVBand="1"/>
      </w:tblPr>
      <w:tblGrid>
        <w:gridCol w:w="4519"/>
        <w:gridCol w:w="4497"/>
      </w:tblGrid>
      <w:tr w:rsidR="001475D5" w:rsidRPr="00D22D08" w:rsidTr="006D28E5">
        <w:tc>
          <w:tcPr>
            <w:tcW w:w="4675" w:type="dxa"/>
          </w:tcPr>
          <w:p w:rsidR="001475D5" w:rsidRPr="00D22D08" w:rsidRDefault="001475D5" w:rsidP="006D28E5">
            <w:r w:rsidRPr="00D22D08">
              <w:t>Preliminaries</w:t>
            </w:r>
          </w:p>
        </w:tc>
        <w:tc>
          <w:tcPr>
            <w:tcW w:w="4675" w:type="dxa"/>
          </w:tcPr>
          <w:p w:rsidR="001475D5" w:rsidRPr="00D22D08" w:rsidRDefault="001475D5" w:rsidP="006D28E5">
            <w:r w:rsidRPr="00D22D08">
              <w:t>@ 15% of Facilitating and Building works</w:t>
            </w:r>
          </w:p>
        </w:tc>
      </w:tr>
      <w:tr w:rsidR="001475D5" w:rsidRPr="00D22D08" w:rsidTr="006D28E5">
        <w:tc>
          <w:tcPr>
            <w:tcW w:w="4675" w:type="dxa"/>
          </w:tcPr>
          <w:p w:rsidR="001475D5" w:rsidRPr="00D22D08" w:rsidRDefault="001475D5" w:rsidP="006D28E5">
            <w:r w:rsidRPr="00D22D08">
              <w:t>Risk allowances</w:t>
            </w:r>
          </w:p>
        </w:tc>
        <w:tc>
          <w:tcPr>
            <w:tcW w:w="4675" w:type="dxa"/>
          </w:tcPr>
          <w:p w:rsidR="001475D5" w:rsidRPr="00D22D08" w:rsidRDefault="001475D5" w:rsidP="006D28E5">
            <w:r w:rsidRPr="00D22D08">
              <w:t>@ 3 % Base cost estimate</w:t>
            </w:r>
          </w:p>
        </w:tc>
      </w:tr>
      <w:tr w:rsidR="001475D5" w:rsidRPr="00D22D08" w:rsidTr="006D28E5">
        <w:tc>
          <w:tcPr>
            <w:tcW w:w="4675" w:type="dxa"/>
          </w:tcPr>
          <w:p w:rsidR="001475D5" w:rsidRPr="00D22D08" w:rsidRDefault="001475D5" w:rsidP="006D28E5">
            <w:r w:rsidRPr="00D22D08">
              <w:t>Base date</w:t>
            </w:r>
          </w:p>
        </w:tc>
        <w:tc>
          <w:tcPr>
            <w:tcW w:w="4675" w:type="dxa"/>
          </w:tcPr>
          <w:p w:rsidR="001475D5" w:rsidRPr="00D22D08" w:rsidRDefault="001475D5" w:rsidP="006D28E5">
            <w:r w:rsidRPr="00D22D08">
              <w:t>December-2022</w:t>
            </w:r>
          </w:p>
        </w:tc>
      </w:tr>
      <w:tr w:rsidR="001475D5" w:rsidRPr="00D22D08" w:rsidTr="006D28E5">
        <w:tc>
          <w:tcPr>
            <w:tcW w:w="4675" w:type="dxa"/>
          </w:tcPr>
          <w:p w:rsidR="001475D5" w:rsidRPr="00D22D08" w:rsidRDefault="001475D5" w:rsidP="006D28E5">
            <w:r w:rsidRPr="00D22D08">
              <w:t>Tender return date</w:t>
            </w:r>
          </w:p>
        </w:tc>
        <w:tc>
          <w:tcPr>
            <w:tcW w:w="4675" w:type="dxa"/>
          </w:tcPr>
          <w:p w:rsidR="001475D5" w:rsidRPr="00D22D08" w:rsidRDefault="001475D5" w:rsidP="006D28E5">
            <w:r w:rsidRPr="00D22D08">
              <w:t>February-2023</w:t>
            </w:r>
          </w:p>
        </w:tc>
      </w:tr>
      <w:tr w:rsidR="001475D5" w:rsidRPr="00D22D08" w:rsidTr="006D28E5">
        <w:tc>
          <w:tcPr>
            <w:tcW w:w="4675" w:type="dxa"/>
          </w:tcPr>
          <w:p w:rsidR="001475D5" w:rsidRPr="00D22D08" w:rsidRDefault="001475D5" w:rsidP="006D28E5">
            <w:r w:rsidRPr="00D22D08">
              <w:t>Construction Phase commencement</w:t>
            </w:r>
          </w:p>
        </w:tc>
        <w:tc>
          <w:tcPr>
            <w:tcW w:w="4675" w:type="dxa"/>
          </w:tcPr>
          <w:p w:rsidR="001475D5" w:rsidRPr="00D22D08" w:rsidRDefault="001475D5" w:rsidP="006D28E5">
            <w:r w:rsidRPr="00D22D08">
              <w:t>April-2023</w:t>
            </w:r>
          </w:p>
        </w:tc>
      </w:tr>
      <w:tr w:rsidR="001475D5" w:rsidRPr="00D22D08" w:rsidTr="006D28E5">
        <w:tc>
          <w:tcPr>
            <w:tcW w:w="4675" w:type="dxa"/>
          </w:tcPr>
          <w:p w:rsidR="001475D5" w:rsidRPr="00D22D08" w:rsidRDefault="001475D5" w:rsidP="006D28E5">
            <w:r w:rsidRPr="00D22D08">
              <w:t>Construction period</w:t>
            </w:r>
          </w:p>
        </w:tc>
        <w:tc>
          <w:tcPr>
            <w:tcW w:w="4675" w:type="dxa"/>
          </w:tcPr>
          <w:p w:rsidR="001475D5" w:rsidRPr="00D22D08" w:rsidRDefault="001475D5" w:rsidP="006D28E5">
            <w:r w:rsidRPr="00D22D08">
              <w:t>48 Weeks</w:t>
            </w:r>
          </w:p>
        </w:tc>
      </w:tr>
      <w:tr w:rsidR="001475D5" w:rsidRPr="00D22D08" w:rsidTr="006D28E5">
        <w:tc>
          <w:tcPr>
            <w:tcW w:w="4675" w:type="dxa"/>
          </w:tcPr>
          <w:p w:rsidR="001475D5" w:rsidRPr="00D22D08" w:rsidRDefault="001475D5" w:rsidP="006D28E5">
            <w:r w:rsidRPr="00D22D08">
              <w:t>Ground floor Area</w:t>
            </w:r>
          </w:p>
        </w:tc>
        <w:tc>
          <w:tcPr>
            <w:tcW w:w="4675" w:type="dxa"/>
          </w:tcPr>
          <w:p w:rsidR="001475D5" w:rsidRPr="00D22D08" w:rsidRDefault="001475D5" w:rsidP="006D28E5">
            <w:r>
              <w:t>139.35</w:t>
            </w:r>
          </w:p>
        </w:tc>
      </w:tr>
      <w:tr w:rsidR="001475D5" w:rsidRPr="00D22D08" w:rsidTr="006D28E5">
        <w:tc>
          <w:tcPr>
            <w:tcW w:w="4675" w:type="dxa"/>
          </w:tcPr>
          <w:p w:rsidR="001475D5" w:rsidRPr="00D22D08" w:rsidRDefault="001475D5" w:rsidP="006D28E5">
            <w:r w:rsidRPr="00D22D08">
              <w:t>First floor Area</w:t>
            </w:r>
          </w:p>
        </w:tc>
        <w:tc>
          <w:tcPr>
            <w:tcW w:w="4675" w:type="dxa"/>
          </w:tcPr>
          <w:p w:rsidR="001475D5" w:rsidRPr="00D22D08" w:rsidRDefault="001475D5" w:rsidP="006D28E5">
            <w:r w:rsidRPr="00D22D08">
              <w:t>139.35</w:t>
            </w:r>
          </w:p>
        </w:tc>
      </w:tr>
      <w:tr w:rsidR="001475D5" w:rsidRPr="00D22D08" w:rsidTr="006D28E5">
        <w:tc>
          <w:tcPr>
            <w:tcW w:w="4675" w:type="dxa"/>
          </w:tcPr>
          <w:p w:rsidR="001475D5" w:rsidRPr="00D22D08" w:rsidRDefault="001475D5" w:rsidP="006D28E5">
            <w:r w:rsidRPr="00D22D08">
              <w:t>Second floor Area</w:t>
            </w:r>
          </w:p>
        </w:tc>
        <w:tc>
          <w:tcPr>
            <w:tcW w:w="4675" w:type="dxa"/>
          </w:tcPr>
          <w:p w:rsidR="001475D5" w:rsidRPr="00D22D08" w:rsidRDefault="001475D5" w:rsidP="006D28E5">
            <w:r w:rsidRPr="00D22D08">
              <w:t>92.93</w:t>
            </w:r>
          </w:p>
        </w:tc>
      </w:tr>
      <w:tr w:rsidR="001475D5" w:rsidRPr="00D22D08" w:rsidTr="006D28E5">
        <w:tc>
          <w:tcPr>
            <w:tcW w:w="4675" w:type="dxa"/>
          </w:tcPr>
          <w:p w:rsidR="001475D5" w:rsidRPr="00D22D08" w:rsidRDefault="001475D5" w:rsidP="006D28E5">
            <w:r w:rsidRPr="00D22D08">
              <w:t>Gross Internal Floor Area</w:t>
            </w:r>
          </w:p>
        </w:tc>
        <w:tc>
          <w:tcPr>
            <w:tcW w:w="4675" w:type="dxa"/>
          </w:tcPr>
          <w:p w:rsidR="001475D5" w:rsidRPr="00D22D08" w:rsidRDefault="001475D5" w:rsidP="006D28E5">
            <w:r w:rsidRPr="00D22D08">
              <w:t>371.63</w:t>
            </w:r>
          </w:p>
        </w:tc>
      </w:tr>
      <w:tr w:rsidR="001475D5" w:rsidRPr="00D22D08" w:rsidTr="006D28E5">
        <w:tc>
          <w:tcPr>
            <w:tcW w:w="4675" w:type="dxa"/>
          </w:tcPr>
          <w:p w:rsidR="001475D5" w:rsidRPr="00D22D08" w:rsidRDefault="001475D5" w:rsidP="006D28E5">
            <w:r>
              <w:t>External Wall Area</w:t>
            </w:r>
          </w:p>
        </w:tc>
        <w:tc>
          <w:tcPr>
            <w:tcW w:w="4675" w:type="dxa"/>
          </w:tcPr>
          <w:p w:rsidR="001475D5" w:rsidRPr="00D22D08" w:rsidRDefault="001475D5" w:rsidP="006D28E5">
            <w:r>
              <w:t>562.4</w:t>
            </w:r>
          </w:p>
        </w:tc>
      </w:tr>
      <w:tr w:rsidR="001475D5" w:rsidRPr="00D22D08" w:rsidTr="006D28E5">
        <w:tc>
          <w:tcPr>
            <w:tcW w:w="4675" w:type="dxa"/>
          </w:tcPr>
          <w:p w:rsidR="001475D5" w:rsidRPr="00D22D08" w:rsidRDefault="001475D5" w:rsidP="006D28E5">
            <w:r>
              <w:t>Internal Wall Area</w:t>
            </w:r>
          </w:p>
        </w:tc>
        <w:tc>
          <w:tcPr>
            <w:tcW w:w="4675" w:type="dxa"/>
          </w:tcPr>
          <w:p w:rsidR="001475D5" w:rsidRPr="00D22D08" w:rsidRDefault="001475D5" w:rsidP="006D28E5">
            <w:r>
              <w:t>133.8</w:t>
            </w:r>
          </w:p>
        </w:tc>
      </w:tr>
    </w:tbl>
    <w:p w:rsidR="001475D5" w:rsidRDefault="001475D5" w:rsidP="001475D5"/>
    <w:p w:rsidR="001475D5" w:rsidRDefault="001475D5" w:rsidP="001475D5">
      <w:r>
        <w:t>Base date of existing building = 03</w:t>
      </w:r>
      <w:r w:rsidRPr="0018272D">
        <w:rPr>
          <w:vertAlign w:val="superscript"/>
        </w:rPr>
        <w:t>rd</w:t>
      </w:r>
      <w:r>
        <w:t xml:space="preserve"> November 2019</w:t>
      </w:r>
    </w:p>
    <w:p w:rsidR="001475D5" w:rsidRDefault="001475D5" w:rsidP="001475D5">
      <w:pPr>
        <w:pStyle w:val="Heading2"/>
      </w:pPr>
      <w:bookmarkStart w:id="16" w:name="_Toc137546246"/>
      <w:r w:rsidRPr="0018272D">
        <w:t>Calculating percentage addition for inflation</w:t>
      </w:r>
      <w:bookmarkEnd w:id="16"/>
    </w:p>
    <w:p w:rsidR="001475D5" w:rsidRPr="0018272D" w:rsidRDefault="001475D5" w:rsidP="001475D5">
      <w:pPr>
        <w:rPr>
          <w:rFonts w:eastAsiaTheme="minorEastAsia"/>
          <w:b/>
          <w:bCs/>
        </w:rPr>
      </w:pPr>
      <w:r>
        <w:rPr>
          <w:b/>
          <w:bCs/>
        </w:rPr>
        <w:tab/>
      </w:r>
      <w:r>
        <w:rPr>
          <w:b/>
          <w:bCs/>
        </w:rPr>
        <w:tab/>
      </w:r>
      <m:oMath>
        <m:r>
          <m:rPr>
            <m:sty m:val="bi"/>
          </m:rPr>
          <w:rPr>
            <w:rFonts w:ascii="Cambria Math" w:hAnsi="Cambria Math"/>
          </w:rPr>
          <m:t>p=</m:t>
        </m:r>
        <m:f>
          <m:fPr>
            <m:ctrlPr>
              <w:rPr>
                <w:rFonts w:ascii="Cambria Math" w:hAnsi="Cambria Math"/>
                <w:b/>
                <w:bCs/>
                <w:i/>
              </w:rPr>
            </m:ctrlPr>
          </m:fPr>
          <m:num>
            <m:r>
              <m:rPr>
                <m:sty m:val="bi"/>
              </m:rPr>
              <w:rPr>
                <w:rFonts w:ascii="Cambria Math" w:hAnsi="Cambria Math"/>
              </w:rPr>
              <m:t>index 2-index 1</m:t>
            </m:r>
          </m:num>
          <m:den>
            <m:r>
              <m:rPr>
                <m:sty m:val="bi"/>
              </m:rPr>
              <w:rPr>
                <w:rFonts w:ascii="Cambria Math" w:hAnsi="Cambria Math"/>
              </w:rPr>
              <m:t>index 1</m:t>
            </m:r>
          </m:den>
        </m:f>
        <m:r>
          <m:rPr>
            <m:sty m:val="bi"/>
          </m:rPr>
          <w:rPr>
            <w:rFonts w:ascii="Cambria Math" w:hAnsi="Cambria Math"/>
          </w:rPr>
          <m:t>×100</m:t>
        </m:r>
      </m:oMath>
    </w:p>
    <w:p w:rsidR="00330B5A" w:rsidRDefault="00330B5A" w:rsidP="00330B5A">
      <w:pPr>
        <w:ind w:left="1843"/>
      </w:pPr>
      <w:proofErr w:type="gramStart"/>
      <w:r>
        <w:t>index</w:t>
      </w:r>
      <w:proofErr w:type="gramEnd"/>
      <w:r>
        <w:t xml:space="preserve"> 1 = index at base date of cost data </w:t>
      </w:r>
    </w:p>
    <w:p w:rsidR="00330B5A" w:rsidRDefault="00330B5A" w:rsidP="00330B5A">
      <w:pPr>
        <w:ind w:left="1843"/>
      </w:pPr>
      <w:proofErr w:type="gramStart"/>
      <w:r>
        <w:t>index</w:t>
      </w:r>
      <w:proofErr w:type="gramEnd"/>
      <w:r>
        <w:t xml:space="preserve"> 2 = index at current estimate base date </w:t>
      </w:r>
    </w:p>
    <w:p w:rsidR="00330B5A" w:rsidRDefault="00330B5A" w:rsidP="00330B5A">
      <w:pPr>
        <w:ind w:left="1843"/>
        <w:rPr>
          <w:rFonts w:eastAsiaTheme="minorEastAsia"/>
        </w:rPr>
      </w:pPr>
      <w:r>
        <w:t>p = percentage addition for inflation</w:t>
      </w:r>
    </w:p>
    <w:p w:rsidR="001475D5" w:rsidRDefault="001475D5" w:rsidP="001475D5">
      <w:pPr>
        <w:rPr>
          <w:rFonts w:eastAsiaTheme="minorEastAsia"/>
        </w:rPr>
      </w:pPr>
      <w:r>
        <w:rPr>
          <w:rFonts w:eastAsiaTheme="minorEastAsia"/>
        </w:rPr>
        <w:t>For modern housing project</w:t>
      </w:r>
      <w:r w:rsidR="00330B5A">
        <w:rPr>
          <w:rFonts w:eastAsiaTheme="minorEastAsia"/>
        </w:rPr>
        <w:t xml:space="preserve"> (According to the CIDA Bulletins)</w:t>
      </w:r>
      <w:r>
        <w:rPr>
          <w:rFonts w:eastAsiaTheme="minorEastAsia"/>
        </w:rPr>
        <w:t>,</w:t>
      </w:r>
    </w:p>
    <w:p w:rsidR="001475D5" w:rsidRDefault="001475D5" w:rsidP="001475D5">
      <w:pPr>
        <w:rPr>
          <w:rFonts w:eastAsiaTheme="minorEastAsia"/>
        </w:rPr>
      </w:pPr>
      <w:r>
        <w:rPr>
          <w:rFonts w:eastAsiaTheme="minorEastAsia"/>
        </w:rPr>
        <w:tab/>
      </w:r>
      <w:r>
        <w:rPr>
          <w:rFonts w:eastAsiaTheme="minorEastAsia"/>
        </w:rPr>
        <w:tab/>
        <w:t>Index 1</w:t>
      </w:r>
      <w:r>
        <w:rPr>
          <w:rFonts w:eastAsiaTheme="minorEastAsia"/>
        </w:rPr>
        <w:tab/>
        <w:t xml:space="preserve">= </w:t>
      </w:r>
      <w:r>
        <w:rPr>
          <w:rFonts w:eastAsiaTheme="minorEastAsia"/>
        </w:rPr>
        <w:tab/>
        <w:t>821.8</w:t>
      </w:r>
    </w:p>
    <w:p w:rsidR="001475D5" w:rsidRDefault="001475D5" w:rsidP="001475D5">
      <w:pPr>
        <w:rPr>
          <w:rFonts w:eastAsiaTheme="minorEastAsia"/>
        </w:rPr>
      </w:pPr>
      <w:r>
        <w:rPr>
          <w:rFonts w:eastAsiaTheme="minorEastAsia"/>
        </w:rPr>
        <w:tab/>
      </w:r>
      <w:r>
        <w:rPr>
          <w:rFonts w:eastAsiaTheme="minorEastAsia"/>
        </w:rPr>
        <w:tab/>
        <w:t>Index 2</w:t>
      </w:r>
      <w:r>
        <w:rPr>
          <w:rFonts w:eastAsiaTheme="minorEastAsia"/>
        </w:rPr>
        <w:tab/>
        <w:t>=</w:t>
      </w:r>
      <w:r>
        <w:rPr>
          <w:rFonts w:eastAsiaTheme="minorEastAsia"/>
        </w:rPr>
        <w:tab/>
        <w:t>1689.3</w:t>
      </w:r>
    </w:p>
    <w:p w:rsidR="001475D5" w:rsidRPr="0018272D" w:rsidRDefault="001475D5" w:rsidP="001475D5">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1689.3-821.8</m:t>
              </m:r>
            </m:num>
            <m:den>
              <m:r>
                <w:rPr>
                  <w:rFonts w:ascii="Cambria Math" w:eastAsiaTheme="minorEastAsia" w:hAnsi="Cambria Math"/>
                </w:rPr>
                <m:t>821.8</m:t>
              </m:r>
            </m:den>
          </m:f>
          <m:r>
            <w:rPr>
              <w:rFonts w:ascii="Cambria Math" w:eastAsiaTheme="minorEastAsia" w:hAnsi="Cambria Math"/>
            </w:rPr>
            <m:t>×100%</m:t>
          </m:r>
        </m:oMath>
      </m:oMathPara>
    </w:p>
    <w:p w:rsidR="001475D5" w:rsidRPr="0018272D" w:rsidRDefault="001475D5" w:rsidP="001475D5">
      <w:pPr>
        <w:rPr>
          <w:rFonts w:eastAsiaTheme="minorEastAsia"/>
        </w:rPr>
      </w:pPr>
      <m:oMathPara>
        <m:oMath>
          <m:r>
            <w:rPr>
              <w:rFonts w:ascii="Cambria Math" w:eastAsiaTheme="minorEastAsia" w:hAnsi="Cambria Math"/>
            </w:rPr>
            <m:t>p=105.56%</m:t>
          </m:r>
        </m:oMath>
      </m:oMathPara>
    </w:p>
    <w:p w:rsidR="001475D5" w:rsidRPr="00716C23" w:rsidRDefault="001475D5" w:rsidP="001475D5">
      <w:pPr>
        <w:pStyle w:val="Heading2"/>
        <w:rPr>
          <w:rFonts w:eastAsiaTheme="minorEastAsia"/>
        </w:rPr>
      </w:pPr>
      <w:bookmarkStart w:id="17" w:name="_Toc137546247"/>
      <w:r w:rsidRPr="00716C23">
        <w:rPr>
          <w:rFonts w:eastAsiaTheme="minorEastAsia"/>
        </w:rPr>
        <w:lastRenderedPageBreak/>
        <w:t>Calculating current base date unit rates</w:t>
      </w:r>
      <w:bookmarkEnd w:id="17"/>
    </w:p>
    <w:p w:rsidR="001475D5" w:rsidRPr="00330B5A" w:rsidRDefault="001475D5" w:rsidP="001475D5">
      <w:pPr>
        <w:ind w:left="1123" w:firstLine="720"/>
        <w:rPr>
          <w:b/>
          <w:bCs/>
        </w:rPr>
      </w:pPr>
      <w:r w:rsidRPr="00330B5A">
        <w:rPr>
          <w:b/>
          <w:bCs/>
        </w:rPr>
        <w:t xml:space="preserve">Ra2 </w:t>
      </w:r>
      <w:r w:rsidRPr="00330B5A">
        <w:rPr>
          <w:b/>
          <w:bCs/>
        </w:rPr>
        <w:tab/>
        <w:t xml:space="preserve">= </w:t>
      </w:r>
      <w:r w:rsidRPr="00330B5A">
        <w:rPr>
          <w:b/>
          <w:bCs/>
        </w:rPr>
        <w:tab/>
        <w:t>Ra1 + (Ra1 x p)</w:t>
      </w:r>
    </w:p>
    <w:p w:rsidR="001475D5" w:rsidRPr="0018272D" w:rsidRDefault="001475D5" w:rsidP="00330B5A">
      <w:pPr>
        <w:ind w:left="2694"/>
      </w:pPr>
      <w:r w:rsidRPr="0018272D">
        <w:t xml:space="preserve">Ra1 </w:t>
      </w:r>
      <w:r>
        <w:tab/>
      </w:r>
      <w:r w:rsidRPr="0018272D">
        <w:t>=</w:t>
      </w:r>
      <w:r>
        <w:tab/>
      </w:r>
      <w:r w:rsidRPr="0018272D">
        <w:t xml:space="preserve">unit rate at base date of cost data </w:t>
      </w:r>
    </w:p>
    <w:p w:rsidR="001475D5" w:rsidRPr="0018272D" w:rsidRDefault="001475D5" w:rsidP="00330B5A">
      <w:pPr>
        <w:ind w:left="2694"/>
      </w:pPr>
      <w:r w:rsidRPr="0018272D">
        <w:t>Ra2</w:t>
      </w:r>
      <w:r>
        <w:tab/>
      </w:r>
      <w:r w:rsidRPr="0018272D">
        <w:t xml:space="preserve">= </w:t>
      </w:r>
      <w:r>
        <w:tab/>
      </w:r>
      <w:r w:rsidRPr="0018272D">
        <w:t xml:space="preserve">unit rate at current estimate base date </w:t>
      </w:r>
    </w:p>
    <w:p w:rsidR="001475D5" w:rsidRDefault="001475D5" w:rsidP="00330B5A">
      <w:pPr>
        <w:ind w:left="2694"/>
      </w:pPr>
      <w:r w:rsidRPr="0018272D">
        <w:t>P</w:t>
      </w:r>
      <w:r>
        <w:tab/>
      </w:r>
      <w:r>
        <w:tab/>
      </w:r>
      <w:r w:rsidRPr="0018272D">
        <w:t xml:space="preserve">= </w:t>
      </w:r>
      <w:r>
        <w:tab/>
      </w:r>
      <w:r w:rsidRPr="0018272D">
        <w:t>percentage addition for inflation</w:t>
      </w:r>
      <w:bookmarkStart w:id="18" w:name="_GoBack"/>
      <w:bookmarkEnd w:id="18"/>
    </w:p>
    <w:p w:rsidR="001475D5" w:rsidRPr="00716C23" w:rsidRDefault="001475D5" w:rsidP="001475D5">
      <w:pPr>
        <w:pStyle w:val="Heading2"/>
        <w:rPr>
          <w:rFonts w:eastAsiaTheme="minorEastAsia"/>
        </w:rPr>
      </w:pPr>
      <w:bookmarkStart w:id="19" w:name="_Toc137546248"/>
      <w:r w:rsidRPr="00716C23">
        <w:rPr>
          <w:rFonts w:eastAsiaTheme="minorEastAsia"/>
        </w:rPr>
        <w:t>Elemental Cost analysis of the building</w:t>
      </w:r>
      <w:bookmarkEnd w:id="19"/>
    </w:p>
    <w:tbl>
      <w:tblPr>
        <w:tblW w:w="9058" w:type="dxa"/>
        <w:tblLook w:val="04A0" w:firstRow="1" w:lastRow="0" w:firstColumn="1" w:lastColumn="0" w:noHBand="0" w:noVBand="1"/>
      </w:tblPr>
      <w:tblGrid>
        <w:gridCol w:w="778"/>
        <w:gridCol w:w="2453"/>
        <w:gridCol w:w="1535"/>
        <w:gridCol w:w="816"/>
        <w:gridCol w:w="1493"/>
        <w:gridCol w:w="1983"/>
      </w:tblGrid>
      <w:tr w:rsidR="00486EAC" w:rsidRPr="00486EAC" w:rsidTr="00486EAC">
        <w:trPr>
          <w:trHeight w:val="141"/>
        </w:trPr>
        <w:tc>
          <w:tcPr>
            <w:tcW w:w="77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 </w:t>
            </w:r>
          </w:p>
        </w:tc>
        <w:tc>
          <w:tcPr>
            <w:tcW w:w="245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Element</w:t>
            </w:r>
          </w:p>
        </w:tc>
        <w:tc>
          <w:tcPr>
            <w:tcW w:w="1535" w:type="dxa"/>
            <w:tcBorders>
              <w:top w:val="single" w:sz="8" w:space="0" w:color="000000"/>
              <w:left w:val="nil"/>
              <w:bottom w:val="nil"/>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 xml:space="preserve">Element unit </w:t>
            </w:r>
          </w:p>
        </w:tc>
        <w:tc>
          <w:tcPr>
            <w:tcW w:w="81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Unit</w:t>
            </w:r>
          </w:p>
        </w:tc>
        <w:tc>
          <w:tcPr>
            <w:tcW w:w="149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ind w:firstLineChars="300" w:firstLine="630"/>
              <w:jc w:val="left"/>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 xml:space="preserve"> Element unit rate </w:t>
            </w:r>
          </w:p>
        </w:tc>
        <w:tc>
          <w:tcPr>
            <w:tcW w:w="198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Total Cost</w:t>
            </w:r>
          </w:p>
        </w:tc>
      </w:tr>
      <w:tr w:rsidR="00486EAC" w:rsidRPr="00486EAC" w:rsidTr="00486EAC">
        <w:trPr>
          <w:trHeight w:val="147"/>
        </w:trPr>
        <w:tc>
          <w:tcPr>
            <w:tcW w:w="778" w:type="dxa"/>
            <w:vMerge/>
            <w:tcBorders>
              <w:top w:val="single" w:sz="8" w:space="0" w:color="000000"/>
              <w:left w:val="single" w:sz="8" w:space="0" w:color="000000"/>
              <w:bottom w:val="single" w:sz="8" w:space="0" w:color="000000"/>
              <w:right w:val="single" w:sz="8" w:space="0" w:color="000000"/>
            </w:tcBorders>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p>
        </w:tc>
        <w:tc>
          <w:tcPr>
            <w:tcW w:w="2453" w:type="dxa"/>
            <w:vMerge/>
            <w:tcBorders>
              <w:top w:val="single" w:sz="8" w:space="0" w:color="000000"/>
              <w:left w:val="single" w:sz="8" w:space="0" w:color="000000"/>
              <w:bottom w:val="single" w:sz="8" w:space="0" w:color="000000"/>
              <w:right w:val="single" w:sz="8" w:space="0" w:color="000000"/>
            </w:tcBorders>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Quantity</w:t>
            </w:r>
          </w:p>
        </w:tc>
        <w:tc>
          <w:tcPr>
            <w:tcW w:w="816" w:type="dxa"/>
            <w:vMerge/>
            <w:tcBorders>
              <w:top w:val="single" w:sz="8" w:space="0" w:color="000000"/>
              <w:left w:val="single" w:sz="8" w:space="0" w:color="000000"/>
              <w:bottom w:val="single" w:sz="8" w:space="0" w:color="000000"/>
              <w:right w:val="single" w:sz="8" w:space="0" w:color="000000"/>
            </w:tcBorders>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p>
        </w:tc>
        <w:tc>
          <w:tcPr>
            <w:tcW w:w="1493" w:type="dxa"/>
            <w:vMerge/>
            <w:tcBorders>
              <w:top w:val="single" w:sz="8" w:space="0" w:color="000000"/>
              <w:left w:val="single" w:sz="8" w:space="0" w:color="000000"/>
              <w:bottom w:val="single" w:sz="8" w:space="0" w:color="000000"/>
              <w:right w:val="single" w:sz="8" w:space="0" w:color="000000"/>
            </w:tcBorders>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p>
        </w:tc>
        <w:tc>
          <w:tcPr>
            <w:tcW w:w="1983" w:type="dxa"/>
            <w:vMerge/>
            <w:tcBorders>
              <w:top w:val="single" w:sz="8" w:space="0" w:color="000000"/>
              <w:left w:val="single" w:sz="8" w:space="0" w:color="000000"/>
              <w:bottom w:val="single" w:sz="8" w:space="0" w:color="000000"/>
              <w:right w:val="single" w:sz="8" w:space="0" w:color="000000"/>
            </w:tcBorders>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p>
        </w:tc>
      </w:tr>
      <w:tr w:rsidR="00486EAC" w:rsidRPr="00486EAC" w:rsidTr="00486EAC">
        <w:trPr>
          <w:trHeight w:val="276"/>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0</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FACILITATING WORKS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276"/>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1</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SUBSTRUCTURE</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276"/>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1A</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SUBSTRUCTURE</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139.35</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16,451.49</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2,292,515.13</w:t>
            </w:r>
          </w:p>
        </w:tc>
      </w:tr>
      <w:tr w:rsidR="00486EAC" w:rsidRPr="00486EAC" w:rsidTr="00486EAC">
        <w:trPr>
          <w:trHeight w:val="276"/>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SUPERSTRUCTURE</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2A</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Frame</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371.63</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22,586.14</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8,393,687.21</w:t>
            </w:r>
          </w:p>
        </w:tc>
      </w:tr>
      <w:tr w:rsidR="00486EAC" w:rsidRPr="00486EAC" w:rsidTr="00486EAC">
        <w:trPr>
          <w:trHeight w:val="412"/>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2B</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rPr>
                <w:rFonts w:eastAsia="Times New Roman"/>
                <w:color w:val="000000"/>
                <w:kern w:val="0"/>
                <w:sz w:val="21"/>
                <w:szCs w:val="21"/>
                <w14:ligatures w14:val="none"/>
              </w:rPr>
            </w:pPr>
            <w:r w:rsidRPr="00486EAC">
              <w:rPr>
                <w:rFonts w:eastAsia="Times New Roman"/>
                <w:color w:val="000000"/>
                <w:kern w:val="0"/>
                <w:sz w:val="21"/>
                <w:szCs w:val="21"/>
                <w14:ligatures w14:val="none"/>
              </w:rPr>
              <w:t>Upper floors (Costs include in other elements)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2C</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Roof</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139.35</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18,795.24</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2,619,116.69</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2D</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Stairs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4</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proofErr w:type="spellStart"/>
            <w:r w:rsidRPr="00486EAC">
              <w:rPr>
                <w:rFonts w:eastAsia="Times New Roman"/>
                <w:color w:val="000000"/>
                <w:kern w:val="0"/>
                <w:sz w:val="21"/>
                <w:szCs w:val="21"/>
                <w14:ligatures w14:val="none"/>
              </w:rPr>
              <w:t>Nr</w:t>
            </w:r>
            <w:proofErr w:type="spellEnd"/>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564,780.00</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2,259,120.00</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2E</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External walls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562.4</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12,948.51</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7,282,242.02</w:t>
            </w:r>
          </w:p>
        </w:tc>
      </w:tr>
      <w:tr w:rsidR="00486EAC" w:rsidRPr="00486EAC" w:rsidTr="00486EAC">
        <w:trPr>
          <w:trHeight w:val="276"/>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2F</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Window and External doors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67</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43,216.72</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2,895,520.24</w:t>
            </w:r>
          </w:p>
        </w:tc>
      </w:tr>
      <w:tr w:rsidR="00486EAC" w:rsidRPr="00486EAC" w:rsidTr="00486EAC">
        <w:trPr>
          <w:trHeight w:val="276"/>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2G</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Internal walls and partition</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133.8</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6,549.15</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876,276.27</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2H</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Internal doors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11</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proofErr w:type="spellStart"/>
            <w:r w:rsidRPr="00486EAC">
              <w:rPr>
                <w:rFonts w:eastAsia="Times New Roman"/>
                <w:color w:val="000000"/>
                <w:kern w:val="0"/>
                <w:sz w:val="21"/>
                <w:szCs w:val="21"/>
                <w14:ligatures w14:val="none"/>
              </w:rPr>
              <w:t>Nr</w:t>
            </w:r>
            <w:proofErr w:type="spellEnd"/>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104,110.00</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1,145,210.00</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FINISHES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3A</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Walls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500</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2,546.14</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1,273,070.00</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3B</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Floors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372</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2,976.56</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1,107,280.32</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3C</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Ceilings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368</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2,115.95</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778,669.60</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4</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FITTINGS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4A</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Fittings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371.63</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4,328.11</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1,608,455.52</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SERVICES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5A</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Sanitary appliances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12</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proofErr w:type="spellStart"/>
            <w:r w:rsidRPr="00486EAC">
              <w:rPr>
                <w:rFonts w:eastAsia="Times New Roman"/>
                <w:color w:val="000000"/>
                <w:kern w:val="0"/>
                <w:sz w:val="21"/>
                <w:szCs w:val="21"/>
                <w14:ligatures w14:val="none"/>
              </w:rPr>
              <w:t>Nr</w:t>
            </w:r>
            <w:proofErr w:type="spellEnd"/>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19,497.14</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233,965.68</w:t>
            </w:r>
          </w:p>
        </w:tc>
      </w:tr>
      <w:tr w:rsidR="00486EAC" w:rsidRPr="00486EAC" w:rsidTr="00486EAC">
        <w:trPr>
          <w:trHeight w:val="276"/>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5B</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 xml:space="preserve">Service </w:t>
            </w:r>
            <w:proofErr w:type="spellStart"/>
            <w:r w:rsidRPr="00486EAC">
              <w:rPr>
                <w:rFonts w:eastAsia="Times New Roman"/>
                <w:color w:val="000000"/>
                <w:kern w:val="0"/>
                <w:sz w:val="21"/>
                <w:szCs w:val="21"/>
                <w14:ligatures w14:val="none"/>
              </w:rPr>
              <w:t>equipments</w:t>
            </w:r>
            <w:proofErr w:type="spellEnd"/>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proofErr w:type="spellStart"/>
            <w:r w:rsidRPr="00486EAC">
              <w:rPr>
                <w:rFonts w:eastAsia="Times New Roman"/>
                <w:color w:val="000000"/>
                <w:kern w:val="0"/>
                <w:sz w:val="21"/>
                <w:szCs w:val="21"/>
                <w14:ligatures w14:val="none"/>
              </w:rPr>
              <w:t>Nr</w:t>
            </w:r>
            <w:proofErr w:type="spellEnd"/>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276"/>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5C</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Disposal installation</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proofErr w:type="spellStart"/>
            <w:r w:rsidRPr="00486EAC">
              <w:rPr>
                <w:rFonts w:eastAsia="Times New Roman"/>
                <w:color w:val="000000"/>
                <w:kern w:val="0"/>
                <w:sz w:val="21"/>
                <w:szCs w:val="21"/>
                <w14:ligatures w14:val="none"/>
              </w:rPr>
              <w:t>Nr</w:t>
            </w:r>
            <w:proofErr w:type="spellEnd"/>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5D</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water installations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371.63</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15,305.79</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5,688,090.74</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5E</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Heat source</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KW</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276"/>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5F</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Space heating and air treatments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5G</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Ventilation</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276"/>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5H</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Electrical installations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371.63</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8,517.58</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3,165,388.26</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5I</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Gas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5J</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Lift</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proofErr w:type="spellStart"/>
            <w:r w:rsidRPr="00486EAC">
              <w:rPr>
                <w:rFonts w:eastAsia="Times New Roman"/>
                <w:color w:val="000000"/>
                <w:kern w:val="0"/>
                <w:sz w:val="21"/>
                <w:szCs w:val="21"/>
                <w14:ligatures w14:val="none"/>
              </w:rPr>
              <w:t>Nr</w:t>
            </w:r>
            <w:proofErr w:type="spellEnd"/>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lastRenderedPageBreak/>
              <w:t>5K</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Protection</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5L</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Communications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5M</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Special</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5N</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BWIC</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5O</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Attendance</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276"/>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6</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EXTERNAL WORKS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6A</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Site works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35</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65,161.14</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2,280,639.90</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6B</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Drainage</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153"/>
        </w:trPr>
        <w:tc>
          <w:tcPr>
            <w:tcW w:w="778"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6C</w:t>
            </w:r>
          </w:p>
        </w:tc>
        <w:tc>
          <w:tcPr>
            <w:tcW w:w="245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Services</w:t>
            </w:r>
          </w:p>
        </w:tc>
        <w:tc>
          <w:tcPr>
            <w:tcW w:w="1535"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816"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m2</w:t>
            </w:r>
          </w:p>
        </w:tc>
        <w:tc>
          <w:tcPr>
            <w:tcW w:w="149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83"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bl>
    <w:p w:rsidR="001475D5" w:rsidRPr="0018272D" w:rsidRDefault="001475D5" w:rsidP="001475D5">
      <w:pPr>
        <w:rPr>
          <w:rFonts w:eastAsiaTheme="minorEastAsia"/>
          <w:sz w:val="28"/>
          <w:szCs w:val="28"/>
        </w:rPr>
      </w:pPr>
    </w:p>
    <w:p w:rsidR="00210B09" w:rsidRDefault="00486EAC" w:rsidP="00486EAC">
      <w:pPr>
        <w:pStyle w:val="Heading2"/>
      </w:pPr>
      <w:bookmarkStart w:id="20" w:name="_Toc137546249"/>
      <w:r>
        <w:t>Cost Plan No 2</w:t>
      </w:r>
      <w:bookmarkEnd w:id="20"/>
    </w:p>
    <w:p w:rsidR="00486EAC" w:rsidRDefault="00486EAC" w:rsidP="00486EAC">
      <w:r>
        <w:t>Assumptions made-</w:t>
      </w:r>
    </w:p>
    <w:p w:rsidR="00486EAC" w:rsidRDefault="00486EAC" w:rsidP="00486EAC">
      <w:pPr>
        <w:pStyle w:val="ListParagraph"/>
        <w:numPr>
          <w:ilvl w:val="0"/>
          <w:numId w:val="7"/>
        </w:numPr>
      </w:pPr>
      <w:r>
        <w:t xml:space="preserve">Percentage of </w:t>
      </w:r>
      <w:r w:rsidRPr="00486EAC">
        <w:t>Main contractor’s overheads and profit</w:t>
      </w:r>
      <w:r>
        <w:t xml:space="preserve"> is 10% from </w:t>
      </w:r>
      <w:r w:rsidRPr="00486EAC">
        <w:t xml:space="preserve">total </w:t>
      </w:r>
      <w:r>
        <w:t xml:space="preserve">of </w:t>
      </w:r>
      <w:r w:rsidRPr="00486EAC">
        <w:t>facilitating and building works</w:t>
      </w:r>
      <w:r>
        <w:t>.</w:t>
      </w:r>
    </w:p>
    <w:p w:rsidR="00486EAC" w:rsidRPr="00486EAC" w:rsidRDefault="00486EAC" w:rsidP="00486EAC">
      <w:pPr>
        <w:pStyle w:val="ListParagraph"/>
        <w:numPr>
          <w:ilvl w:val="0"/>
          <w:numId w:val="7"/>
        </w:numPr>
      </w:pPr>
      <w:r w:rsidRPr="00486EAC">
        <w:t xml:space="preserve">Project/design team fees and other development/project is 10% from </w:t>
      </w:r>
      <w:r w:rsidRPr="00486EAC">
        <w:rPr>
          <w:rFonts w:eastAsia="Times New Roman"/>
          <w:color w:val="000000"/>
          <w:kern w:val="0"/>
          <w:sz w:val="23"/>
          <w:szCs w:val="23"/>
          <w14:ligatures w14:val="none"/>
        </w:rPr>
        <w:t>building works estimate.</w:t>
      </w:r>
    </w:p>
    <w:p w:rsidR="00486EAC" w:rsidRPr="00486EAC" w:rsidRDefault="00486EAC" w:rsidP="00486EAC">
      <w:pPr>
        <w:pStyle w:val="ListParagraph"/>
        <w:numPr>
          <w:ilvl w:val="0"/>
          <w:numId w:val="7"/>
        </w:numPr>
      </w:pPr>
      <w:r>
        <w:rPr>
          <w:rFonts w:eastAsia="Times New Roman"/>
          <w:color w:val="000000"/>
          <w:kern w:val="0"/>
          <w:sz w:val="23"/>
          <w:szCs w:val="23"/>
          <w14:ligatures w14:val="none"/>
        </w:rPr>
        <w:t>VAT ASSESMENT has been excluded.</w:t>
      </w:r>
    </w:p>
    <w:tbl>
      <w:tblPr>
        <w:tblW w:w="9360" w:type="dxa"/>
        <w:tblLook w:val="04A0" w:firstRow="1" w:lastRow="0" w:firstColumn="1" w:lastColumn="0" w:noHBand="0" w:noVBand="1"/>
      </w:tblPr>
      <w:tblGrid>
        <w:gridCol w:w="960"/>
        <w:gridCol w:w="4760"/>
        <w:gridCol w:w="1940"/>
        <w:gridCol w:w="1700"/>
      </w:tblGrid>
      <w:tr w:rsidR="00486EAC" w:rsidRPr="00486EAC" w:rsidTr="00486EAC">
        <w:trPr>
          <w:trHeight w:val="552"/>
        </w:trPr>
        <w:tc>
          <w:tcPr>
            <w:tcW w:w="9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Cost Centre</w:t>
            </w:r>
          </w:p>
        </w:tc>
        <w:tc>
          <w:tcPr>
            <w:tcW w:w="47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GROUP ELEMENT/ELEMENT</w:t>
            </w:r>
          </w:p>
        </w:tc>
        <w:tc>
          <w:tcPr>
            <w:tcW w:w="19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COST/M2 OF GIFA</w:t>
            </w:r>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Total Cost of Element</w:t>
            </w:r>
          </w:p>
        </w:tc>
      </w:tr>
      <w:tr w:rsidR="00486EAC" w:rsidRPr="00486EAC" w:rsidTr="00486EAC">
        <w:trPr>
          <w:trHeight w:val="408"/>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p>
        </w:tc>
        <w:tc>
          <w:tcPr>
            <w:tcW w:w="4760" w:type="dxa"/>
            <w:vMerge/>
            <w:tcBorders>
              <w:top w:val="single" w:sz="8" w:space="0" w:color="000000"/>
              <w:left w:val="single" w:sz="8" w:space="0" w:color="000000"/>
              <w:bottom w:val="single" w:sz="8" w:space="0" w:color="000000"/>
              <w:right w:val="single" w:sz="8" w:space="0" w:color="000000"/>
            </w:tcBorders>
            <w:vAlign w:val="center"/>
            <w:hideMark/>
          </w:tcPr>
          <w:p w:rsidR="00486EAC" w:rsidRPr="00486EAC" w:rsidRDefault="00486EAC" w:rsidP="00486EAC">
            <w:pPr>
              <w:spacing w:after="0" w:line="240" w:lineRule="auto"/>
              <w:jc w:val="left"/>
              <w:rPr>
                <w:rFonts w:eastAsia="Times New Roman"/>
                <w:b/>
                <w:bCs/>
                <w:color w:val="000000"/>
                <w:kern w:val="0"/>
                <w:sz w:val="21"/>
                <w:szCs w:val="21"/>
                <w14:ligatures w14:val="none"/>
              </w:rPr>
            </w:pPr>
          </w:p>
        </w:tc>
        <w:tc>
          <w:tcPr>
            <w:tcW w:w="1940" w:type="dxa"/>
            <w:vMerge/>
            <w:tcBorders>
              <w:top w:val="single" w:sz="8" w:space="0" w:color="000000"/>
              <w:left w:val="single" w:sz="8" w:space="0" w:color="000000"/>
              <w:bottom w:val="single" w:sz="8" w:space="0" w:color="000000"/>
              <w:right w:val="single" w:sz="8" w:space="0" w:color="000000"/>
            </w:tcBorders>
            <w:vAlign w:val="center"/>
            <w:hideMark/>
          </w:tcPr>
          <w:p w:rsidR="00486EAC" w:rsidRPr="00486EAC" w:rsidRDefault="00486EAC" w:rsidP="00486EAC">
            <w:pPr>
              <w:spacing w:after="0" w:line="240" w:lineRule="auto"/>
              <w:jc w:val="left"/>
              <w:rPr>
                <w:rFonts w:eastAsia="Times New Roman"/>
                <w:b/>
                <w:bCs/>
                <w:color w:val="000000"/>
                <w:kern w:val="0"/>
                <w:sz w:val="21"/>
                <w:szCs w:val="21"/>
                <w14:ligatures w14:val="none"/>
              </w:rPr>
            </w:pPr>
          </w:p>
        </w:tc>
        <w:tc>
          <w:tcPr>
            <w:tcW w:w="1700" w:type="dxa"/>
            <w:vMerge/>
            <w:tcBorders>
              <w:top w:val="single" w:sz="8" w:space="0" w:color="000000"/>
              <w:left w:val="single" w:sz="8" w:space="0" w:color="000000"/>
              <w:bottom w:val="single" w:sz="8" w:space="0" w:color="000000"/>
              <w:right w:val="single" w:sz="8" w:space="0" w:color="000000"/>
            </w:tcBorders>
            <w:vAlign w:val="center"/>
            <w:hideMark/>
          </w:tcPr>
          <w:p w:rsidR="00486EAC" w:rsidRPr="00486EAC" w:rsidRDefault="00486EAC" w:rsidP="00486EAC">
            <w:pPr>
              <w:spacing w:after="0" w:line="240" w:lineRule="auto"/>
              <w:jc w:val="left"/>
              <w:rPr>
                <w:rFonts w:eastAsia="Times New Roman"/>
                <w:b/>
                <w:bCs/>
                <w:color w:val="000000"/>
                <w:kern w:val="0"/>
                <w:sz w:val="21"/>
                <w:szCs w:val="21"/>
                <w14:ligatures w14:val="none"/>
              </w:rPr>
            </w:pP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center"/>
              <w:rPr>
                <w:rFonts w:eastAsia="Times New Roman"/>
                <w:b/>
                <w:bCs/>
                <w:kern w:val="0"/>
                <w:sz w:val="21"/>
                <w:szCs w:val="21"/>
                <w14:ligatures w14:val="none"/>
              </w:rPr>
            </w:pPr>
            <w:r w:rsidRPr="00486EAC">
              <w:rPr>
                <w:rFonts w:eastAsia="Times New Roman"/>
                <w:b/>
                <w:bCs/>
                <w:kern w:val="0"/>
                <w:sz w:val="21"/>
                <w:szCs w:val="21"/>
                <w14:ligatures w14:val="none"/>
              </w:rPr>
              <w:t>0</w:t>
            </w:r>
          </w:p>
        </w:tc>
        <w:tc>
          <w:tcPr>
            <w:tcW w:w="476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left"/>
              <w:rPr>
                <w:rFonts w:eastAsia="Times New Roman"/>
                <w:b/>
                <w:bCs/>
                <w:kern w:val="0"/>
                <w:sz w:val="21"/>
                <w:szCs w:val="21"/>
                <w14:ligatures w14:val="none"/>
              </w:rPr>
            </w:pPr>
            <w:r w:rsidRPr="00486EAC">
              <w:rPr>
                <w:rFonts w:eastAsia="Times New Roman"/>
                <w:b/>
                <w:bCs/>
                <w:kern w:val="0"/>
                <w:sz w:val="21"/>
                <w:szCs w:val="21"/>
                <w14:ligatures w14:val="none"/>
              </w:rPr>
              <w:t>FACILITATING WORKS</w:t>
            </w:r>
          </w:p>
        </w:tc>
        <w:tc>
          <w:tcPr>
            <w:tcW w:w="194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kern w:val="0"/>
                <w:sz w:val="23"/>
                <w:szCs w:val="23"/>
                <w14:ligatures w14:val="none"/>
              </w:rPr>
            </w:pPr>
            <w:r w:rsidRPr="00486EAC">
              <w:rPr>
                <w:rFonts w:eastAsia="Times New Roman"/>
                <w:b/>
                <w:bCs/>
                <w:kern w:val="0"/>
                <w:sz w:val="23"/>
                <w:szCs w:val="23"/>
                <w14:ligatures w14:val="none"/>
              </w:rPr>
              <w:t> </w:t>
            </w:r>
          </w:p>
        </w:tc>
        <w:tc>
          <w:tcPr>
            <w:tcW w:w="170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kern w:val="0"/>
                <w:sz w:val="23"/>
                <w:szCs w:val="23"/>
                <w14:ligatures w14:val="none"/>
              </w:rPr>
            </w:pPr>
            <w:r w:rsidRPr="00486EAC">
              <w:rPr>
                <w:rFonts w:eastAsia="Times New Roman"/>
                <w:b/>
                <w:bCs/>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center"/>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1</w:t>
            </w:r>
          </w:p>
        </w:tc>
        <w:tc>
          <w:tcPr>
            <w:tcW w:w="476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left"/>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SUBSTRUCTURE</w:t>
            </w:r>
          </w:p>
        </w:tc>
        <w:tc>
          <w:tcPr>
            <w:tcW w:w="194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2,292,515.13</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1A</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SUBSTRUCTURE</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16,451.49</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2,292,515.13</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center"/>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2</w:t>
            </w:r>
          </w:p>
        </w:tc>
        <w:tc>
          <w:tcPr>
            <w:tcW w:w="476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left"/>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SUPERSTRUCTURE</w:t>
            </w:r>
          </w:p>
        </w:tc>
        <w:tc>
          <w:tcPr>
            <w:tcW w:w="194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25,471,172.44</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2A</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Frame</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22,586.14</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8,393,687.21</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2B</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rPr>
                <w:rFonts w:eastAsia="Times New Roman"/>
                <w:color w:val="000000"/>
                <w:kern w:val="0"/>
                <w:sz w:val="21"/>
                <w:szCs w:val="21"/>
                <w14:ligatures w14:val="none"/>
              </w:rPr>
            </w:pPr>
            <w:r w:rsidRPr="00486EAC">
              <w:rPr>
                <w:rFonts w:eastAsia="Times New Roman"/>
                <w:color w:val="000000"/>
                <w:kern w:val="0"/>
                <w:sz w:val="21"/>
                <w:szCs w:val="21"/>
                <w14:ligatures w14:val="none"/>
              </w:rPr>
              <w:t>Upper floors (Costs include in other elements)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2C</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Roof</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18,795.24</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2,619,116.69</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2D</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Stairs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564,780.00</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2,259,120.00</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2E</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External walls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12,948.51</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7,282,242.02</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2F</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Window and External doors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43,216.72</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2,895,520.24</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2G</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Internal walls and partition</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6,549.15</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876,276.27</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2H</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Internal doors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104,110.00</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1,145,210.00</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center"/>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3</w:t>
            </w:r>
          </w:p>
        </w:tc>
        <w:tc>
          <w:tcPr>
            <w:tcW w:w="476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left"/>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FINISHES</w:t>
            </w:r>
          </w:p>
        </w:tc>
        <w:tc>
          <w:tcPr>
            <w:tcW w:w="194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3,159,019.92</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3A</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Walls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2,546.14</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1,273,070.00</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3B</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Floors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2,976.56</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1,107,280.32</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3C</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Ceilings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2,115.95</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778,669.60</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center"/>
              <w:rPr>
                <w:rFonts w:eastAsia="Times New Roman"/>
                <w:b/>
                <w:bCs/>
                <w:kern w:val="0"/>
                <w:sz w:val="21"/>
                <w:szCs w:val="21"/>
                <w14:ligatures w14:val="none"/>
              </w:rPr>
            </w:pPr>
            <w:r w:rsidRPr="00486EAC">
              <w:rPr>
                <w:rFonts w:eastAsia="Times New Roman"/>
                <w:b/>
                <w:bCs/>
                <w:kern w:val="0"/>
                <w:sz w:val="21"/>
                <w:szCs w:val="21"/>
                <w14:ligatures w14:val="none"/>
              </w:rPr>
              <w:t>4</w:t>
            </w:r>
          </w:p>
        </w:tc>
        <w:tc>
          <w:tcPr>
            <w:tcW w:w="476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left"/>
              <w:rPr>
                <w:rFonts w:eastAsia="Times New Roman"/>
                <w:b/>
                <w:bCs/>
                <w:kern w:val="0"/>
                <w:sz w:val="21"/>
                <w:szCs w:val="21"/>
                <w14:ligatures w14:val="none"/>
              </w:rPr>
            </w:pPr>
            <w:r w:rsidRPr="00486EAC">
              <w:rPr>
                <w:rFonts w:eastAsia="Times New Roman"/>
                <w:b/>
                <w:bCs/>
                <w:kern w:val="0"/>
                <w:sz w:val="21"/>
                <w:szCs w:val="21"/>
                <w14:ligatures w14:val="none"/>
              </w:rPr>
              <w:t>FITTINGS</w:t>
            </w:r>
          </w:p>
        </w:tc>
        <w:tc>
          <w:tcPr>
            <w:tcW w:w="194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kern w:val="0"/>
                <w:sz w:val="23"/>
                <w:szCs w:val="23"/>
                <w14:ligatures w14:val="none"/>
              </w:rPr>
            </w:pPr>
            <w:r w:rsidRPr="00486EAC">
              <w:rPr>
                <w:rFonts w:eastAsia="Times New Roman"/>
                <w:b/>
                <w:bCs/>
                <w:kern w:val="0"/>
                <w:sz w:val="23"/>
                <w:szCs w:val="23"/>
                <w14:ligatures w14:val="none"/>
              </w:rPr>
              <w:t> </w:t>
            </w:r>
          </w:p>
        </w:tc>
        <w:tc>
          <w:tcPr>
            <w:tcW w:w="170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kern w:val="0"/>
                <w:sz w:val="23"/>
                <w:szCs w:val="23"/>
                <w14:ligatures w14:val="none"/>
              </w:rPr>
            </w:pPr>
            <w:r w:rsidRPr="00486EAC">
              <w:rPr>
                <w:rFonts w:eastAsia="Times New Roman"/>
                <w:b/>
                <w:bCs/>
                <w:kern w:val="0"/>
                <w:sz w:val="23"/>
                <w:szCs w:val="23"/>
                <w14:ligatures w14:val="none"/>
              </w:rPr>
              <w:t>1,608,455.52</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4A</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Fittings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4,328.11</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1,608,455.52</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lastRenderedPageBreak/>
              <w:t>5</w:t>
            </w:r>
          </w:p>
        </w:tc>
        <w:tc>
          <w:tcPr>
            <w:tcW w:w="476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left"/>
              <w:rPr>
                <w:rFonts w:eastAsia="Times New Roman"/>
                <w:b/>
                <w:bCs/>
                <w:color w:val="000000"/>
                <w:kern w:val="0"/>
                <w:sz w:val="21"/>
                <w:szCs w:val="21"/>
                <w14:ligatures w14:val="none"/>
              </w:rPr>
            </w:pPr>
            <w:r w:rsidRPr="00486EAC">
              <w:rPr>
                <w:rFonts w:eastAsia="Times New Roman"/>
                <w:b/>
                <w:bCs/>
                <w:color w:val="000000"/>
                <w:kern w:val="0"/>
                <w:sz w:val="21"/>
                <w:szCs w:val="21"/>
                <w14:ligatures w14:val="none"/>
              </w:rPr>
              <w:t>SERVICES</w:t>
            </w:r>
          </w:p>
        </w:tc>
        <w:tc>
          <w:tcPr>
            <w:tcW w:w="194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9,087,444.67</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5A</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Sanitary appliances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19,497.14</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233,965.68</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5B</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 xml:space="preserve">Service </w:t>
            </w:r>
            <w:proofErr w:type="spellStart"/>
            <w:r w:rsidRPr="00486EAC">
              <w:rPr>
                <w:rFonts w:eastAsia="Times New Roman"/>
                <w:color w:val="000000"/>
                <w:kern w:val="0"/>
                <w:sz w:val="21"/>
                <w:szCs w:val="21"/>
                <w14:ligatures w14:val="none"/>
              </w:rPr>
              <w:t>equipments</w:t>
            </w:r>
            <w:proofErr w:type="spellEnd"/>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5C</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Disposal installation</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5D</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water installations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15,305.79</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5,688,090.74</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5E</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Heat source</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5F</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Space heating and air treatments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5G</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Ventilation</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5H</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Electrical installations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8,517.58</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3,165,388.26</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5I</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Gas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5J</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Lift</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5K</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Protection</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5L</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Communications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5M</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Special</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5N</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BWIC</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5O</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Attendance</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center"/>
              <w:rPr>
                <w:rFonts w:eastAsia="Times New Roman"/>
                <w:b/>
                <w:bCs/>
                <w:kern w:val="0"/>
                <w:sz w:val="21"/>
                <w:szCs w:val="21"/>
                <w14:ligatures w14:val="none"/>
              </w:rPr>
            </w:pPr>
            <w:r w:rsidRPr="00486EAC">
              <w:rPr>
                <w:rFonts w:eastAsia="Times New Roman"/>
                <w:b/>
                <w:bCs/>
                <w:kern w:val="0"/>
                <w:sz w:val="21"/>
                <w:szCs w:val="21"/>
                <w14:ligatures w14:val="none"/>
              </w:rPr>
              <w:t>6</w:t>
            </w:r>
          </w:p>
        </w:tc>
        <w:tc>
          <w:tcPr>
            <w:tcW w:w="476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left"/>
              <w:rPr>
                <w:rFonts w:eastAsia="Times New Roman"/>
                <w:b/>
                <w:bCs/>
                <w:kern w:val="0"/>
                <w:sz w:val="21"/>
                <w:szCs w:val="21"/>
                <w14:ligatures w14:val="none"/>
              </w:rPr>
            </w:pPr>
            <w:r w:rsidRPr="00486EAC">
              <w:rPr>
                <w:rFonts w:eastAsia="Times New Roman"/>
                <w:b/>
                <w:bCs/>
                <w:kern w:val="0"/>
                <w:sz w:val="21"/>
                <w:szCs w:val="21"/>
                <w14:ligatures w14:val="none"/>
              </w:rPr>
              <w:t>EXTERNAL WORKS</w:t>
            </w:r>
          </w:p>
        </w:tc>
        <w:tc>
          <w:tcPr>
            <w:tcW w:w="194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kern w:val="0"/>
                <w:sz w:val="23"/>
                <w:szCs w:val="23"/>
                <w14:ligatures w14:val="none"/>
              </w:rPr>
            </w:pPr>
            <w:r w:rsidRPr="00486EAC">
              <w:rPr>
                <w:rFonts w:eastAsia="Times New Roman"/>
                <w:b/>
                <w:bCs/>
                <w:kern w:val="0"/>
                <w:sz w:val="23"/>
                <w:szCs w:val="23"/>
                <w14:ligatures w14:val="none"/>
              </w:rPr>
              <w:t> </w:t>
            </w:r>
          </w:p>
        </w:tc>
        <w:tc>
          <w:tcPr>
            <w:tcW w:w="1700" w:type="dxa"/>
            <w:tcBorders>
              <w:top w:val="nil"/>
              <w:left w:val="nil"/>
              <w:bottom w:val="single" w:sz="8" w:space="0" w:color="000000"/>
              <w:right w:val="single" w:sz="8" w:space="0" w:color="000000"/>
            </w:tcBorders>
            <w:shd w:val="clear" w:color="000000" w:fill="D9E1F2"/>
            <w:vAlign w:val="center"/>
            <w:hideMark/>
          </w:tcPr>
          <w:p w:rsidR="00486EAC" w:rsidRPr="00486EAC" w:rsidRDefault="00486EAC" w:rsidP="00486EAC">
            <w:pPr>
              <w:spacing w:after="0" w:line="240" w:lineRule="auto"/>
              <w:jc w:val="right"/>
              <w:rPr>
                <w:rFonts w:eastAsia="Times New Roman"/>
                <w:b/>
                <w:bCs/>
                <w:kern w:val="0"/>
                <w:sz w:val="23"/>
                <w:szCs w:val="23"/>
                <w14:ligatures w14:val="none"/>
              </w:rPr>
            </w:pPr>
            <w:r w:rsidRPr="00486EAC">
              <w:rPr>
                <w:rFonts w:eastAsia="Times New Roman"/>
                <w:b/>
                <w:bCs/>
                <w:kern w:val="0"/>
                <w:sz w:val="23"/>
                <w:szCs w:val="23"/>
                <w14:ligatures w14:val="none"/>
              </w:rPr>
              <w:t>2,280,639.90</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6A</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Site works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1"/>
                <w:szCs w:val="21"/>
                <w14:ligatures w14:val="none"/>
              </w:rPr>
            </w:pPr>
            <w:r w:rsidRPr="00486EAC">
              <w:rPr>
                <w:rFonts w:eastAsia="Times New Roman"/>
                <w:color w:val="000000"/>
                <w:kern w:val="0"/>
                <w:sz w:val="21"/>
                <w:szCs w:val="21"/>
                <w14:ligatures w14:val="none"/>
              </w:rPr>
              <w:t>65,161.14</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2,280,639.90</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6B</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Drainage</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center"/>
              <w:rPr>
                <w:rFonts w:eastAsia="Times New Roman"/>
                <w:color w:val="000000"/>
                <w:kern w:val="0"/>
                <w:sz w:val="21"/>
                <w:szCs w:val="21"/>
                <w14:ligatures w14:val="none"/>
              </w:rPr>
            </w:pPr>
            <w:r w:rsidRPr="00486EAC">
              <w:rPr>
                <w:rFonts w:eastAsia="Times New Roman"/>
                <w:color w:val="000000"/>
                <w:kern w:val="0"/>
                <w:sz w:val="21"/>
                <w:szCs w:val="21"/>
                <w14:ligatures w14:val="none"/>
              </w:rPr>
              <w:t>6C</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1"/>
                <w:szCs w:val="21"/>
                <w14:ligatures w14:val="none"/>
              </w:rPr>
            </w:pPr>
            <w:r w:rsidRPr="00486EAC">
              <w:rPr>
                <w:rFonts w:eastAsia="Times New Roman"/>
                <w:color w:val="000000"/>
                <w:kern w:val="0"/>
                <w:sz w:val="21"/>
                <w:szCs w:val="21"/>
                <w14:ligatures w14:val="none"/>
              </w:rPr>
              <w:t>Services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r>
      <w:tr w:rsidR="00486EAC" w:rsidRPr="00486EAC" w:rsidTr="00486EAC">
        <w:trPr>
          <w:trHeight w:val="6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SUB TOTAL FACILITATING AND BUILDING WORKS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43,899,247.58</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Main contractor Preliminaries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6,584,887.14</w:t>
            </w:r>
          </w:p>
        </w:tc>
      </w:tr>
      <w:tr w:rsidR="00486EAC" w:rsidRPr="00486EAC" w:rsidTr="00486EAC">
        <w:trPr>
          <w:trHeight w:val="9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SUB TOTAL FACILITATING AND BUILDING WORKS (Including main contractor Preliminaries)</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50,484,134.72</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Main contractor’s overheads and profit</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5,048,413.47</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BUILDING WORKS ESTIMATE</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55,532,548.19</w:t>
            </w:r>
          </w:p>
        </w:tc>
      </w:tr>
      <w:tr w:rsidR="00486EAC" w:rsidRPr="00486EAC" w:rsidTr="00486EAC">
        <w:trPr>
          <w:trHeight w:val="6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PROJECT/DESIGN TEAM FEES AND OTHER DEVELOPMENT/PROJECT</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5,553,254.82</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BASE COST ESTIMATE</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61,085,803.01</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RISK ALLOWANCE ESTIMATE</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1,832,574.09</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COST LIMIT (excluding inflation)</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62,918,377.10</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INFLATION ALLOWANCE</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66,417,245.23</w:t>
            </w:r>
          </w:p>
        </w:tc>
      </w:tr>
      <w:tr w:rsidR="00486EAC" w:rsidRPr="00486EAC" w:rsidTr="00486EAC">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476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lef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COST LIMIT (excluding VAT assessment)</w:t>
            </w:r>
          </w:p>
        </w:tc>
        <w:tc>
          <w:tcPr>
            <w:tcW w:w="194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color w:val="000000"/>
                <w:kern w:val="0"/>
                <w:sz w:val="23"/>
                <w:szCs w:val="23"/>
                <w14:ligatures w14:val="none"/>
              </w:rPr>
            </w:pPr>
            <w:r w:rsidRPr="00486EAC">
              <w:rPr>
                <w:rFonts w:eastAsia="Times New Roman"/>
                <w:color w:val="000000"/>
                <w:kern w:val="0"/>
                <w:sz w:val="23"/>
                <w:szCs w:val="23"/>
                <w14:ligatures w14:val="none"/>
              </w:rPr>
              <w:t> </w:t>
            </w:r>
          </w:p>
        </w:tc>
        <w:tc>
          <w:tcPr>
            <w:tcW w:w="1700" w:type="dxa"/>
            <w:tcBorders>
              <w:top w:val="nil"/>
              <w:left w:val="nil"/>
              <w:bottom w:val="single" w:sz="8" w:space="0" w:color="000000"/>
              <w:right w:val="single" w:sz="8" w:space="0" w:color="000000"/>
            </w:tcBorders>
            <w:shd w:val="clear" w:color="auto" w:fill="auto"/>
            <w:vAlign w:val="center"/>
            <w:hideMark/>
          </w:tcPr>
          <w:p w:rsidR="00486EAC" w:rsidRPr="00486EAC" w:rsidRDefault="00486EAC" w:rsidP="00486EAC">
            <w:pPr>
              <w:spacing w:after="0" w:line="240" w:lineRule="auto"/>
              <w:jc w:val="right"/>
              <w:rPr>
                <w:rFonts w:eastAsia="Times New Roman"/>
                <w:b/>
                <w:bCs/>
                <w:color w:val="000000"/>
                <w:kern w:val="0"/>
                <w:sz w:val="23"/>
                <w:szCs w:val="23"/>
                <w14:ligatures w14:val="none"/>
              </w:rPr>
            </w:pPr>
            <w:r w:rsidRPr="00486EAC">
              <w:rPr>
                <w:rFonts w:eastAsia="Times New Roman"/>
                <w:b/>
                <w:bCs/>
                <w:color w:val="000000"/>
                <w:kern w:val="0"/>
                <w:sz w:val="23"/>
                <w:szCs w:val="23"/>
                <w14:ligatures w14:val="none"/>
              </w:rPr>
              <w:t>129,335,622.33</w:t>
            </w:r>
          </w:p>
        </w:tc>
      </w:tr>
    </w:tbl>
    <w:p w:rsidR="00486EAC" w:rsidRPr="00486EAC" w:rsidRDefault="00486EAC" w:rsidP="00486EAC"/>
    <w:sectPr w:rsidR="00486EAC" w:rsidRPr="00486EAC" w:rsidSect="00A1364D">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E99" w:rsidRDefault="00A33E99" w:rsidP="00A1364D">
      <w:pPr>
        <w:spacing w:after="0" w:line="240" w:lineRule="auto"/>
      </w:pPr>
      <w:r>
        <w:separator/>
      </w:r>
    </w:p>
  </w:endnote>
  <w:endnote w:type="continuationSeparator" w:id="0">
    <w:p w:rsidR="00A33E99" w:rsidRDefault="00A33E99" w:rsidP="00A13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671803"/>
      <w:docPartObj>
        <w:docPartGallery w:val="Page Numbers (Bottom of Page)"/>
        <w:docPartUnique/>
      </w:docPartObj>
    </w:sdtPr>
    <w:sdtEndPr>
      <w:rPr>
        <w:noProof/>
      </w:rPr>
    </w:sdtEndPr>
    <w:sdtContent>
      <w:p w:rsidR="00A1364D" w:rsidRDefault="00A1364D">
        <w:pPr>
          <w:pStyle w:val="Footer"/>
          <w:jc w:val="center"/>
        </w:pPr>
        <w:r>
          <w:fldChar w:fldCharType="begin"/>
        </w:r>
        <w:r>
          <w:instrText xml:space="preserve"> PAGE   \* MERGEFORMAT </w:instrText>
        </w:r>
        <w:r>
          <w:fldChar w:fldCharType="separate"/>
        </w:r>
        <w:r w:rsidR="006D24B3">
          <w:rPr>
            <w:noProof/>
          </w:rPr>
          <w:t>13</w:t>
        </w:r>
        <w:r>
          <w:rPr>
            <w:noProof/>
          </w:rPr>
          <w:fldChar w:fldCharType="end"/>
        </w:r>
      </w:p>
    </w:sdtContent>
  </w:sdt>
  <w:p w:rsidR="00A1364D" w:rsidRDefault="00A13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E99" w:rsidRDefault="00A33E99" w:rsidP="00A1364D">
      <w:pPr>
        <w:spacing w:after="0" w:line="240" w:lineRule="auto"/>
      </w:pPr>
      <w:r>
        <w:separator/>
      </w:r>
    </w:p>
  </w:footnote>
  <w:footnote w:type="continuationSeparator" w:id="0">
    <w:p w:rsidR="00A33E99" w:rsidRDefault="00A33E99" w:rsidP="00A13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4137F"/>
    <w:multiLevelType w:val="multilevel"/>
    <w:tmpl w:val="4C920B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71382"/>
    <w:multiLevelType w:val="hybridMultilevel"/>
    <w:tmpl w:val="0CFC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B7B5E"/>
    <w:multiLevelType w:val="multilevel"/>
    <w:tmpl w:val="1FCA0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6468E"/>
    <w:multiLevelType w:val="multilevel"/>
    <w:tmpl w:val="155820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92150"/>
    <w:multiLevelType w:val="multilevel"/>
    <w:tmpl w:val="570001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638383D"/>
    <w:multiLevelType w:val="multilevel"/>
    <w:tmpl w:val="80A23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5C598B"/>
    <w:multiLevelType w:val="multilevel"/>
    <w:tmpl w:val="E55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AF"/>
    <w:rsid w:val="000A4941"/>
    <w:rsid w:val="001475D5"/>
    <w:rsid w:val="001B3F7A"/>
    <w:rsid w:val="00210B09"/>
    <w:rsid w:val="002251A9"/>
    <w:rsid w:val="00330B5A"/>
    <w:rsid w:val="003D1DF7"/>
    <w:rsid w:val="003E0550"/>
    <w:rsid w:val="00486EAC"/>
    <w:rsid w:val="00490305"/>
    <w:rsid w:val="004F34F4"/>
    <w:rsid w:val="005E2570"/>
    <w:rsid w:val="006040F4"/>
    <w:rsid w:val="006D24B3"/>
    <w:rsid w:val="007808C0"/>
    <w:rsid w:val="007A15AF"/>
    <w:rsid w:val="0091323B"/>
    <w:rsid w:val="00984EAA"/>
    <w:rsid w:val="00A1364D"/>
    <w:rsid w:val="00A33E99"/>
    <w:rsid w:val="00B31B60"/>
    <w:rsid w:val="00BB1B53"/>
    <w:rsid w:val="00CC27EC"/>
    <w:rsid w:val="00D103FE"/>
    <w:rsid w:val="00D2557F"/>
    <w:rsid w:val="00D7630D"/>
    <w:rsid w:val="00E144FA"/>
    <w:rsid w:val="00E86C54"/>
    <w:rsid w:val="00F35BC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1034"/>
  <w15:chartTrackingRefBased/>
  <w15:docId w15:val="{589F2633-E961-4EC5-BE9E-EC8DBC13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7EC"/>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10B09"/>
    <w:pPr>
      <w:keepNext/>
      <w:keepLines/>
      <w:numPr>
        <w:numId w:val="6"/>
      </w:numPr>
      <w:spacing w:before="240" w:after="0" w:line="259" w:lineRule="auto"/>
      <w:jc w:val="left"/>
      <w:outlineLvl w:val="0"/>
    </w:pPr>
    <w:rPr>
      <w:rFonts w:eastAsiaTheme="majorEastAsia"/>
      <w:b/>
      <w:bCs/>
      <w:kern w:val="0"/>
      <w:sz w:val="32"/>
      <w:szCs w:val="32"/>
      <w:lang w:bidi="ar-SA"/>
      <w14:ligatures w14:val="none"/>
    </w:rPr>
  </w:style>
  <w:style w:type="paragraph" w:styleId="Heading2">
    <w:name w:val="heading 2"/>
    <w:basedOn w:val="Normal"/>
    <w:next w:val="Normal"/>
    <w:link w:val="Heading2Char"/>
    <w:uiPriority w:val="9"/>
    <w:unhideWhenUsed/>
    <w:qFormat/>
    <w:rsid w:val="00210B09"/>
    <w:pPr>
      <w:keepNext/>
      <w:keepLines/>
      <w:numPr>
        <w:ilvl w:val="1"/>
        <w:numId w:val="6"/>
      </w:numPr>
      <w:spacing w:before="40" w:after="0"/>
      <w:outlineLvl w:val="1"/>
    </w:pPr>
    <w:rPr>
      <w:rFonts w:eastAsiaTheme="majorEastAsia"/>
      <w:b/>
      <w:bCs/>
      <w:sz w:val="28"/>
      <w:szCs w:val="28"/>
    </w:rPr>
  </w:style>
  <w:style w:type="paragraph" w:styleId="Heading3">
    <w:name w:val="heading 3"/>
    <w:basedOn w:val="Normal"/>
    <w:next w:val="Normal"/>
    <w:link w:val="Heading3Char"/>
    <w:uiPriority w:val="9"/>
    <w:semiHidden/>
    <w:unhideWhenUsed/>
    <w:qFormat/>
    <w:rsid w:val="00210B09"/>
    <w:pPr>
      <w:keepNext/>
      <w:keepLines/>
      <w:numPr>
        <w:ilvl w:val="2"/>
        <w:numId w:val="6"/>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0B0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0B0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0B0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0B0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0B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0B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1B53"/>
    <w:pPr>
      <w:spacing w:before="100" w:beforeAutospacing="1" w:after="100" w:afterAutospacing="1" w:line="240" w:lineRule="auto"/>
      <w:jc w:val="left"/>
    </w:pPr>
    <w:rPr>
      <w:rFonts w:eastAsia="Times New Roman"/>
      <w:kern w:val="0"/>
      <w14:ligatures w14:val="none"/>
    </w:rPr>
  </w:style>
  <w:style w:type="paragraph" w:styleId="ListParagraph">
    <w:name w:val="List Paragraph"/>
    <w:basedOn w:val="Normal"/>
    <w:uiPriority w:val="34"/>
    <w:qFormat/>
    <w:rsid w:val="00CC27EC"/>
    <w:pPr>
      <w:ind w:left="720"/>
      <w:contextualSpacing/>
    </w:pPr>
  </w:style>
  <w:style w:type="character" w:customStyle="1" w:styleId="Heading1Char">
    <w:name w:val="Heading 1 Char"/>
    <w:basedOn w:val="DefaultParagraphFont"/>
    <w:link w:val="Heading1"/>
    <w:uiPriority w:val="9"/>
    <w:rsid w:val="00210B09"/>
    <w:rPr>
      <w:rFonts w:ascii="Times New Roman" w:eastAsiaTheme="majorEastAsia" w:hAnsi="Times New Roman" w:cs="Times New Roman"/>
      <w:b/>
      <w:bCs/>
      <w:kern w:val="0"/>
      <w:sz w:val="32"/>
      <w:szCs w:val="32"/>
      <w:lang w:bidi="ar-SA"/>
      <w14:ligatures w14:val="none"/>
    </w:rPr>
  </w:style>
  <w:style w:type="paragraph" w:styleId="Bibliography">
    <w:name w:val="Bibliography"/>
    <w:basedOn w:val="Normal"/>
    <w:next w:val="Normal"/>
    <w:uiPriority w:val="37"/>
    <w:unhideWhenUsed/>
    <w:rsid w:val="00210B09"/>
  </w:style>
  <w:style w:type="character" w:customStyle="1" w:styleId="Heading2Char">
    <w:name w:val="Heading 2 Char"/>
    <w:basedOn w:val="DefaultParagraphFont"/>
    <w:link w:val="Heading2"/>
    <w:uiPriority w:val="9"/>
    <w:rsid w:val="00210B09"/>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semiHidden/>
    <w:rsid w:val="00210B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10B0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10B0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10B0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10B0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210B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0B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13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64D"/>
    <w:rPr>
      <w:rFonts w:ascii="Times New Roman" w:hAnsi="Times New Roman" w:cs="Times New Roman"/>
      <w:sz w:val="24"/>
      <w:szCs w:val="24"/>
    </w:rPr>
  </w:style>
  <w:style w:type="paragraph" w:styleId="Footer">
    <w:name w:val="footer"/>
    <w:basedOn w:val="Normal"/>
    <w:link w:val="FooterChar"/>
    <w:uiPriority w:val="99"/>
    <w:unhideWhenUsed/>
    <w:rsid w:val="00A13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64D"/>
    <w:rPr>
      <w:rFonts w:ascii="Times New Roman" w:hAnsi="Times New Roman" w:cs="Times New Roman"/>
      <w:sz w:val="24"/>
      <w:szCs w:val="24"/>
    </w:rPr>
  </w:style>
  <w:style w:type="paragraph" w:styleId="TOCHeading">
    <w:name w:val="TOC Heading"/>
    <w:basedOn w:val="Heading1"/>
    <w:next w:val="Normal"/>
    <w:uiPriority w:val="39"/>
    <w:unhideWhenUsed/>
    <w:qFormat/>
    <w:rsid w:val="00A1364D"/>
    <w:pPr>
      <w:numPr>
        <w:numId w:val="0"/>
      </w:numPr>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A1364D"/>
    <w:pPr>
      <w:spacing w:after="100"/>
    </w:pPr>
  </w:style>
  <w:style w:type="paragraph" w:styleId="TOC2">
    <w:name w:val="toc 2"/>
    <w:basedOn w:val="Normal"/>
    <w:next w:val="Normal"/>
    <w:autoRedefine/>
    <w:uiPriority w:val="39"/>
    <w:unhideWhenUsed/>
    <w:rsid w:val="00A1364D"/>
    <w:pPr>
      <w:spacing w:after="100"/>
      <w:ind w:left="240"/>
    </w:pPr>
  </w:style>
  <w:style w:type="character" w:styleId="Hyperlink">
    <w:name w:val="Hyperlink"/>
    <w:basedOn w:val="DefaultParagraphFont"/>
    <w:uiPriority w:val="99"/>
    <w:unhideWhenUsed/>
    <w:rsid w:val="00A1364D"/>
    <w:rPr>
      <w:color w:val="0563C1" w:themeColor="hyperlink"/>
      <w:u w:val="single"/>
    </w:rPr>
  </w:style>
  <w:style w:type="table" w:styleId="TableGrid">
    <w:name w:val="Table Grid"/>
    <w:basedOn w:val="TableNormal"/>
    <w:uiPriority w:val="39"/>
    <w:rsid w:val="00147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475D5"/>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7735">
      <w:bodyDiv w:val="1"/>
      <w:marLeft w:val="0"/>
      <w:marRight w:val="0"/>
      <w:marTop w:val="0"/>
      <w:marBottom w:val="0"/>
      <w:divBdr>
        <w:top w:val="none" w:sz="0" w:space="0" w:color="auto"/>
        <w:left w:val="none" w:sz="0" w:space="0" w:color="auto"/>
        <w:bottom w:val="none" w:sz="0" w:space="0" w:color="auto"/>
        <w:right w:val="none" w:sz="0" w:space="0" w:color="auto"/>
      </w:divBdr>
    </w:div>
    <w:div w:id="104275311">
      <w:bodyDiv w:val="1"/>
      <w:marLeft w:val="0"/>
      <w:marRight w:val="0"/>
      <w:marTop w:val="0"/>
      <w:marBottom w:val="0"/>
      <w:divBdr>
        <w:top w:val="none" w:sz="0" w:space="0" w:color="auto"/>
        <w:left w:val="none" w:sz="0" w:space="0" w:color="auto"/>
        <w:bottom w:val="none" w:sz="0" w:space="0" w:color="auto"/>
        <w:right w:val="none" w:sz="0" w:space="0" w:color="auto"/>
      </w:divBdr>
    </w:div>
    <w:div w:id="128519878">
      <w:bodyDiv w:val="1"/>
      <w:marLeft w:val="0"/>
      <w:marRight w:val="0"/>
      <w:marTop w:val="0"/>
      <w:marBottom w:val="0"/>
      <w:divBdr>
        <w:top w:val="none" w:sz="0" w:space="0" w:color="auto"/>
        <w:left w:val="none" w:sz="0" w:space="0" w:color="auto"/>
        <w:bottom w:val="none" w:sz="0" w:space="0" w:color="auto"/>
        <w:right w:val="none" w:sz="0" w:space="0" w:color="auto"/>
      </w:divBdr>
    </w:div>
    <w:div w:id="247278732">
      <w:bodyDiv w:val="1"/>
      <w:marLeft w:val="0"/>
      <w:marRight w:val="0"/>
      <w:marTop w:val="0"/>
      <w:marBottom w:val="0"/>
      <w:divBdr>
        <w:top w:val="none" w:sz="0" w:space="0" w:color="auto"/>
        <w:left w:val="none" w:sz="0" w:space="0" w:color="auto"/>
        <w:bottom w:val="none" w:sz="0" w:space="0" w:color="auto"/>
        <w:right w:val="none" w:sz="0" w:space="0" w:color="auto"/>
      </w:divBdr>
    </w:div>
    <w:div w:id="286548827">
      <w:bodyDiv w:val="1"/>
      <w:marLeft w:val="0"/>
      <w:marRight w:val="0"/>
      <w:marTop w:val="0"/>
      <w:marBottom w:val="0"/>
      <w:divBdr>
        <w:top w:val="none" w:sz="0" w:space="0" w:color="auto"/>
        <w:left w:val="none" w:sz="0" w:space="0" w:color="auto"/>
        <w:bottom w:val="none" w:sz="0" w:space="0" w:color="auto"/>
        <w:right w:val="none" w:sz="0" w:space="0" w:color="auto"/>
      </w:divBdr>
    </w:div>
    <w:div w:id="350182987">
      <w:bodyDiv w:val="1"/>
      <w:marLeft w:val="0"/>
      <w:marRight w:val="0"/>
      <w:marTop w:val="0"/>
      <w:marBottom w:val="0"/>
      <w:divBdr>
        <w:top w:val="none" w:sz="0" w:space="0" w:color="auto"/>
        <w:left w:val="none" w:sz="0" w:space="0" w:color="auto"/>
        <w:bottom w:val="none" w:sz="0" w:space="0" w:color="auto"/>
        <w:right w:val="none" w:sz="0" w:space="0" w:color="auto"/>
      </w:divBdr>
    </w:div>
    <w:div w:id="507330615">
      <w:bodyDiv w:val="1"/>
      <w:marLeft w:val="0"/>
      <w:marRight w:val="0"/>
      <w:marTop w:val="0"/>
      <w:marBottom w:val="0"/>
      <w:divBdr>
        <w:top w:val="none" w:sz="0" w:space="0" w:color="auto"/>
        <w:left w:val="none" w:sz="0" w:space="0" w:color="auto"/>
        <w:bottom w:val="none" w:sz="0" w:space="0" w:color="auto"/>
        <w:right w:val="none" w:sz="0" w:space="0" w:color="auto"/>
      </w:divBdr>
    </w:div>
    <w:div w:id="530150112">
      <w:bodyDiv w:val="1"/>
      <w:marLeft w:val="0"/>
      <w:marRight w:val="0"/>
      <w:marTop w:val="0"/>
      <w:marBottom w:val="0"/>
      <w:divBdr>
        <w:top w:val="none" w:sz="0" w:space="0" w:color="auto"/>
        <w:left w:val="none" w:sz="0" w:space="0" w:color="auto"/>
        <w:bottom w:val="none" w:sz="0" w:space="0" w:color="auto"/>
        <w:right w:val="none" w:sz="0" w:space="0" w:color="auto"/>
      </w:divBdr>
    </w:div>
    <w:div w:id="700008992">
      <w:bodyDiv w:val="1"/>
      <w:marLeft w:val="0"/>
      <w:marRight w:val="0"/>
      <w:marTop w:val="0"/>
      <w:marBottom w:val="0"/>
      <w:divBdr>
        <w:top w:val="none" w:sz="0" w:space="0" w:color="auto"/>
        <w:left w:val="none" w:sz="0" w:space="0" w:color="auto"/>
        <w:bottom w:val="none" w:sz="0" w:space="0" w:color="auto"/>
        <w:right w:val="none" w:sz="0" w:space="0" w:color="auto"/>
      </w:divBdr>
    </w:div>
    <w:div w:id="720639611">
      <w:bodyDiv w:val="1"/>
      <w:marLeft w:val="0"/>
      <w:marRight w:val="0"/>
      <w:marTop w:val="0"/>
      <w:marBottom w:val="0"/>
      <w:divBdr>
        <w:top w:val="none" w:sz="0" w:space="0" w:color="auto"/>
        <w:left w:val="none" w:sz="0" w:space="0" w:color="auto"/>
        <w:bottom w:val="none" w:sz="0" w:space="0" w:color="auto"/>
        <w:right w:val="none" w:sz="0" w:space="0" w:color="auto"/>
      </w:divBdr>
    </w:div>
    <w:div w:id="725491280">
      <w:bodyDiv w:val="1"/>
      <w:marLeft w:val="0"/>
      <w:marRight w:val="0"/>
      <w:marTop w:val="0"/>
      <w:marBottom w:val="0"/>
      <w:divBdr>
        <w:top w:val="none" w:sz="0" w:space="0" w:color="auto"/>
        <w:left w:val="none" w:sz="0" w:space="0" w:color="auto"/>
        <w:bottom w:val="none" w:sz="0" w:space="0" w:color="auto"/>
        <w:right w:val="none" w:sz="0" w:space="0" w:color="auto"/>
      </w:divBdr>
    </w:div>
    <w:div w:id="781651271">
      <w:bodyDiv w:val="1"/>
      <w:marLeft w:val="0"/>
      <w:marRight w:val="0"/>
      <w:marTop w:val="0"/>
      <w:marBottom w:val="0"/>
      <w:divBdr>
        <w:top w:val="none" w:sz="0" w:space="0" w:color="auto"/>
        <w:left w:val="none" w:sz="0" w:space="0" w:color="auto"/>
        <w:bottom w:val="none" w:sz="0" w:space="0" w:color="auto"/>
        <w:right w:val="none" w:sz="0" w:space="0" w:color="auto"/>
      </w:divBdr>
    </w:div>
    <w:div w:id="800657565">
      <w:bodyDiv w:val="1"/>
      <w:marLeft w:val="0"/>
      <w:marRight w:val="0"/>
      <w:marTop w:val="0"/>
      <w:marBottom w:val="0"/>
      <w:divBdr>
        <w:top w:val="none" w:sz="0" w:space="0" w:color="auto"/>
        <w:left w:val="none" w:sz="0" w:space="0" w:color="auto"/>
        <w:bottom w:val="none" w:sz="0" w:space="0" w:color="auto"/>
        <w:right w:val="none" w:sz="0" w:space="0" w:color="auto"/>
      </w:divBdr>
    </w:div>
    <w:div w:id="897277019">
      <w:bodyDiv w:val="1"/>
      <w:marLeft w:val="0"/>
      <w:marRight w:val="0"/>
      <w:marTop w:val="0"/>
      <w:marBottom w:val="0"/>
      <w:divBdr>
        <w:top w:val="none" w:sz="0" w:space="0" w:color="auto"/>
        <w:left w:val="none" w:sz="0" w:space="0" w:color="auto"/>
        <w:bottom w:val="none" w:sz="0" w:space="0" w:color="auto"/>
        <w:right w:val="none" w:sz="0" w:space="0" w:color="auto"/>
      </w:divBdr>
    </w:div>
    <w:div w:id="1012299839">
      <w:bodyDiv w:val="1"/>
      <w:marLeft w:val="0"/>
      <w:marRight w:val="0"/>
      <w:marTop w:val="0"/>
      <w:marBottom w:val="0"/>
      <w:divBdr>
        <w:top w:val="none" w:sz="0" w:space="0" w:color="auto"/>
        <w:left w:val="none" w:sz="0" w:space="0" w:color="auto"/>
        <w:bottom w:val="none" w:sz="0" w:space="0" w:color="auto"/>
        <w:right w:val="none" w:sz="0" w:space="0" w:color="auto"/>
      </w:divBdr>
    </w:div>
    <w:div w:id="1100685412">
      <w:bodyDiv w:val="1"/>
      <w:marLeft w:val="0"/>
      <w:marRight w:val="0"/>
      <w:marTop w:val="0"/>
      <w:marBottom w:val="0"/>
      <w:divBdr>
        <w:top w:val="none" w:sz="0" w:space="0" w:color="auto"/>
        <w:left w:val="none" w:sz="0" w:space="0" w:color="auto"/>
        <w:bottom w:val="none" w:sz="0" w:space="0" w:color="auto"/>
        <w:right w:val="none" w:sz="0" w:space="0" w:color="auto"/>
      </w:divBdr>
    </w:div>
    <w:div w:id="1187981842">
      <w:bodyDiv w:val="1"/>
      <w:marLeft w:val="0"/>
      <w:marRight w:val="0"/>
      <w:marTop w:val="0"/>
      <w:marBottom w:val="0"/>
      <w:divBdr>
        <w:top w:val="none" w:sz="0" w:space="0" w:color="auto"/>
        <w:left w:val="none" w:sz="0" w:space="0" w:color="auto"/>
        <w:bottom w:val="none" w:sz="0" w:space="0" w:color="auto"/>
        <w:right w:val="none" w:sz="0" w:space="0" w:color="auto"/>
      </w:divBdr>
    </w:div>
    <w:div w:id="1296063850">
      <w:bodyDiv w:val="1"/>
      <w:marLeft w:val="0"/>
      <w:marRight w:val="0"/>
      <w:marTop w:val="0"/>
      <w:marBottom w:val="0"/>
      <w:divBdr>
        <w:top w:val="none" w:sz="0" w:space="0" w:color="auto"/>
        <w:left w:val="none" w:sz="0" w:space="0" w:color="auto"/>
        <w:bottom w:val="none" w:sz="0" w:space="0" w:color="auto"/>
        <w:right w:val="none" w:sz="0" w:space="0" w:color="auto"/>
      </w:divBdr>
    </w:div>
    <w:div w:id="1322542338">
      <w:bodyDiv w:val="1"/>
      <w:marLeft w:val="0"/>
      <w:marRight w:val="0"/>
      <w:marTop w:val="0"/>
      <w:marBottom w:val="0"/>
      <w:divBdr>
        <w:top w:val="none" w:sz="0" w:space="0" w:color="auto"/>
        <w:left w:val="none" w:sz="0" w:space="0" w:color="auto"/>
        <w:bottom w:val="none" w:sz="0" w:space="0" w:color="auto"/>
        <w:right w:val="none" w:sz="0" w:space="0" w:color="auto"/>
      </w:divBdr>
    </w:div>
    <w:div w:id="1348024815">
      <w:bodyDiv w:val="1"/>
      <w:marLeft w:val="0"/>
      <w:marRight w:val="0"/>
      <w:marTop w:val="0"/>
      <w:marBottom w:val="0"/>
      <w:divBdr>
        <w:top w:val="none" w:sz="0" w:space="0" w:color="auto"/>
        <w:left w:val="none" w:sz="0" w:space="0" w:color="auto"/>
        <w:bottom w:val="none" w:sz="0" w:space="0" w:color="auto"/>
        <w:right w:val="none" w:sz="0" w:space="0" w:color="auto"/>
      </w:divBdr>
    </w:div>
    <w:div w:id="1349987100">
      <w:bodyDiv w:val="1"/>
      <w:marLeft w:val="0"/>
      <w:marRight w:val="0"/>
      <w:marTop w:val="0"/>
      <w:marBottom w:val="0"/>
      <w:divBdr>
        <w:top w:val="none" w:sz="0" w:space="0" w:color="auto"/>
        <w:left w:val="none" w:sz="0" w:space="0" w:color="auto"/>
        <w:bottom w:val="none" w:sz="0" w:space="0" w:color="auto"/>
        <w:right w:val="none" w:sz="0" w:space="0" w:color="auto"/>
      </w:divBdr>
    </w:div>
    <w:div w:id="1355305316">
      <w:bodyDiv w:val="1"/>
      <w:marLeft w:val="0"/>
      <w:marRight w:val="0"/>
      <w:marTop w:val="0"/>
      <w:marBottom w:val="0"/>
      <w:divBdr>
        <w:top w:val="none" w:sz="0" w:space="0" w:color="auto"/>
        <w:left w:val="none" w:sz="0" w:space="0" w:color="auto"/>
        <w:bottom w:val="none" w:sz="0" w:space="0" w:color="auto"/>
        <w:right w:val="none" w:sz="0" w:space="0" w:color="auto"/>
      </w:divBdr>
    </w:div>
    <w:div w:id="1364355868">
      <w:bodyDiv w:val="1"/>
      <w:marLeft w:val="0"/>
      <w:marRight w:val="0"/>
      <w:marTop w:val="0"/>
      <w:marBottom w:val="0"/>
      <w:divBdr>
        <w:top w:val="none" w:sz="0" w:space="0" w:color="auto"/>
        <w:left w:val="none" w:sz="0" w:space="0" w:color="auto"/>
        <w:bottom w:val="none" w:sz="0" w:space="0" w:color="auto"/>
        <w:right w:val="none" w:sz="0" w:space="0" w:color="auto"/>
      </w:divBdr>
    </w:div>
    <w:div w:id="1397431663">
      <w:bodyDiv w:val="1"/>
      <w:marLeft w:val="0"/>
      <w:marRight w:val="0"/>
      <w:marTop w:val="0"/>
      <w:marBottom w:val="0"/>
      <w:divBdr>
        <w:top w:val="none" w:sz="0" w:space="0" w:color="auto"/>
        <w:left w:val="none" w:sz="0" w:space="0" w:color="auto"/>
        <w:bottom w:val="none" w:sz="0" w:space="0" w:color="auto"/>
        <w:right w:val="none" w:sz="0" w:space="0" w:color="auto"/>
      </w:divBdr>
    </w:div>
    <w:div w:id="1446198660">
      <w:bodyDiv w:val="1"/>
      <w:marLeft w:val="0"/>
      <w:marRight w:val="0"/>
      <w:marTop w:val="0"/>
      <w:marBottom w:val="0"/>
      <w:divBdr>
        <w:top w:val="none" w:sz="0" w:space="0" w:color="auto"/>
        <w:left w:val="none" w:sz="0" w:space="0" w:color="auto"/>
        <w:bottom w:val="none" w:sz="0" w:space="0" w:color="auto"/>
        <w:right w:val="none" w:sz="0" w:space="0" w:color="auto"/>
      </w:divBdr>
    </w:div>
    <w:div w:id="1454860994">
      <w:bodyDiv w:val="1"/>
      <w:marLeft w:val="0"/>
      <w:marRight w:val="0"/>
      <w:marTop w:val="0"/>
      <w:marBottom w:val="0"/>
      <w:divBdr>
        <w:top w:val="none" w:sz="0" w:space="0" w:color="auto"/>
        <w:left w:val="none" w:sz="0" w:space="0" w:color="auto"/>
        <w:bottom w:val="none" w:sz="0" w:space="0" w:color="auto"/>
        <w:right w:val="none" w:sz="0" w:space="0" w:color="auto"/>
      </w:divBdr>
    </w:div>
    <w:div w:id="1497190877">
      <w:bodyDiv w:val="1"/>
      <w:marLeft w:val="0"/>
      <w:marRight w:val="0"/>
      <w:marTop w:val="0"/>
      <w:marBottom w:val="0"/>
      <w:divBdr>
        <w:top w:val="none" w:sz="0" w:space="0" w:color="auto"/>
        <w:left w:val="none" w:sz="0" w:space="0" w:color="auto"/>
        <w:bottom w:val="none" w:sz="0" w:space="0" w:color="auto"/>
        <w:right w:val="none" w:sz="0" w:space="0" w:color="auto"/>
      </w:divBdr>
    </w:div>
    <w:div w:id="1504121942">
      <w:bodyDiv w:val="1"/>
      <w:marLeft w:val="0"/>
      <w:marRight w:val="0"/>
      <w:marTop w:val="0"/>
      <w:marBottom w:val="0"/>
      <w:divBdr>
        <w:top w:val="none" w:sz="0" w:space="0" w:color="auto"/>
        <w:left w:val="none" w:sz="0" w:space="0" w:color="auto"/>
        <w:bottom w:val="none" w:sz="0" w:space="0" w:color="auto"/>
        <w:right w:val="none" w:sz="0" w:space="0" w:color="auto"/>
      </w:divBdr>
    </w:div>
    <w:div w:id="1522888992">
      <w:bodyDiv w:val="1"/>
      <w:marLeft w:val="0"/>
      <w:marRight w:val="0"/>
      <w:marTop w:val="0"/>
      <w:marBottom w:val="0"/>
      <w:divBdr>
        <w:top w:val="none" w:sz="0" w:space="0" w:color="auto"/>
        <w:left w:val="none" w:sz="0" w:space="0" w:color="auto"/>
        <w:bottom w:val="none" w:sz="0" w:space="0" w:color="auto"/>
        <w:right w:val="none" w:sz="0" w:space="0" w:color="auto"/>
      </w:divBdr>
    </w:div>
    <w:div w:id="1552040980">
      <w:bodyDiv w:val="1"/>
      <w:marLeft w:val="0"/>
      <w:marRight w:val="0"/>
      <w:marTop w:val="0"/>
      <w:marBottom w:val="0"/>
      <w:divBdr>
        <w:top w:val="none" w:sz="0" w:space="0" w:color="auto"/>
        <w:left w:val="none" w:sz="0" w:space="0" w:color="auto"/>
        <w:bottom w:val="none" w:sz="0" w:space="0" w:color="auto"/>
        <w:right w:val="none" w:sz="0" w:space="0" w:color="auto"/>
      </w:divBdr>
    </w:div>
    <w:div w:id="1580821884">
      <w:bodyDiv w:val="1"/>
      <w:marLeft w:val="0"/>
      <w:marRight w:val="0"/>
      <w:marTop w:val="0"/>
      <w:marBottom w:val="0"/>
      <w:divBdr>
        <w:top w:val="none" w:sz="0" w:space="0" w:color="auto"/>
        <w:left w:val="none" w:sz="0" w:space="0" w:color="auto"/>
        <w:bottom w:val="none" w:sz="0" w:space="0" w:color="auto"/>
        <w:right w:val="none" w:sz="0" w:space="0" w:color="auto"/>
      </w:divBdr>
    </w:div>
    <w:div w:id="1591502354">
      <w:bodyDiv w:val="1"/>
      <w:marLeft w:val="0"/>
      <w:marRight w:val="0"/>
      <w:marTop w:val="0"/>
      <w:marBottom w:val="0"/>
      <w:divBdr>
        <w:top w:val="none" w:sz="0" w:space="0" w:color="auto"/>
        <w:left w:val="none" w:sz="0" w:space="0" w:color="auto"/>
        <w:bottom w:val="none" w:sz="0" w:space="0" w:color="auto"/>
        <w:right w:val="none" w:sz="0" w:space="0" w:color="auto"/>
      </w:divBdr>
    </w:div>
    <w:div w:id="1616060972">
      <w:bodyDiv w:val="1"/>
      <w:marLeft w:val="0"/>
      <w:marRight w:val="0"/>
      <w:marTop w:val="0"/>
      <w:marBottom w:val="0"/>
      <w:divBdr>
        <w:top w:val="none" w:sz="0" w:space="0" w:color="auto"/>
        <w:left w:val="none" w:sz="0" w:space="0" w:color="auto"/>
        <w:bottom w:val="none" w:sz="0" w:space="0" w:color="auto"/>
        <w:right w:val="none" w:sz="0" w:space="0" w:color="auto"/>
      </w:divBdr>
    </w:div>
    <w:div w:id="1670861341">
      <w:bodyDiv w:val="1"/>
      <w:marLeft w:val="0"/>
      <w:marRight w:val="0"/>
      <w:marTop w:val="0"/>
      <w:marBottom w:val="0"/>
      <w:divBdr>
        <w:top w:val="none" w:sz="0" w:space="0" w:color="auto"/>
        <w:left w:val="none" w:sz="0" w:space="0" w:color="auto"/>
        <w:bottom w:val="none" w:sz="0" w:space="0" w:color="auto"/>
        <w:right w:val="none" w:sz="0" w:space="0" w:color="auto"/>
      </w:divBdr>
    </w:div>
    <w:div w:id="1865164762">
      <w:bodyDiv w:val="1"/>
      <w:marLeft w:val="0"/>
      <w:marRight w:val="0"/>
      <w:marTop w:val="0"/>
      <w:marBottom w:val="0"/>
      <w:divBdr>
        <w:top w:val="none" w:sz="0" w:space="0" w:color="auto"/>
        <w:left w:val="none" w:sz="0" w:space="0" w:color="auto"/>
        <w:bottom w:val="none" w:sz="0" w:space="0" w:color="auto"/>
        <w:right w:val="none" w:sz="0" w:space="0" w:color="auto"/>
      </w:divBdr>
    </w:div>
    <w:div w:id="1884907332">
      <w:bodyDiv w:val="1"/>
      <w:marLeft w:val="0"/>
      <w:marRight w:val="0"/>
      <w:marTop w:val="0"/>
      <w:marBottom w:val="0"/>
      <w:divBdr>
        <w:top w:val="none" w:sz="0" w:space="0" w:color="auto"/>
        <w:left w:val="none" w:sz="0" w:space="0" w:color="auto"/>
        <w:bottom w:val="none" w:sz="0" w:space="0" w:color="auto"/>
        <w:right w:val="none" w:sz="0" w:space="0" w:color="auto"/>
      </w:divBdr>
    </w:div>
    <w:div w:id="1997689479">
      <w:bodyDiv w:val="1"/>
      <w:marLeft w:val="0"/>
      <w:marRight w:val="0"/>
      <w:marTop w:val="0"/>
      <w:marBottom w:val="0"/>
      <w:divBdr>
        <w:top w:val="none" w:sz="0" w:space="0" w:color="auto"/>
        <w:left w:val="none" w:sz="0" w:space="0" w:color="auto"/>
        <w:bottom w:val="none" w:sz="0" w:space="0" w:color="auto"/>
        <w:right w:val="none" w:sz="0" w:space="0" w:color="auto"/>
      </w:divBdr>
    </w:div>
    <w:div w:id="2050639684">
      <w:bodyDiv w:val="1"/>
      <w:marLeft w:val="0"/>
      <w:marRight w:val="0"/>
      <w:marTop w:val="0"/>
      <w:marBottom w:val="0"/>
      <w:divBdr>
        <w:top w:val="none" w:sz="0" w:space="0" w:color="auto"/>
        <w:left w:val="none" w:sz="0" w:space="0" w:color="auto"/>
        <w:bottom w:val="none" w:sz="0" w:space="0" w:color="auto"/>
        <w:right w:val="none" w:sz="0" w:space="0" w:color="auto"/>
      </w:divBdr>
    </w:div>
    <w:div w:id="206984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Che16</b:Tag>
    <b:SourceType>JournalArticle</b:SourceType>
    <b:Guid>{F9A4C020-E9AD-4BF2-9022-0489ED0D29C9}</b:Guid>
    <b:Title> Ethical challenges and the built environment: Examining the role of quantity surveyors in ethical decision-making</b:Title>
    <b:Year>2016</b:Year>
    <b:Author>
      <b:Author>
        <b:NameList>
          <b:Person>
            <b:Last>Cheng</b:Last>
            <b:First>E.W.</b:First>
          </b:Person>
          <b:Person>
            <b:Last>Li</b:Last>
            <b:First>H.</b:First>
          </b:Person>
          <b:Person>
            <b:Last>Lu</b:Last>
            <b:First>W.</b:First>
          </b:Person>
        </b:NameList>
      </b:Author>
    </b:Author>
    <b:JournalName>Engineering, Construction and Architectural Management</b:JournalName>
    <b:Pages>567-583</b:Pages>
    <b:Volume>23(5)</b:Volume>
    <b:RefOrder>6</b:RefOrder>
  </b:Source>
  <b:Source>
    <b:Tag>Car12</b:Tag>
    <b:SourceType>Book</b:SourceType>
    <b:Guid>{CF8B3FB5-3D72-44EA-AB27-C48008406C6E}</b:Guid>
    <b:Title>Quantity Surveyor's Pocket Book, 2nd Edition</b:Title>
    <b:Year>2012</b:Year>
    <b:Publisher> Routledge</b:Publisher>
    <b:Author>
      <b:Author>
        <b:NameList>
          <b:Person>
            <b:Last>Cartlidge</b:Last>
            <b:First> Duncan</b:First>
          </b:Person>
        </b:NameList>
      </b:Author>
    </b:Author>
    <b:RefOrder>9</b:RefOrder>
  </b:Source>
  <b:Source>
    <b:Tag>Cha19</b:Tag>
    <b:SourceType>JournalArticle</b:SourceType>
    <b:Guid>{B9783189-EDDD-443D-B7CD-C47A3DD3903D}</b:Guid>
    <b:Title>The importance of professional ethics in the quantity surveying profession</b:Title>
    <b:Year>2019</b:Year>
    <b:Author>
      <b:Author>
        <b:NameList>
          <b:Person>
            <b:Last>Chau</b:Last>
            <b:First>C.K.</b:First>
          </b:Person>
          <b:Person>
            <b:Last>Anson</b:Last>
            <b:First>M.</b:First>
          </b:Person>
          <b:Person>
            <b:Last>Yu</b:Last>
            <b:First>K.C.</b:First>
          </b:Person>
        </b:NameList>
      </b:Author>
    </b:Author>
    <b:JournalName>Journal of Engineering, Design and Technology</b:JournalName>
    <b:Pages>295-312</b:Pages>
    <b:Volume>17(2)</b:Volume>
    <b:RefOrder>4</b:RefOrder>
  </b:Source>
  <b:Source>
    <b:Tag>RIC20</b:Tag>
    <b:SourceType>InternetSite</b:SourceType>
    <b:Guid>{64C5AF4C-A952-4E1B-AE77-69764A2B5A8A}</b:Guid>
    <b:Title>RICS professional and ethical standards.</b:Title>
    <b:Year>2020(a)</b:Year>
    <b:Author>
      <b:Author>
        <b:NameList>
          <b:Person>
            <b:Last>RICS</b:Last>
          </b:Person>
        </b:NameList>
      </b:Author>
    </b:Author>
    <b:YearAccessed>2023</b:YearAccessed>
    <b:MonthAccessed>06</b:MonthAccessed>
    <b:DayAccessed>06</b:DayAccessed>
    <b:URL>https://www.rics.org/globalassets/rics-website/media/upholding-professional-standards/standards-of-professional-behaviour/apc---rics-professional-and-ethical-standards.pdf</b:URL>
    <b:RefOrder>8</b:RefOrder>
  </b:Source>
  <b:Source>
    <b:Tag>RIC0b</b:Tag>
    <b:SourceType>InternetSite</b:SourceType>
    <b:Guid>{D7A30427-2BF5-47B8-80DC-D21E32607E01}</b:Guid>
    <b:Title>RICS professional and ethical standards: Global edition</b:Title>
    <b:Year>2020b</b:Year>
    <b:Author>
      <b:Author>
        <b:NameList>
          <b:Person>
            <b:Last>RICS</b:Last>
          </b:Person>
        </b:NameList>
      </b:Author>
    </b:Author>
    <b:YearAccessed>2023</b:YearAccessed>
    <b:MonthAccessed>06</b:MonthAccessed>
    <b:DayAccessed>06</b:DayAccessed>
    <b:URL>https://www.rics.org/globalassets/rics-website/media/upholding-professional-standards/standards-of-professional-behaviour/rics-global-standards-of-professional-behaviour.pdf</b:URL>
    <b:RefOrder>10</b:RefOrder>
  </b:Source>
  <b:Source>
    <b:Tag>Lam04</b:Tag>
    <b:SourceType>Book</b:SourceType>
    <b:Guid>{7D5E98E5-7EEE-4023-B301-7C10731F1E32}</b:Guid>
    <b:Title>A Guide to the Procurement of Privately Financed Projects: An Indicative Assessment of the Procurement Process</b:Title>
    <b:Year>2004</b:Year>
    <b:Author>
      <b:Author>
        <b:NameList>
          <b:Person>
            <b:Last>Lamb</b:Last>
            <b:First>Tony</b:First>
          </b:Person>
          <b:Person>
            <b:Last>Douglas</b:Last>
          </b:Person>
          <b:Person>
            <b:Last>Merna</b:Last>
          </b:Person>
        </b:NameList>
      </b:Author>
    </b:Author>
    <b:Publisher>ICE Publishing</b:Publisher>
    <b:RefOrder>1</b:RefOrder>
  </b:Source>
  <b:Source>
    <b:Tag>Mir22</b:Tag>
    <b:SourceType>Book</b:SourceType>
    <b:Guid>{03B87305-E64D-49A7-8277-B8CC6571E8D6}</b:Guid>
    <b:Title>Professional Ethics for the Construction Industry</b:Title>
    <b:Year>2022</b:Year>
    <b:Publisher>Routledge </b:Publisher>
    <b:Author>
      <b:Author>
        <b:NameList>
          <b:Person>
            <b:Last>Mirsky</b:Last>
            <b:First>Rebecca</b:First>
          </b:Person>
          <b:Person>
            <b:Last>Schaufelberger</b:Last>
            <b:First>John</b:First>
          </b:Person>
        </b:NameList>
      </b:Author>
    </b:Author>
    <b:RefOrder>2</b:RefOrder>
  </b:Source>
  <b:Source>
    <b:Tag>Cun11</b:Tag>
    <b:SourceType>Report</b:SourceType>
    <b:Guid>{E7634BE9-CDAB-4E52-9ACE-FB68EE60451A}</b:Guid>
    <b:Title>Professionalism and Ethics: A Quantity Surveying Perspective</b:Title>
    <b:Year>2011</b:Year>
    <b:Publisher>Dublin Institute of Technology</b:Publisher>
    <b:Author>
      <b:Author>
        <b:NameList>
          <b:Person>
            <b:Last>Cunningham</b:Last>
            <b:First>Tony</b:First>
          </b:Person>
        </b:NameList>
      </b:Author>
    </b:Author>
    <b:RefOrder>3</b:RefOrder>
  </b:Source>
  <b:Source>
    <b:Tag>Car19</b:Tag>
    <b:SourceType>Book</b:SourceType>
    <b:Guid>{E70BCB88-102A-43DB-A06B-8A7C67204A22}</b:Guid>
    <b:Title>Quantity surveyor's pocket book (3rd ed.)</b:Title>
    <b:Year>2019</b:Year>
    <b:Publisher>Routledge</b:Publisher>
    <b:Author>
      <b:Author>
        <b:NameList>
          <b:Person>
            <b:Last>Cartlidge</b:Last>
            <b:First>Dunken</b:First>
          </b:Person>
        </b:NameList>
      </b:Author>
    </b:Author>
    <b:RefOrder>5</b:RefOrder>
  </b:Source>
  <b:Source>
    <b:Tag>RIC201</b:Tag>
    <b:SourceType>InternetSite</b:SourceType>
    <b:Guid>{28389FC7-BE38-4D7C-8BBA-D7C87E9C29C2}</b:Guid>
    <b:Title> RICS professional and ethical standards</b:Title>
    <b:Year>2020</b:Year>
    <b:Author>
      <b:Author>
        <b:NameList>
          <b:Person>
            <b:Last>RICS</b:Last>
          </b:Person>
        </b:NameList>
      </b:Author>
    </b:Author>
    <b:YearAccessed>2023</b:YearAccessed>
    <b:MonthAccessed>06</b:MonthAccessed>
    <b:DayAccessed>06</b:DayAccessed>
    <b:URL>https://www.rics.org/globalassets/rics-website/media/upholding-professional-standards/standards-of-professional-behaviour/apc---rics-professional-and-ethical-standards.pdf</b:URL>
    <b:RefOrder>7</b:RefOrder>
  </b:Source>
</b:Sources>
</file>

<file path=customXml/itemProps1.xml><?xml version="1.0" encoding="utf-8"?>
<ds:datastoreItem xmlns:ds="http://schemas.openxmlformats.org/officeDocument/2006/customXml" ds:itemID="{489AB8AB-337B-405C-BBAE-945289038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15</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Rusiru Premabandhu</dc:creator>
  <cp:keywords/>
  <dc:description/>
  <cp:lastModifiedBy>Rusiru Premabandhu</cp:lastModifiedBy>
  <cp:revision>10</cp:revision>
  <dcterms:created xsi:type="dcterms:W3CDTF">2023-06-08T05:16:00Z</dcterms:created>
  <dcterms:modified xsi:type="dcterms:W3CDTF">2023-06-13T05:27:00Z</dcterms:modified>
</cp:coreProperties>
</file>