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2804" w14:textId="77777777" w:rsidR="007C6E42" w:rsidRPr="007C6E42" w:rsidRDefault="007C6E42" w:rsidP="007C6E42">
      <w:pPr>
        <w:rPr>
          <w:b/>
          <w:bCs/>
        </w:rPr>
      </w:pPr>
      <w:r w:rsidRPr="007C6E42">
        <w:rPr>
          <w:b/>
          <w:bCs/>
        </w:rPr>
        <w:t>Overview of Rice Cultivation in Sri Lanka</w:t>
      </w:r>
    </w:p>
    <w:p w14:paraId="3EA3EAA9" w14:textId="77777777" w:rsidR="007C6E42" w:rsidRPr="007C6E42" w:rsidRDefault="007C6E42" w:rsidP="007C6E42">
      <w:r w:rsidRPr="007C6E42">
        <w:t xml:space="preserve">Rice cultivation is deeply intertwined with the cultural, social, and economic aspects of Sri Lanka. Rice is our staple food and meets 40% of the daily calorie requirement. It is a highly nutritious food containing digestible fiber, fat, protein, minerals, vitamins, and antioxidants. Although 60% of the required rice was imported in 1940 when the population was 6 million, through the development of high-yielding varieties, technological modernization, and new land development, Sri Lanka has achieved </w:t>
      </w:r>
      <w:r w:rsidRPr="007C6E42">
        <w:rPr>
          <w:b/>
          <w:bCs/>
        </w:rPr>
        <w:t>self-sufficiency in rice since 2010</w:t>
      </w:r>
      <w:r w:rsidRPr="007C6E42">
        <w:t>. Future objectives are to maintain the current state of self-sufficiency, increase farmers' income, and ensure the cultivation remains sustainable and economically viable.</w:t>
      </w:r>
    </w:p>
    <w:p w14:paraId="316E1AA1" w14:textId="5A58892C" w:rsidR="007C6E42" w:rsidRPr="007C6E42" w:rsidRDefault="007C6E42" w:rsidP="007C6E42"/>
    <w:p w14:paraId="68006608" w14:textId="77777777" w:rsidR="007C6E42" w:rsidRPr="007C6E42" w:rsidRDefault="007C6E42" w:rsidP="007C6E42">
      <w:pPr>
        <w:rPr>
          <w:b/>
          <w:bCs/>
        </w:rPr>
      </w:pPr>
      <w:r w:rsidRPr="007C6E42">
        <w:rPr>
          <w:b/>
          <w:bCs/>
        </w:rPr>
        <w:t>Rice Varieties and Classification in Sri Lanka</w:t>
      </w:r>
    </w:p>
    <w:p w14:paraId="72572F0C" w14:textId="77777777" w:rsidR="007C6E42" w:rsidRPr="007C6E42" w:rsidRDefault="007C6E42" w:rsidP="007C6E42">
      <w:r w:rsidRPr="007C6E42">
        <w:t xml:space="preserve">Currently cultivated rice varieties can be broadly classified into two main groups: </w:t>
      </w:r>
      <w:r w:rsidRPr="007C6E42">
        <w:rPr>
          <w:b/>
          <w:bCs/>
        </w:rPr>
        <w:t>Traditional Varieties</w:t>
      </w:r>
      <w:r w:rsidRPr="007C6E42">
        <w:t xml:space="preserve"> and </w:t>
      </w:r>
      <w:r w:rsidRPr="007C6E42">
        <w:rPr>
          <w:b/>
          <w:bCs/>
        </w:rPr>
        <w:t>Improved Varieties</w:t>
      </w:r>
      <w:r w:rsidRPr="007C6E42">
        <w:t xml:space="preserve">. Traditional varieties have been cultivated for long periods under various environmental conditions and are maintained as a result of farmer selection. These provide limited yields and are often cultivated in the </w:t>
      </w:r>
      <w:r w:rsidRPr="007C6E42">
        <w:rPr>
          <w:i/>
          <w:iCs/>
        </w:rPr>
        <w:t>Maha</w:t>
      </w:r>
      <w:r w:rsidRPr="007C6E42">
        <w:t xml:space="preserve"> season. Popular traditional varieties (over 600 types exist) include </w:t>
      </w:r>
      <w:proofErr w:type="spellStart"/>
      <w:r w:rsidRPr="007C6E42">
        <w:t>Sudu</w:t>
      </w:r>
      <w:proofErr w:type="spellEnd"/>
      <w:r w:rsidRPr="007C6E42">
        <w:t xml:space="preserve"> Samba, </w:t>
      </w:r>
      <w:proofErr w:type="spellStart"/>
      <w:r w:rsidRPr="007C6E42">
        <w:t>Suwandal</w:t>
      </w:r>
      <w:proofErr w:type="spellEnd"/>
      <w:r w:rsidRPr="007C6E42">
        <w:t xml:space="preserve">, </w:t>
      </w:r>
      <w:proofErr w:type="spellStart"/>
      <w:r w:rsidRPr="007C6E42">
        <w:t>Sudu</w:t>
      </w:r>
      <w:proofErr w:type="spellEnd"/>
      <w:r w:rsidRPr="007C6E42">
        <w:t xml:space="preserve"> Heenati, and Kalu Heenati. These varieties show a low response to chemical fertilizers.</w:t>
      </w:r>
    </w:p>
    <w:p w14:paraId="15B4E004" w14:textId="77777777" w:rsidR="007C6E42" w:rsidRPr="007C6E42" w:rsidRDefault="007C6E42" w:rsidP="007C6E42">
      <w:r w:rsidRPr="007C6E42">
        <w:t xml:space="preserve">Improved varieties were introduced and developed through hybridization in the 1950s to overcome the issues associated with traditional varieties. As of 2016, the Department of Agriculture has recommended 84 varieties for cultivation, with about 40 varieties popular today. The average yield potential of these varieties can range between 1 and 1.5 </w:t>
      </w:r>
      <w:proofErr w:type="spellStart"/>
      <w:r w:rsidRPr="007C6E42">
        <w:t>tonnes</w:t>
      </w:r>
      <w:proofErr w:type="spellEnd"/>
      <w:r w:rsidRPr="007C6E42">
        <w:t xml:space="preserve"> per hectare, with higher yields typically obtained from older age-group varieties compared to short-term ones.</w:t>
      </w:r>
    </w:p>
    <w:p w14:paraId="5702A848" w14:textId="7D12EE9A" w:rsidR="007C6E42" w:rsidRPr="007C6E42" w:rsidRDefault="007C6E42" w:rsidP="007C6E42"/>
    <w:p w14:paraId="1BFEC027" w14:textId="77777777" w:rsidR="007C6E42" w:rsidRPr="007C6E42" w:rsidRDefault="007C6E42" w:rsidP="007C6E42">
      <w:pPr>
        <w:rPr>
          <w:b/>
          <w:bCs/>
        </w:rPr>
      </w:pPr>
      <w:r w:rsidRPr="007C6E42">
        <w:rPr>
          <w:b/>
          <w:bCs/>
        </w:rPr>
        <w:t>Age Groups and Characteristics of Improved Rice Varieties</w:t>
      </w:r>
    </w:p>
    <w:p w14:paraId="171E6486" w14:textId="77777777" w:rsidR="007C6E42" w:rsidRPr="007C6E42" w:rsidRDefault="007C6E42" w:rsidP="007C6E42">
      <w:r w:rsidRPr="007C6E42">
        <w:t xml:space="preserve">Improved rice varieties exhibit different characteristics based on their age group. The 5-6 month age group (e.g., BG 3-5, BG 407) is photo-period sensitive and is only suitable for the </w:t>
      </w:r>
      <w:r w:rsidRPr="007C6E42">
        <w:rPr>
          <w:i/>
          <w:iCs/>
        </w:rPr>
        <w:t>Maha</w:t>
      </w:r>
      <w:r w:rsidRPr="007C6E42">
        <w:t xml:space="preserve"> season in flood-prone areas. The 4½ month group (e.g., BG 379-2, BG 450, BG 455) is resistant to pests and diseases (Blast, Brown Plant Hopper, Gall Midge), with BG 455 also being </w:t>
      </w:r>
      <w:r w:rsidRPr="007C6E42">
        <w:rPr>
          <w:b/>
          <w:bCs/>
        </w:rPr>
        <w:t>flood tolerant</w:t>
      </w:r>
      <w:r w:rsidRPr="007C6E42">
        <w:t>.</w:t>
      </w:r>
    </w:p>
    <w:p w14:paraId="04031FAE" w14:textId="77777777" w:rsidR="007C6E42" w:rsidRPr="007C6E42" w:rsidRDefault="007C6E42" w:rsidP="007C6E42">
      <w:r w:rsidRPr="007C6E42">
        <w:t xml:space="preserve">The 4-month group (e.g., BG 403 - Mahasen, BG 405 - Lanka Samruddhi) is resistant to Brown Plant Hopper, Bacterial Leaf Blight, and Blast, with BG 405 being </w:t>
      </w:r>
      <w:r w:rsidRPr="007C6E42">
        <w:rPr>
          <w:b/>
          <w:bCs/>
        </w:rPr>
        <w:t>aromatic</w:t>
      </w:r>
      <w:r w:rsidRPr="007C6E42">
        <w:t xml:space="preserve">. The 3½ month group (e.g., BG 352, BG 360 - </w:t>
      </w:r>
      <w:proofErr w:type="spellStart"/>
      <w:r w:rsidRPr="007C6E42">
        <w:t>Keeri</w:t>
      </w:r>
      <w:proofErr w:type="spellEnd"/>
      <w:r w:rsidRPr="007C6E42">
        <w:t xml:space="preserve"> Samba, BG 373 - </w:t>
      </w:r>
      <w:proofErr w:type="spellStart"/>
      <w:r w:rsidRPr="007C6E42">
        <w:t>Ambalantota</w:t>
      </w:r>
      <w:proofErr w:type="spellEnd"/>
      <w:r w:rsidRPr="007C6E42">
        <w:t xml:space="preserve"> </w:t>
      </w:r>
      <w:proofErr w:type="spellStart"/>
      <w:r w:rsidRPr="007C6E42">
        <w:t>Suwanda</w:t>
      </w:r>
      <w:proofErr w:type="spellEnd"/>
      <w:r w:rsidRPr="007C6E42">
        <w:t xml:space="preserve"> Samba) includes </w:t>
      </w:r>
      <w:r w:rsidRPr="007C6E42">
        <w:rPr>
          <w:b/>
          <w:bCs/>
        </w:rPr>
        <w:t>BG 352</w:t>
      </w:r>
      <w:r w:rsidRPr="007C6E42">
        <w:t xml:space="preserve">, the most widely cultivated variety on the island. These varieties are resistant to many pests and </w:t>
      </w:r>
      <w:r w:rsidRPr="007C6E42">
        <w:lastRenderedPageBreak/>
        <w:t xml:space="preserve">diseases (Blast, Brown Plant Hopper, Gall Midge, Iron Toxicity). The 3-month group (e.g., BG 300, BG 311 - </w:t>
      </w:r>
      <w:proofErr w:type="spellStart"/>
      <w:r w:rsidRPr="007C6E42">
        <w:t>Neeroga</w:t>
      </w:r>
      <w:proofErr w:type="spellEnd"/>
      <w:r w:rsidRPr="007C6E42">
        <w:t>) contains varieties resistant to many pests and diseases.</w:t>
      </w:r>
    </w:p>
    <w:p w14:paraId="06E31621" w14:textId="0BBD6D33" w:rsidR="007C6E42" w:rsidRPr="007C6E42" w:rsidRDefault="007C6E42" w:rsidP="007C6E42"/>
    <w:p w14:paraId="50D4A124" w14:textId="77777777" w:rsidR="007C6E42" w:rsidRPr="007C6E42" w:rsidRDefault="007C6E42" w:rsidP="007C6E42">
      <w:pPr>
        <w:rPr>
          <w:b/>
          <w:bCs/>
        </w:rPr>
      </w:pPr>
      <w:r w:rsidRPr="007C6E42">
        <w:rPr>
          <w:b/>
          <w:bCs/>
        </w:rPr>
        <w:t>Seed Paddy Utilization and Production</w:t>
      </w:r>
    </w:p>
    <w:p w14:paraId="0836C1EA" w14:textId="77777777" w:rsidR="007C6E42" w:rsidRPr="007C6E42" w:rsidRDefault="007C6E42" w:rsidP="007C6E42">
      <w:pPr>
        <w:rPr>
          <w:b/>
          <w:bCs/>
        </w:rPr>
      </w:pPr>
      <w:r w:rsidRPr="007C6E42">
        <w:rPr>
          <w:b/>
          <w:bCs/>
        </w:rPr>
        <w:t>Quality Assurance and Production Stages</w:t>
      </w:r>
    </w:p>
    <w:p w14:paraId="37B9EDB3" w14:textId="77777777" w:rsidR="007C6E42" w:rsidRPr="007C6E42" w:rsidRDefault="007C6E42" w:rsidP="007C6E42">
      <w:r w:rsidRPr="007C6E42">
        <w:t xml:space="preserve">The characteristics of high-quality seed paddy include high germination capacity, minimal mixture with other varieties, and low levels of impurities, weed seeds, and damaged seeds. This ensures a healthy, strong, uniform plant stand and a high yield. The quality of seed paddy in Sri Lanka is certified by the Seed Certification Service of the Department of Agriculture. However, the certified quantity is always only about </w:t>
      </w:r>
      <w:r w:rsidRPr="007C6E42">
        <w:rPr>
          <w:b/>
          <w:bCs/>
        </w:rPr>
        <w:t>18%</w:t>
      </w:r>
      <w:r w:rsidRPr="007C6E42">
        <w:t xml:space="preserve"> of the total seed paddy requirement. Some requirements examined during certification tests include a minimum germination of 85% for Breeder Seed, a minimum physical purity of 99%, and a maximum of 5% damaged seeds.</w:t>
      </w:r>
    </w:p>
    <w:p w14:paraId="72E0AEA3" w14:textId="77777777" w:rsidR="007C6E42" w:rsidRPr="007C6E42" w:rsidRDefault="007C6E42" w:rsidP="007C6E42">
      <w:r w:rsidRPr="007C6E42">
        <w:t xml:space="preserve">Seed paddy production is carried out through a </w:t>
      </w:r>
      <w:r w:rsidRPr="007C6E42">
        <w:rPr>
          <w:b/>
          <w:bCs/>
        </w:rPr>
        <w:t>4-channel system</w:t>
      </w:r>
      <w:r w:rsidRPr="007C6E42">
        <w:t xml:space="preserve">. Breeder seed production is done by agricultural research institutes, and Foundation seed production uses breeder seeds. Registered seed production uses foundation seeds on the fields of registered farmers. The final stage, Certified Seed production, uses registered seeds and is carried out by farmer organizations, private farmers, and departmental seed farms. Since the entire national requirement is not produced commercially, </w:t>
      </w:r>
      <w:r w:rsidRPr="007C6E42">
        <w:rPr>
          <w:b/>
          <w:bCs/>
        </w:rPr>
        <w:t>self-production by farmers</w:t>
      </w:r>
      <w:r w:rsidRPr="007C6E42">
        <w:t xml:space="preserve"> is vital. This necessitates starting cultivation with high-quality seed paddy, preventing contamination with other rice varieties, and following recommended control strategies.</w:t>
      </w:r>
    </w:p>
    <w:p w14:paraId="30988F6A" w14:textId="5FCB0CF8" w:rsidR="007C6E42" w:rsidRPr="007C6E42" w:rsidRDefault="007C6E42" w:rsidP="007C6E42"/>
    <w:p w14:paraId="67C29412" w14:textId="77777777" w:rsidR="007C6E42" w:rsidRPr="007C6E42" w:rsidRDefault="007C6E42" w:rsidP="007C6E42">
      <w:pPr>
        <w:rPr>
          <w:b/>
          <w:bCs/>
        </w:rPr>
      </w:pPr>
      <w:r w:rsidRPr="007C6E42">
        <w:rPr>
          <w:b/>
          <w:bCs/>
        </w:rPr>
        <w:t>Land Preparation</w:t>
      </w:r>
    </w:p>
    <w:p w14:paraId="2EB76A14" w14:textId="77777777" w:rsidR="007C6E42" w:rsidRPr="007C6E42" w:rsidRDefault="007C6E42" w:rsidP="007C6E42">
      <w:r w:rsidRPr="007C6E42">
        <w:t xml:space="preserve">Land preparation for rice cultivation is done in the </w:t>
      </w:r>
      <w:r w:rsidRPr="007C6E42">
        <w:rPr>
          <w:b/>
          <w:bCs/>
        </w:rPr>
        <w:t>wet (puddled) method</w:t>
      </w:r>
      <w:r w:rsidRPr="007C6E42">
        <w:t xml:space="preserve">. The first plowing (tillage) involves turning and overturning the soil, destroying surface weeds. The second plowing breaks large clods into smaller pieces and eliminates weeds that have emerged in between. The main objectives of land preparation are </w:t>
      </w:r>
      <w:r w:rsidRPr="007C6E42">
        <w:rPr>
          <w:b/>
          <w:bCs/>
        </w:rPr>
        <w:t>weed control</w:t>
      </w:r>
      <w:r w:rsidRPr="007C6E42">
        <w:t xml:space="preserve">, preparing the soil to the required depth for root growth, mixing organic matter, and creating suitable conditions for </w:t>
      </w:r>
      <w:r w:rsidRPr="007C6E42">
        <w:rPr>
          <w:b/>
          <w:bCs/>
        </w:rPr>
        <w:t>water management</w:t>
      </w:r>
      <w:r w:rsidRPr="007C6E42">
        <w:t>.</w:t>
      </w:r>
    </w:p>
    <w:p w14:paraId="6FEA9FB6" w14:textId="77777777" w:rsidR="00B141B9" w:rsidRDefault="00B141B9"/>
    <w:sectPr w:rsidR="00B14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0C"/>
    <w:rsid w:val="001B3FB4"/>
    <w:rsid w:val="005A27DB"/>
    <w:rsid w:val="007C6E42"/>
    <w:rsid w:val="00B141B9"/>
    <w:rsid w:val="00C4085D"/>
    <w:rsid w:val="00FD260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9690"/>
  <w15:chartTrackingRefBased/>
  <w15:docId w15:val="{784CEDE3-2327-42DC-B98A-3D1FD6B8F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6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6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6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6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6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6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6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6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6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6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60C"/>
    <w:rPr>
      <w:rFonts w:eastAsiaTheme="majorEastAsia" w:cstheme="majorBidi"/>
      <w:color w:val="272727" w:themeColor="text1" w:themeTint="D8"/>
    </w:rPr>
  </w:style>
  <w:style w:type="paragraph" w:styleId="Title">
    <w:name w:val="Title"/>
    <w:basedOn w:val="Normal"/>
    <w:next w:val="Normal"/>
    <w:link w:val="TitleChar"/>
    <w:uiPriority w:val="10"/>
    <w:qFormat/>
    <w:rsid w:val="00FD2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60C"/>
    <w:pPr>
      <w:spacing w:before="160"/>
      <w:jc w:val="center"/>
    </w:pPr>
    <w:rPr>
      <w:i/>
      <w:iCs/>
      <w:color w:val="404040" w:themeColor="text1" w:themeTint="BF"/>
    </w:rPr>
  </w:style>
  <w:style w:type="character" w:customStyle="1" w:styleId="QuoteChar">
    <w:name w:val="Quote Char"/>
    <w:basedOn w:val="DefaultParagraphFont"/>
    <w:link w:val="Quote"/>
    <w:uiPriority w:val="29"/>
    <w:rsid w:val="00FD260C"/>
    <w:rPr>
      <w:i/>
      <w:iCs/>
      <w:color w:val="404040" w:themeColor="text1" w:themeTint="BF"/>
    </w:rPr>
  </w:style>
  <w:style w:type="paragraph" w:styleId="ListParagraph">
    <w:name w:val="List Paragraph"/>
    <w:basedOn w:val="Normal"/>
    <w:uiPriority w:val="34"/>
    <w:qFormat/>
    <w:rsid w:val="00FD260C"/>
    <w:pPr>
      <w:ind w:left="720"/>
      <w:contextualSpacing/>
    </w:pPr>
  </w:style>
  <w:style w:type="character" w:styleId="IntenseEmphasis">
    <w:name w:val="Intense Emphasis"/>
    <w:basedOn w:val="DefaultParagraphFont"/>
    <w:uiPriority w:val="21"/>
    <w:qFormat/>
    <w:rsid w:val="00FD260C"/>
    <w:rPr>
      <w:i/>
      <w:iCs/>
      <w:color w:val="2F5496" w:themeColor="accent1" w:themeShade="BF"/>
    </w:rPr>
  </w:style>
  <w:style w:type="paragraph" w:styleId="IntenseQuote">
    <w:name w:val="Intense Quote"/>
    <w:basedOn w:val="Normal"/>
    <w:next w:val="Normal"/>
    <w:link w:val="IntenseQuoteChar"/>
    <w:uiPriority w:val="30"/>
    <w:qFormat/>
    <w:rsid w:val="00FD2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60C"/>
    <w:rPr>
      <w:i/>
      <w:iCs/>
      <w:color w:val="2F5496" w:themeColor="accent1" w:themeShade="BF"/>
    </w:rPr>
  </w:style>
  <w:style w:type="character" w:styleId="IntenseReference">
    <w:name w:val="Intense Reference"/>
    <w:basedOn w:val="DefaultParagraphFont"/>
    <w:uiPriority w:val="32"/>
    <w:qFormat/>
    <w:rsid w:val="00FD26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RATHNAYAKE R.M.H.E.B it23200692</dc:creator>
  <cp:keywords/>
  <dc:description/>
  <cp:lastModifiedBy>RATHNAYAKE R.M.H.E.B it23200692</cp:lastModifiedBy>
  <cp:revision>2</cp:revision>
  <dcterms:created xsi:type="dcterms:W3CDTF">2025-12-15T19:32:00Z</dcterms:created>
  <dcterms:modified xsi:type="dcterms:W3CDTF">2025-12-15T19:33:00Z</dcterms:modified>
</cp:coreProperties>
</file>