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D6DFB" w14:textId="77777777" w:rsidR="00AA4791" w:rsidRPr="00AA4791" w:rsidRDefault="00AA4791" w:rsidP="00AA4791">
      <w:pPr>
        <w:rPr>
          <w:rFonts w:ascii="Arial" w:hAnsi="Arial" w:cs="Arial"/>
          <w:b/>
          <w:sz w:val="22"/>
          <w:szCs w:val="22"/>
          <w:u w:val="single"/>
        </w:rPr>
      </w:pPr>
      <w:bookmarkStart w:id="0" w:name="_GoBack"/>
      <w:bookmarkEnd w:id="0"/>
      <w:r w:rsidRPr="00AA4791">
        <w:rPr>
          <w:rFonts w:ascii="Arial" w:hAnsi="Arial" w:cs="Arial"/>
          <w:b/>
          <w:sz w:val="22"/>
          <w:szCs w:val="22"/>
          <w:u w:val="single"/>
        </w:rPr>
        <w:t>Project Overview</w:t>
      </w:r>
      <w:r>
        <w:rPr>
          <w:rFonts w:ascii="Arial" w:hAnsi="Arial" w:cs="Arial"/>
          <w:b/>
          <w:sz w:val="22"/>
          <w:szCs w:val="22"/>
          <w:u w:val="single"/>
        </w:rPr>
        <w:t xml:space="preserve"> and Goals</w:t>
      </w:r>
      <w:r w:rsidRPr="00AA4791">
        <w:rPr>
          <w:rFonts w:ascii="Arial" w:hAnsi="Arial" w:cs="Arial"/>
          <w:b/>
          <w:sz w:val="22"/>
          <w:szCs w:val="22"/>
          <w:u w:val="single"/>
        </w:rPr>
        <w:t>:</w:t>
      </w:r>
    </w:p>
    <w:p w14:paraId="66D11052" w14:textId="77777777" w:rsidR="00AA4791" w:rsidRPr="00AA4791" w:rsidRDefault="00AA4791" w:rsidP="00AA4791">
      <w:pPr>
        <w:rPr>
          <w:rFonts w:ascii="Arial" w:hAnsi="Arial" w:cs="Arial"/>
          <w:sz w:val="22"/>
          <w:szCs w:val="22"/>
        </w:rPr>
      </w:pPr>
      <w:r w:rsidRPr="00AA4791">
        <w:rPr>
          <w:rFonts w:ascii="Arial" w:hAnsi="Arial" w:cs="Arial"/>
          <w:sz w:val="22"/>
          <w:szCs w:val="22"/>
        </w:rPr>
        <w:t xml:space="preserve"> </w:t>
      </w:r>
    </w:p>
    <w:p w14:paraId="382406BD" w14:textId="508A03D5" w:rsidR="007E7B91" w:rsidRPr="00D60BC5" w:rsidRDefault="00AA4791" w:rsidP="00D60BC5">
      <w:pPr>
        <w:rPr>
          <w:rFonts w:ascii="Arial" w:hAnsi="Arial" w:cs="Arial"/>
          <w:sz w:val="22"/>
          <w:szCs w:val="22"/>
        </w:rPr>
      </w:pPr>
      <w:r w:rsidRPr="00AA4791">
        <w:rPr>
          <w:rFonts w:ascii="Arial" w:hAnsi="Arial" w:cs="Arial"/>
          <w:sz w:val="22"/>
          <w:szCs w:val="22"/>
        </w:rPr>
        <w:t xml:space="preserve">The </w:t>
      </w:r>
      <w:r>
        <w:rPr>
          <w:rFonts w:ascii="Arial" w:hAnsi="Arial" w:cs="Arial"/>
          <w:sz w:val="22"/>
          <w:szCs w:val="22"/>
        </w:rPr>
        <w:t>current study will examine the relationship between screen-based</w:t>
      </w:r>
      <w:r w:rsidR="007E7B91">
        <w:rPr>
          <w:rFonts w:ascii="Arial" w:hAnsi="Arial" w:cs="Arial"/>
          <w:sz w:val="22"/>
          <w:szCs w:val="22"/>
        </w:rPr>
        <w:t xml:space="preserve"> (hours of television and computer per day)</w:t>
      </w:r>
      <w:r>
        <w:rPr>
          <w:rFonts w:ascii="Arial" w:hAnsi="Arial" w:cs="Arial"/>
          <w:sz w:val="22"/>
          <w:szCs w:val="22"/>
        </w:rPr>
        <w:t xml:space="preserve"> and transport-based</w:t>
      </w:r>
      <w:r w:rsidR="007E7B91">
        <w:rPr>
          <w:rFonts w:ascii="Arial" w:hAnsi="Arial" w:cs="Arial"/>
          <w:sz w:val="22"/>
          <w:szCs w:val="22"/>
        </w:rPr>
        <w:t xml:space="preserve"> (hours of transporting as driver or passenger per day)</w:t>
      </w:r>
      <w:r>
        <w:rPr>
          <w:rFonts w:ascii="Arial" w:hAnsi="Arial" w:cs="Arial"/>
          <w:sz w:val="22"/>
          <w:szCs w:val="22"/>
        </w:rPr>
        <w:t xml:space="preserve"> sedentary behavior with a </w:t>
      </w:r>
      <w:r w:rsidRPr="00AA4791">
        <w:rPr>
          <w:rFonts w:ascii="Arial" w:hAnsi="Arial" w:cs="Arial"/>
          <w:sz w:val="22"/>
          <w:szCs w:val="22"/>
        </w:rPr>
        <w:t xml:space="preserve">dichotomous indicator of high </w:t>
      </w:r>
      <w:r w:rsidR="007E7B91">
        <w:rPr>
          <w:rFonts w:ascii="Arial" w:hAnsi="Arial" w:cs="Arial"/>
          <w:sz w:val="22"/>
          <w:szCs w:val="22"/>
        </w:rPr>
        <w:t>cardiovascular disease (</w:t>
      </w:r>
      <w:r w:rsidRPr="00AA4791">
        <w:rPr>
          <w:rFonts w:ascii="Arial" w:hAnsi="Arial" w:cs="Arial"/>
          <w:sz w:val="22"/>
          <w:szCs w:val="22"/>
        </w:rPr>
        <w:t>CVD</w:t>
      </w:r>
      <w:r w:rsidR="007E7B91">
        <w:rPr>
          <w:rFonts w:ascii="Arial" w:hAnsi="Arial" w:cs="Arial"/>
          <w:sz w:val="22"/>
          <w:szCs w:val="22"/>
        </w:rPr>
        <w:t>)</w:t>
      </w:r>
      <w:r w:rsidRPr="00AA4791">
        <w:rPr>
          <w:rFonts w:ascii="Arial" w:hAnsi="Arial" w:cs="Arial"/>
          <w:sz w:val="22"/>
          <w:szCs w:val="22"/>
        </w:rPr>
        <w:t xml:space="preserve"> risk based on the 30-year Framingham risk score</w:t>
      </w:r>
      <w:r>
        <w:rPr>
          <w:rFonts w:ascii="Arial" w:hAnsi="Arial" w:cs="Arial"/>
          <w:sz w:val="22"/>
          <w:szCs w:val="22"/>
        </w:rPr>
        <w:t>.</w:t>
      </w:r>
      <w:r w:rsidRPr="00AA4791">
        <w:rPr>
          <w:rFonts w:ascii="Arial" w:hAnsi="Arial" w:cs="Arial"/>
          <w:sz w:val="22"/>
          <w:szCs w:val="22"/>
        </w:rPr>
        <w:t xml:space="preserve"> Covariates include physical activity, diet, alcohol use</w:t>
      </w:r>
      <w:r>
        <w:rPr>
          <w:rFonts w:ascii="Arial" w:hAnsi="Arial" w:cs="Arial"/>
          <w:sz w:val="22"/>
          <w:szCs w:val="22"/>
        </w:rPr>
        <w:t xml:space="preserve"> and </w:t>
      </w:r>
      <w:r w:rsidRPr="00AA4791">
        <w:rPr>
          <w:rFonts w:ascii="Arial" w:hAnsi="Arial" w:cs="Arial"/>
          <w:sz w:val="22"/>
          <w:szCs w:val="22"/>
        </w:rPr>
        <w:t>sleep</w:t>
      </w:r>
      <w:r>
        <w:rPr>
          <w:rFonts w:ascii="Arial" w:hAnsi="Arial" w:cs="Arial"/>
          <w:sz w:val="22"/>
          <w:szCs w:val="22"/>
        </w:rPr>
        <w:t xml:space="preserve">. Data for this investigation has been collected by the United Kingdom Biobank, a prospective cohort-study that </w:t>
      </w:r>
      <w:r w:rsidR="004C06C6">
        <w:rPr>
          <w:rFonts w:ascii="Arial" w:hAnsi="Arial" w:cs="Arial"/>
          <w:sz w:val="22"/>
          <w:szCs w:val="22"/>
        </w:rPr>
        <w:t xml:space="preserve">is comprised of </w:t>
      </w:r>
      <w:r w:rsidRPr="00AA4791">
        <w:rPr>
          <w:rFonts w:ascii="Arial" w:hAnsi="Arial" w:cs="Arial"/>
          <w:sz w:val="22"/>
          <w:szCs w:val="22"/>
        </w:rPr>
        <w:t xml:space="preserve">~500,000 participants </w:t>
      </w:r>
      <w:r w:rsidR="004C06C6">
        <w:rPr>
          <w:rFonts w:ascii="Arial" w:hAnsi="Arial" w:cs="Arial"/>
          <w:sz w:val="22"/>
          <w:szCs w:val="22"/>
        </w:rPr>
        <w:t>aged</w:t>
      </w:r>
      <w:r w:rsidRPr="00AA4791">
        <w:rPr>
          <w:rFonts w:ascii="Arial" w:hAnsi="Arial" w:cs="Arial"/>
          <w:sz w:val="22"/>
          <w:szCs w:val="22"/>
        </w:rPr>
        <w:t xml:space="preserve"> 40 to 69</w:t>
      </w:r>
      <w:r w:rsidR="004C06C6">
        <w:rPr>
          <w:rFonts w:ascii="Arial" w:hAnsi="Arial" w:cs="Arial"/>
          <w:sz w:val="22"/>
          <w:szCs w:val="22"/>
        </w:rPr>
        <w:t xml:space="preserve"> years</w:t>
      </w:r>
      <w:r w:rsidRPr="00AA4791">
        <w:rPr>
          <w:rFonts w:ascii="Arial" w:hAnsi="Arial" w:cs="Arial"/>
          <w:sz w:val="22"/>
          <w:szCs w:val="22"/>
        </w:rPr>
        <w:t>, who enrolled from 2006 to 2010, and will be prospectively followed for at least 25 years.</w:t>
      </w:r>
      <w:r w:rsidR="007E7B91">
        <w:rPr>
          <w:rFonts w:ascii="Arial" w:hAnsi="Arial" w:cs="Arial"/>
          <w:sz w:val="22"/>
          <w:szCs w:val="22"/>
        </w:rPr>
        <w:t xml:space="preserve"> </w:t>
      </w:r>
      <w:r w:rsidR="00D60BC5">
        <w:rPr>
          <w:rFonts w:ascii="Arial" w:hAnsi="Arial" w:cs="Arial"/>
          <w:sz w:val="22"/>
          <w:szCs w:val="22"/>
        </w:rPr>
        <w:t>The specific goal</w:t>
      </w:r>
      <w:r w:rsidR="007E7B91">
        <w:rPr>
          <w:rFonts w:ascii="Arial" w:hAnsi="Arial" w:cs="Arial"/>
          <w:sz w:val="22"/>
          <w:szCs w:val="22"/>
        </w:rPr>
        <w:t xml:space="preserve"> of this project </w:t>
      </w:r>
      <w:r w:rsidR="00D60BC5">
        <w:rPr>
          <w:rFonts w:ascii="Arial" w:hAnsi="Arial" w:cs="Arial"/>
          <w:sz w:val="22"/>
          <w:szCs w:val="22"/>
        </w:rPr>
        <w:t>is</w:t>
      </w:r>
      <w:r w:rsidR="007E7B91">
        <w:rPr>
          <w:rFonts w:ascii="Arial" w:hAnsi="Arial" w:cs="Arial"/>
          <w:sz w:val="22"/>
          <w:szCs w:val="22"/>
        </w:rPr>
        <w:t xml:space="preserve"> as follows</w:t>
      </w:r>
      <w:r w:rsidR="007E7B91" w:rsidRPr="00D60BC5">
        <w:rPr>
          <w:rFonts w:ascii="Arial" w:hAnsi="Arial" w:cs="Arial"/>
          <w:sz w:val="22"/>
          <w:szCs w:val="22"/>
        </w:rPr>
        <w:t>:</w:t>
      </w:r>
      <w:r w:rsidR="00D60BC5" w:rsidRPr="00D60BC5">
        <w:rPr>
          <w:rFonts w:ascii="Arial" w:hAnsi="Arial" w:cs="Arial"/>
          <w:sz w:val="22"/>
          <w:szCs w:val="22"/>
        </w:rPr>
        <w:t xml:space="preserve">  </w:t>
      </w:r>
      <w:r w:rsidR="007E7B91" w:rsidRPr="00D60BC5">
        <w:rPr>
          <w:rFonts w:ascii="Arial" w:hAnsi="Arial" w:cs="Arial"/>
        </w:rPr>
        <w:t>Is sedentary behavior associated with cardiovascular risk in the UK Biobank sample?</w:t>
      </w:r>
    </w:p>
    <w:p w14:paraId="5CBB0AF1" w14:textId="7001FD99" w:rsidR="00AA4791" w:rsidRPr="00AA4791" w:rsidRDefault="00AA4791" w:rsidP="00AA4791">
      <w:pPr>
        <w:rPr>
          <w:rFonts w:ascii="Arial" w:hAnsi="Arial" w:cs="Arial"/>
          <w:sz w:val="22"/>
          <w:szCs w:val="22"/>
        </w:rPr>
      </w:pPr>
    </w:p>
    <w:p w14:paraId="0E9FA814" w14:textId="77777777" w:rsidR="00AA4791" w:rsidRPr="00AA4791" w:rsidRDefault="00AA4791" w:rsidP="00AA4791">
      <w:pPr>
        <w:rPr>
          <w:rFonts w:ascii="Arial" w:hAnsi="Arial" w:cs="Arial"/>
          <w:b/>
          <w:sz w:val="22"/>
          <w:szCs w:val="22"/>
          <w:u w:val="single"/>
        </w:rPr>
      </w:pPr>
      <w:r w:rsidRPr="00AA4791">
        <w:rPr>
          <w:rFonts w:ascii="Arial" w:hAnsi="Arial" w:cs="Arial"/>
          <w:b/>
          <w:sz w:val="22"/>
          <w:szCs w:val="22"/>
          <w:u w:val="single"/>
        </w:rPr>
        <w:t>Introduction (Problem, Significance, Background):</w:t>
      </w:r>
    </w:p>
    <w:p w14:paraId="1DFFC9A8" w14:textId="77777777" w:rsidR="00AA4791" w:rsidRPr="00AA4791" w:rsidRDefault="00AA4791" w:rsidP="00AA4791">
      <w:pPr>
        <w:rPr>
          <w:rFonts w:ascii="Arial" w:hAnsi="Arial" w:cs="Arial"/>
          <w:sz w:val="22"/>
          <w:szCs w:val="22"/>
        </w:rPr>
      </w:pPr>
      <w:r w:rsidRPr="00AA4791">
        <w:rPr>
          <w:rFonts w:ascii="Arial" w:hAnsi="Arial" w:cs="Arial"/>
          <w:sz w:val="22"/>
          <w:szCs w:val="22"/>
        </w:rPr>
        <w:t xml:space="preserve"> </w:t>
      </w:r>
    </w:p>
    <w:p w14:paraId="05B1D131" w14:textId="09830E73" w:rsidR="000F1B92" w:rsidRDefault="00AA4791" w:rsidP="00AA4791">
      <w:pPr>
        <w:rPr>
          <w:rFonts w:ascii="Arial" w:hAnsi="Arial" w:cs="Arial"/>
          <w:sz w:val="22"/>
          <w:szCs w:val="22"/>
        </w:rPr>
      </w:pPr>
      <w:r w:rsidRPr="00AA4791">
        <w:rPr>
          <w:rFonts w:ascii="Arial" w:hAnsi="Arial" w:cs="Arial"/>
          <w:sz w:val="22"/>
          <w:szCs w:val="22"/>
        </w:rPr>
        <w:t>One in three deaths are attributed to CVD, both nationally and globally [1</w:t>
      </w:r>
      <w:r w:rsidR="007E7B91">
        <w:rPr>
          <w:rFonts w:ascii="Arial" w:hAnsi="Arial" w:cs="Arial"/>
          <w:sz w:val="22"/>
          <w:szCs w:val="22"/>
        </w:rPr>
        <w:t>,</w:t>
      </w:r>
      <w:r w:rsidRPr="00AA4791">
        <w:rPr>
          <w:rFonts w:ascii="Arial" w:hAnsi="Arial" w:cs="Arial"/>
          <w:sz w:val="22"/>
          <w:szCs w:val="22"/>
        </w:rPr>
        <w:t>2]. According to the American Heart Association (AHA), 95% of adult Americans do not satisfy the profile for ideal heart health [2, 3]</w:t>
      </w:r>
      <w:r w:rsidR="00D60BC5">
        <w:rPr>
          <w:rFonts w:ascii="Arial" w:hAnsi="Arial" w:cs="Arial"/>
          <w:sz w:val="22"/>
          <w:szCs w:val="22"/>
        </w:rPr>
        <w:t>,</w:t>
      </w:r>
      <w:r w:rsidR="007E7B91">
        <w:rPr>
          <w:rFonts w:ascii="Arial" w:hAnsi="Arial" w:cs="Arial"/>
          <w:sz w:val="22"/>
          <w:szCs w:val="22"/>
        </w:rPr>
        <w:t xml:space="preserve"> thus limiting the potential of reaching the AHA 2020 goal of </w:t>
      </w:r>
      <w:r w:rsidR="00D60BC5">
        <w:rPr>
          <w:rFonts w:ascii="Arial" w:hAnsi="Arial" w:cs="Arial"/>
          <w:sz w:val="22"/>
          <w:szCs w:val="22"/>
        </w:rPr>
        <w:t>i</w:t>
      </w:r>
      <w:r w:rsidR="007E7B91">
        <w:rPr>
          <w:rFonts w:ascii="Arial" w:hAnsi="Arial" w:cs="Arial"/>
          <w:sz w:val="22"/>
          <w:szCs w:val="22"/>
        </w:rPr>
        <w:t>mproving</w:t>
      </w:r>
      <w:r w:rsidRPr="00AA4791">
        <w:rPr>
          <w:rFonts w:ascii="Arial" w:hAnsi="Arial" w:cs="Arial"/>
          <w:sz w:val="22"/>
          <w:szCs w:val="22"/>
        </w:rPr>
        <w:t xml:space="preserve"> the </w:t>
      </w:r>
      <w:r w:rsidR="007E7B91" w:rsidRPr="00AA4791">
        <w:rPr>
          <w:rFonts w:ascii="Arial" w:hAnsi="Arial" w:cs="Arial"/>
          <w:sz w:val="22"/>
          <w:szCs w:val="22"/>
        </w:rPr>
        <w:t>cardiovas</w:t>
      </w:r>
      <w:r w:rsidR="007E7B91">
        <w:rPr>
          <w:rFonts w:ascii="Arial" w:hAnsi="Arial" w:cs="Arial"/>
          <w:sz w:val="22"/>
          <w:szCs w:val="22"/>
        </w:rPr>
        <w:t>cular health</w:t>
      </w:r>
      <w:r w:rsidR="007E7B91" w:rsidRPr="00AA4791">
        <w:rPr>
          <w:rFonts w:ascii="Arial" w:hAnsi="Arial" w:cs="Arial"/>
          <w:sz w:val="22"/>
          <w:szCs w:val="22"/>
        </w:rPr>
        <w:t xml:space="preserve"> </w:t>
      </w:r>
      <w:r w:rsidRPr="00AA4791">
        <w:rPr>
          <w:rFonts w:ascii="Arial" w:hAnsi="Arial" w:cs="Arial"/>
          <w:sz w:val="22"/>
          <w:szCs w:val="22"/>
        </w:rPr>
        <w:t xml:space="preserve">of all Americans by 20% while reducing death from cardiovascular diseases and stroke by 20%. Reaching this goal requires novel, efficacious, achievable and sustainable CVD prevention measures [4, 5]. </w:t>
      </w:r>
    </w:p>
    <w:p w14:paraId="174AEBBB" w14:textId="77777777" w:rsidR="000F1B92" w:rsidRDefault="000F1B92" w:rsidP="00AA4791">
      <w:pPr>
        <w:rPr>
          <w:rFonts w:ascii="Arial" w:hAnsi="Arial" w:cs="Arial"/>
          <w:sz w:val="22"/>
          <w:szCs w:val="22"/>
        </w:rPr>
      </w:pPr>
    </w:p>
    <w:p w14:paraId="4E603DDA" w14:textId="1B292782" w:rsidR="00AF4828" w:rsidRDefault="00AA4791" w:rsidP="00AA4791">
      <w:pPr>
        <w:rPr>
          <w:rFonts w:ascii="Arial" w:hAnsi="Arial" w:cs="Arial"/>
          <w:sz w:val="22"/>
          <w:szCs w:val="22"/>
        </w:rPr>
      </w:pPr>
      <w:r w:rsidRPr="00AA4791">
        <w:rPr>
          <w:rFonts w:ascii="Arial" w:hAnsi="Arial" w:cs="Arial"/>
          <w:sz w:val="22"/>
          <w:szCs w:val="22"/>
        </w:rPr>
        <w:t xml:space="preserve">Sedentary behavior is now recognized as a separate construct to physical activity [6], and is a demonstrated </w:t>
      </w:r>
      <w:r w:rsidR="007E7B91" w:rsidRPr="00AA4791">
        <w:rPr>
          <w:rFonts w:ascii="Arial" w:hAnsi="Arial" w:cs="Arial"/>
          <w:sz w:val="22"/>
          <w:szCs w:val="22"/>
        </w:rPr>
        <w:t>prognostic</w:t>
      </w:r>
      <w:r w:rsidRPr="00AA4791">
        <w:rPr>
          <w:rFonts w:ascii="Arial" w:hAnsi="Arial" w:cs="Arial"/>
          <w:sz w:val="22"/>
          <w:szCs w:val="22"/>
        </w:rPr>
        <w:t xml:space="preserve"> indicator of higher triglycerides-high-density lipoprotein cholesterol ratio, as well as higher body mass index, waist circumference, body fat percentage [7-10] and death [11]. </w:t>
      </w:r>
      <w:r w:rsidR="007E7B91">
        <w:rPr>
          <w:rFonts w:ascii="Arial" w:hAnsi="Arial" w:cs="Arial"/>
          <w:sz w:val="22"/>
          <w:szCs w:val="22"/>
        </w:rPr>
        <w:t>Yet</w:t>
      </w:r>
      <w:r w:rsidRPr="00AA4791">
        <w:rPr>
          <w:rFonts w:ascii="Arial" w:hAnsi="Arial" w:cs="Arial"/>
          <w:sz w:val="22"/>
          <w:szCs w:val="22"/>
        </w:rPr>
        <w:t xml:space="preserve">, sedentary behavior remains unrecognized as an independent risk factor for CVD as demonstrated by its omission from the most widely used and validated composite CVD risk scores (AHA's “Simple </w:t>
      </w:r>
      <w:proofErr w:type="gramStart"/>
      <w:r w:rsidRPr="00AA4791">
        <w:rPr>
          <w:rFonts w:ascii="Arial" w:hAnsi="Arial" w:cs="Arial"/>
          <w:sz w:val="22"/>
          <w:szCs w:val="22"/>
        </w:rPr>
        <w:t>7”[</w:t>
      </w:r>
      <w:proofErr w:type="gramEnd"/>
      <w:r w:rsidRPr="00AA4791">
        <w:rPr>
          <w:rFonts w:ascii="Arial" w:hAnsi="Arial" w:cs="Arial"/>
          <w:sz w:val="22"/>
          <w:szCs w:val="22"/>
        </w:rPr>
        <w:t>3], the Framingham Heart Score</w:t>
      </w:r>
      <w:r w:rsidR="00AF4828">
        <w:rPr>
          <w:rFonts w:ascii="Arial" w:hAnsi="Arial" w:cs="Arial"/>
          <w:sz w:val="22"/>
          <w:szCs w:val="22"/>
        </w:rPr>
        <w:t xml:space="preserve"> </w:t>
      </w:r>
      <w:r w:rsidRPr="00AA4791">
        <w:rPr>
          <w:rFonts w:ascii="Arial" w:hAnsi="Arial" w:cs="Arial"/>
          <w:sz w:val="22"/>
          <w:szCs w:val="22"/>
        </w:rPr>
        <w:t xml:space="preserve">[12], and the European Heart Score [13]).  Sedentary behavior may be more amenable to long-term individual change than other CVD risk factors, such as physical activity. Limiting the </w:t>
      </w:r>
      <w:r w:rsidR="00AF4828">
        <w:rPr>
          <w:rFonts w:ascii="Arial" w:hAnsi="Arial" w:cs="Arial"/>
          <w:sz w:val="22"/>
          <w:szCs w:val="22"/>
        </w:rPr>
        <w:t>development</w:t>
      </w:r>
      <w:r w:rsidR="00AF4828" w:rsidRPr="00AA4791">
        <w:rPr>
          <w:rFonts w:ascii="Arial" w:hAnsi="Arial" w:cs="Arial"/>
          <w:sz w:val="22"/>
          <w:szCs w:val="22"/>
        </w:rPr>
        <w:t xml:space="preserve"> </w:t>
      </w:r>
      <w:r w:rsidRPr="00AA4791">
        <w:rPr>
          <w:rFonts w:ascii="Arial" w:hAnsi="Arial" w:cs="Arial"/>
          <w:sz w:val="22"/>
          <w:szCs w:val="22"/>
        </w:rPr>
        <w:t xml:space="preserve">of effective interventions to reduce sedentary behavior is the absence of objective, empirically supported guidelines for adult sedentary behavior. </w:t>
      </w:r>
    </w:p>
    <w:p w14:paraId="563BFD73" w14:textId="77777777" w:rsidR="00AF4828" w:rsidRDefault="00AF4828" w:rsidP="00AA4791">
      <w:pPr>
        <w:rPr>
          <w:rFonts w:ascii="Arial" w:hAnsi="Arial" w:cs="Arial"/>
          <w:sz w:val="22"/>
          <w:szCs w:val="22"/>
        </w:rPr>
      </w:pPr>
    </w:p>
    <w:p w14:paraId="1F556C6E" w14:textId="567701FD" w:rsidR="00AF4828" w:rsidRDefault="00AF4828" w:rsidP="00AA4791">
      <w:pPr>
        <w:rPr>
          <w:rFonts w:ascii="Arial" w:hAnsi="Arial" w:cs="Arial"/>
          <w:sz w:val="22"/>
          <w:szCs w:val="22"/>
        </w:rPr>
      </w:pPr>
      <w:r>
        <w:rPr>
          <w:rFonts w:ascii="Arial" w:hAnsi="Arial" w:cs="Arial"/>
          <w:sz w:val="22"/>
          <w:szCs w:val="22"/>
        </w:rPr>
        <w:t xml:space="preserve">The current study will address these empirical and theoretical gaps by examining the extent to which two different forms of sedentary behavior (screen-based and transport) predict cardiovascular risk and identify a threshold of sedentary time that is predictive of greater risk, independent of key covariates (including physical activity). This study will be one of the first to examine these questions at the population level using objective, verified data.  </w:t>
      </w:r>
    </w:p>
    <w:p w14:paraId="2E941F41" w14:textId="03CE0EA0" w:rsidR="00AF4828" w:rsidRPr="00D60BC5" w:rsidRDefault="00AA4791" w:rsidP="00AA4791">
      <w:pPr>
        <w:rPr>
          <w:rFonts w:ascii="Arial" w:hAnsi="Arial" w:cs="Arial"/>
          <w:sz w:val="22"/>
          <w:szCs w:val="22"/>
        </w:rPr>
      </w:pPr>
      <w:r w:rsidRPr="00AA4791">
        <w:rPr>
          <w:rFonts w:ascii="Arial" w:hAnsi="Arial" w:cs="Arial"/>
          <w:sz w:val="22"/>
          <w:szCs w:val="22"/>
        </w:rPr>
        <w:t xml:space="preserve"> </w:t>
      </w:r>
    </w:p>
    <w:p w14:paraId="18FCA9AA" w14:textId="77777777" w:rsidR="00AA4791" w:rsidRPr="00AA4791" w:rsidRDefault="00AA4791" w:rsidP="00AA4791">
      <w:pPr>
        <w:rPr>
          <w:rFonts w:ascii="Arial" w:hAnsi="Arial" w:cs="Arial"/>
          <w:b/>
          <w:sz w:val="22"/>
          <w:szCs w:val="22"/>
          <w:u w:val="single"/>
        </w:rPr>
      </w:pPr>
      <w:r w:rsidRPr="00AA4791">
        <w:rPr>
          <w:rFonts w:ascii="Arial" w:hAnsi="Arial" w:cs="Arial"/>
          <w:b/>
          <w:sz w:val="22"/>
          <w:szCs w:val="22"/>
          <w:u w:val="single"/>
        </w:rPr>
        <w:t>An Interdisciplinary Project (why interdisciplinary, fields of contribution, collaborator contributions):</w:t>
      </w:r>
    </w:p>
    <w:p w14:paraId="3005A052" w14:textId="77777777" w:rsidR="00AA4791" w:rsidRPr="00AA4791" w:rsidRDefault="00AA4791" w:rsidP="00AA4791">
      <w:pPr>
        <w:rPr>
          <w:rFonts w:ascii="Arial" w:hAnsi="Arial" w:cs="Arial"/>
          <w:sz w:val="22"/>
          <w:szCs w:val="22"/>
        </w:rPr>
      </w:pPr>
      <w:r w:rsidRPr="00AA4791">
        <w:rPr>
          <w:rFonts w:ascii="Arial" w:hAnsi="Arial" w:cs="Arial"/>
          <w:sz w:val="22"/>
          <w:szCs w:val="22"/>
        </w:rPr>
        <w:t xml:space="preserve"> </w:t>
      </w:r>
    </w:p>
    <w:p w14:paraId="34E10456" w14:textId="29597E2A" w:rsidR="00F87052" w:rsidRDefault="00F87052" w:rsidP="00AA4791">
      <w:pPr>
        <w:rPr>
          <w:rFonts w:ascii="Arial" w:hAnsi="Arial" w:cs="Arial"/>
          <w:sz w:val="22"/>
          <w:szCs w:val="22"/>
        </w:rPr>
      </w:pPr>
      <w:r>
        <w:rPr>
          <w:rFonts w:ascii="Arial" w:hAnsi="Arial" w:cs="Arial"/>
          <w:sz w:val="22"/>
          <w:szCs w:val="22"/>
        </w:rPr>
        <w:t>The etiology of health behavior is interdisciplinary, drawing from the fields of epidemiology and biostatistics, medicine</w:t>
      </w:r>
      <w:r w:rsidR="00502B36">
        <w:rPr>
          <w:rFonts w:ascii="Arial" w:hAnsi="Arial" w:cs="Arial"/>
          <w:sz w:val="22"/>
          <w:szCs w:val="22"/>
        </w:rPr>
        <w:t xml:space="preserve"> and physiology</w:t>
      </w:r>
      <w:r>
        <w:rPr>
          <w:rFonts w:ascii="Arial" w:hAnsi="Arial" w:cs="Arial"/>
          <w:sz w:val="22"/>
          <w:szCs w:val="22"/>
        </w:rPr>
        <w:t xml:space="preserve">, psychology, public health and public policy. Convergent with this model, the current study poses interdisciplinary research questions that are presented by an interdisciplinary team of collaborators from the fields listed (see Table 1). The range and depth of expertise presented by this team will ensure a rigorous process with meaningful results.  </w:t>
      </w:r>
    </w:p>
    <w:p w14:paraId="66C43C8A" w14:textId="77777777" w:rsidR="00F87052" w:rsidRDefault="00F87052" w:rsidP="00AA4791">
      <w:pPr>
        <w:rPr>
          <w:rFonts w:ascii="Arial" w:hAnsi="Arial" w:cs="Arial"/>
          <w:sz w:val="22"/>
          <w:szCs w:val="22"/>
        </w:rPr>
      </w:pPr>
    </w:p>
    <w:tbl>
      <w:tblPr>
        <w:tblStyle w:val="TableGrid"/>
        <w:tblW w:w="9355" w:type="dxa"/>
        <w:tblLook w:val="04A0" w:firstRow="1" w:lastRow="0" w:firstColumn="1" w:lastColumn="0" w:noHBand="0" w:noVBand="1"/>
      </w:tblPr>
      <w:tblGrid>
        <w:gridCol w:w="3325"/>
        <w:gridCol w:w="6030"/>
      </w:tblGrid>
      <w:tr w:rsidR="00F87052" w14:paraId="526EEC90" w14:textId="77777777" w:rsidTr="00D60BC5">
        <w:tc>
          <w:tcPr>
            <w:tcW w:w="3325" w:type="dxa"/>
          </w:tcPr>
          <w:p w14:paraId="397E4DFC" w14:textId="3CB26688" w:rsidR="00F87052" w:rsidRDefault="00F87052" w:rsidP="00D60BC5">
            <w:pPr>
              <w:jc w:val="center"/>
              <w:rPr>
                <w:rFonts w:ascii="Arial" w:hAnsi="Arial" w:cs="Arial"/>
                <w:sz w:val="22"/>
                <w:szCs w:val="22"/>
              </w:rPr>
            </w:pPr>
            <w:r>
              <w:rPr>
                <w:rFonts w:ascii="Arial" w:hAnsi="Arial" w:cs="Arial"/>
                <w:sz w:val="22"/>
                <w:szCs w:val="22"/>
              </w:rPr>
              <w:t>Collaborator</w:t>
            </w:r>
          </w:p>
        </w:tc>
        <w:tc>
          <w:tcPr>
            <w:tcW w:w="6030" w:type="dxa"/>
          </w:tcPr>
          <w:p w14:paraId="3D827FD5" w14:textId="5C19E9C1" w:rsidR="00F87052" w:rsidRDefault="00F87052" w:rsidP="00D60BC5">
            <w:pPr>
              <w:jc w:val="center"/>
              <w:rPr>
                <w:rFonts w:ascii="Arial" w:hAnsi="Arial" w:cs="Arial"/>
                <w:sz w:val="22"/>
                <w:szCs w:val="22"/>
              </w:rPr>
            </w:pPr>
            <w:r>
              <w:rPr>
                <w:rFonts w:ascii="Arial" w:hAnsi="Arial" w:cs="Arial"/>
                <w:sz w:val="22"/>
                <w:szCs w:val="22"/>
              </w:rPr>
              <w:t>Area of Expertise</w:t>
            </w:r>
          </w:p>
        </w:tc>
      </w:tr>
      <w:tr w:rsidR="00F87052" w14:paraId="5D35B074" w14:textId="77777777" w:rsidTr="00D60BC5">
        <w:tc>
          <w:tcPr>
            <w:tcW w:w="3325" w:type="dxa"/>
          </w:tcPr>
          <w:p w14:paraId="04763685" w14:textId="25AB276C" w:rsidR="00F87052" w:rsidRDefault="00F87052" w:rsidP="00AA4791">
            <w:pPr>
              <w:rPr>
                <w:rFonts w:ascii="Arial" w:hAnsi="Arial" w:cs="Arial"/>
                <w:sz w:val="22"/>
                <w:szCs w:val="22"/>
              </w:rPr>
            </w:pPr>
            <w:r>
              <w:rPr>
                <w:rFonts w:ascii="Arial" w:hAnsi="Arial" w:cs="Arial"/>
                <w:sz w:val="22"/>
                <w:szCs w:val="22"/>
              </w:rPr>
              <w:t xml:space="preserve">Michael A. </w:t>
            </w:r>
            <w:proofErr w:type="spellStart"/>
            <w:r>
              <w:rPr>
                <w:rFonts w:ascii="Arial" w:hAnsi="Arial" w:cs="Arial"/>
                <w:sz w:val="22"/>
                <w:szCs w:val="22"/>
              </w:rPr>
              <w:t>Grandner</w:t>
            </w:r>
            <w:proofErr w:type="spellEnd"/>
            <w:r>
              <w:rPr>
                <w:rFonts w:ascii="Arial" w:hAnsi="Arial" w:cs="Arial"/>
                <w:sz w:val="22"/>
                <w:szCs w:val="22"/>
              </w:rPr>
              <w:t>, PhD</w:t>
            </w:r>
          </w:p>
        </w:tc>
        <w:tc>
          <w:tcPr>
            <w:tcW w:w="6030" w:type="dxa"/>
          </w:tcPr>
          <w:p w14:paraId="46163680" w14:textId="3214107C" w:rsidR="00F87052" w:rsidRDefault="00F87052" w:rsidP="00AA4791">
            <w:pPr>
              <w:rPr>
                <w:rFonts w:ascii="Arial" w:hAnsi="Arial" w:cs="Arial"/>
                <w:sz w:val="22"/>
                <w:szCs w:val="22"/>
              </w:rPr>
            </w:pPr>
            <w:r>
              <w:rPr>
                <w:rFonts w:ascii="Arial" w:hAnsi="Arial" w:cs="Arial"/>
                <w:sz w:val="22"/>
                <w:szCs w:val="22"/>
              </w:rPr>
              <w:t>Clinical Psychology, Sleep and Cardiovascular Health</w:t>
            </w:r>
          </w:p>
        </w:tc>
      </w:tr>
      <w:tr w:rsidR="00F87052" w14:paraId="7D20BEAB" w14:textId="77777777" w:rsidTr="00D60BC5">
        <w:tc>
          <w:tcPr>
            <w:tcW w:w="3325" w:type="dxa"/>
          </w:tcPr>
          <w:p w14:paraId="6FBF37D1" w14:textId="79855770" w:rsidR="00F87052" w:rsidRDefault="00F87052" w:rsidP="00AA4791">
            <w:pPr>
              <w:rPr>
                <w:rFonts w:ascii="Arial" w:hAnsi="Arial" w:cs="Arial"/>
                <w:sz w:val="22"/>
                <w:szCs w:val="22"/>
              </w:rPr>
            </w:pPr>
            <w:r>
              <w:rPr>
                <w:rFonts w:ascii="Arial" w:hAnsi="Arial" w:cs="Arial"/>
                <w:sz w:val="22"/>
                <w:szCs w:val="22"/>
              </w:rPr>
              <w:lastRenderedPageBreak/>
              <w:t>Alexandra L. Hanlon, PhD</w:t>
            </w:r>
          </w:p>
        </w:tc>
        <w:tc>
          <w:tcPr>
            <w:tcW w:w="6030" w:type="dxa"/>
          </w:tcPr>
          <w:p w14:paraId="15CD396D" w14:textId="0B786AF0" w:rsidR="00F87052" w:rsidRDefault="00F87052" w:rsidP="00AA4791">
            <w:pPr>
              <w:rPr>
                <w:rFonts w:ascii="Arial" w:hAnsi="Arial" w:cs="Arial"/>
                <w:sz w:val="22"/>
                <w:szCs w:val="22"/>
              </w:rPr>
            </w:pPr>
            <w:r>
              <w:rPr>
                <w:rFonts w:ascii="Arial" w:hAnsi="Arial" w:cs="Arial"/>
                <w:sz w:val="22"/>
                <w:szCs w:val="22"/>
              </w:rPr>
              <w:t>Biostatistics, SPECIFIC MODELING?</w:t>
            </w:r>
          </w:p>
        </w:tc>
      </w:tr>
      <w:tr w:rsidR="00F87052" w14:paraId="04610B6A" w14:textId="77777777" w:rsidTr="00D60BC5">
        <w:tc>
          <w:tcPr>
            <w:tcW w:w="3325" w:type="dxa"/>
          </w:tcPr>
          <w:p w14:paraId="6C3FAF8A" w14:textId="7279FA08" w:rsidR="00F87052" w:rsidRDefault="00502B36" w:rsidP="00AA4791">
            <w:pPr>
              <w:rPr>
                <w:rFonts w:ascii="Arial" w:hAnsi="Arial" w:cs="Arial"/>
                <w:sz w:val="22"/>
                <w:szCs w:val="22"/>
              </w:rPr>
            </w:pPr>
            <w:r>
              <w:rPr>
                <w:rFonts w:ascii="Arial" w:hAnsi="Arial" w:cs="Arial"/>
                <w:sz w:val="22"/>
                <w:szCs w:val="22"/>
              </w:rPr>
              <w:t>Susan K. Malone, PhD., RN</w:t>
            </w:r>
          </w:p>
        </w:tc>
        <w:tc>
          <w:tcPr>
            <w:tcW w:w="6030" w:type="dxa"/>
          </w:tcPr>
          <w:p w14:paraId="623E2011" w14:textId="4C7A04BC" w:rsidR="00F87052" w:rsidRDefault="00502B36" w:rsidP="00AA4791">
            <w:pPr>
              <w:rPr>
                <w:rFonts w:ascii="Arial" w:hAnsi="Arial" w:cs="Arial"/>
                <w:sz w:val="22"/>
                <w:szCs w:val="22"/>
              </w:rPr>
            </w:pPr>
            <w:r>
              <w:rPr>
                <w:rFonts w:ascii="Arial" w:hAnsi="Arial" w:cs="Arial"/>
                <w:sz w:val="22"/>
                <w:szCs w:val="22"/>
              </w:rPr>
              <w:t xml:space="preserve">Nursing, Sleep and </w:t>
            </w:r>
            <w:proofErr w:type="spellStart"/>
            <w:r>
              <w:rPr>
                <w:rFonts w:ascii="Arial" w:hAnsi="Arial" w:cs="Arial"/>
                <w:sz w:val="22"/>
                <w:szCs w:val="22"/>
              </w:rPr>
              <w:t>Cardiometabolic</w:t>
            </w:r>
            <w:proofErr w:type="spellEnd"/>
            <w:r>
              <w:rPr>
                <w:rFonts w:ascii="Arial" w:hAnsi="Arial" w:cs="Arial"/>
                <w:sz w:val="22"/>
                <w:szCs w:val="22"/>
              </w:rPr>
              <w:t xml:space="preserve"> Health</w:t>
            </w:r>
          </w:p>
        </w:tc>
      </w:tr>
      <w:tr w:rsidR="00F87052" w14:paraId="4B880847" w14:textId="77777777" w:rsidTr="00D60BC5">
        <w:tc>
          <w:tcPr>
            <w:tcW w:w="3325" w:type="dxa"/>
          </w:tcPr>
          <w:p w14:paraId="19FF8FD1" w14:textId="001475A5" w:rsidR="00F87052" w:rsidRDefault="00502B36" w:rsidP="00AA4791">
            <w:pPr>
              <w:rPr>
                <w:rFonts w:ascii="Arial" w:hAnsi="Arial" w:cs="Arial"/>
                <w:sz w:val="22"/>
                <w:szCs w:val="22"/>
              </w:rPr>
            </w:pPr>
            <w:r>
              <w:rPr>
                <w:rFonts w:ascii="Arial" w:hAnsi="Arial" w:cs="Arial"/>
                <w:sz w:val="22"/>
                <w:szCs w:val="22"/>
              </w:rPr>
              <w:t>Freda Patterson, PhD</w:t>
            </w:r>
          </w:p>
        </w:tc>
        <w:tc>
          <w:tcPr>
            <w:tcW w:w="6030" w:type="dxa"/>
          </w:tcPr>
          <w:p w14:paraId="7C3D0224" w14:textId="5EF537C1" w:rsidR="00F87052" w:rsidRDefault="00502B36" w:rsidP="00502B36">
            <w:pPr>
              <w:rPr>
                <w:rFonts w:ascii="Arial" w:hAnsi="Arial" w:cs="Arial"/>
                <w:sz w:val="22"/>
                <w:szCs w:val="22"/>
              </w:rPr>
            </w:pPr>
            <w:r>
              <w:rPr>
                <w:rFonts w:ascii="Arial" w:hAnsi="Arial" w:cs="Arial"/>
                <w:sz w:val="22"/>
                <w:szCs w:val="22"/>
              </w:rPr>
              <w:t>Public Health and Epidemiology, Cardiovascular Risk Behaviors and Multiple Health Behavior Change</w:t>
            </w:r>
          </w:p>
        </w:tc>
      </w:tr>
      <w:tr w:rsidR="00502B36" w14:paraId="477B6772" w14:textId="77777777" w:rsidTr="00F87052">
        <w:tc>
          <w:tcPr>
            <w:tcW w:w="3325" w:type="dxa"/>
          </w:tcPr>
          <w:p w14:paraId="052F3516" w14:textId="643C603F" w:rsidR="00502B36" w:rsidRDefault="00502B36" w:rsidP="00AA4791">
            <w:pPr>
              <w:rPr>
                <w:rFonts w:ascii="Arial" w:hAnsi="Arial" w:cs="Arial"/>
                <w:sz w:val="22"/>
                <w:szCs w:val="22"/>
              </w:rPr>
            </w:pPr>
            <w:r>
              <w:rPr>
                <w:rFonts w:ascii="Arial" w:hAnsi="Arial" w:cs="Arial"/>
                <w:sz w:val="22"/>
                <w:szCs w:val="22"/>
              </w:rPr>
              <w:t xml:space="preserve">Richard </w:t>
            </w:r>
            <w:proofErr w:type="spellStart"/>
            <w:r>
              <w:rPr>
                <w:rFonts w:ascii="Arial" w:hAnsi="Arial" w:cs="Arial"/>
                <w:sz w:val="22"/>
                <w:szCs w:val="22"/>
              </w:rPr>
              <w:t>Suminiski</w:t>
            </w:r>
            <w:proofErr w:type="spellEnd"/>
            <w:r>
              <w:rPr>
                <w:rFonts w:ascii="Arial" w:hAnsi="Arial" w:cs="Arial"/>
                <w:sz w:val="22"/>
                <w:szCs w:val="22"/>
              </w:rPr>
              <w:t>, PhD</w:t>
            </w:r>
          </w:p>
        </w:tc>
        <w:tc>
          <w:tcPr>
            <w:tcW w:w="6030" w:type="dxa"/>
          </w:tcPr>
          <w:p w14:paraId="7F1443D6" w14:textId="6949D72A" w:rsidR="00502B36" w:rsidRDefault="00502B36" w:rsidP="00502B36">
            <w:pPr>
              <w:rPr>
                <w:rFonts w:ascii="Arial" w:hAnsi="Arial" w:cs="Arial"/>
                <w:sz w:val="22"/>
                <w:szCs w:val="22"/>
              </w:rPr>
            </w:pPr>
            <w:r>
              <w:rPr>
                <w:rFonts w:ascii="Arial" w:hAnsi="Arial" w:cs="Arial"/>
                <w:sz w:val="22"/>
                <w:szCs w:val="22"/>
              </w:rPr>
              <w:t>Exercise Physiology, Physical Activity, Built Environment</w:t>
            </w:r>
          </w:p>
        </w:tc>
      </w:tr>
    </w:tbl>
    <w:p w14:paraId="62E44127" w14:textId="75B7FFA3" w:rsidR="00070086" w:rsidRDefault="00070086" w:rsidP="00AA4791">
      <w:pPr>
        <w:rPr>
          <w:rFonts w:ascii="Arial" w:hAnsi="Arial" w:cs="Arial"/>
          <w:sz w:val="22"/>
          <w:szCs w:val="22"/>
        </w:rPr>
      </w:pPr>
    </w:p>
    <w:p w14:paraId="4270EA1A" w14:textId="77777777" w:rsidR="00671434" w:rsidRDefault="00671434" w:rsidP="00AA4791">
      <w:pPr>
        <w:rPr>
          <w:rFonts w:ascii="Arial" w:hAnsi="Arial" w:cs="Arial"/>
          <w:sz w:val="22"/>
          <w:szCs w:val="22"/>
        </w:rPr>
      </w:pPr>
    </w:p>
    <w:p w14:paraId="082AB3A1" w14:textId="77777777" w:rsidR="00671434" w:rsidRPr="00272C06" w:rsidRDefault="00671434" w:rsidP="00671434">
      <w:pPr>
        <w:pStyle w:val="EndNoteBibliography"/>
        <w:ind w:left="720" w:hanging="720"/>
        <w:rPr>
          <w:noProof/>
        </w:rPr>
      </w:pPr>
      <w:r w:rsidRPr="00272C06">
        <w:rPr>
          <w:noProof/>
        </w:rPr>
        <w:t>1.</w:t>
      </w:r>
      <w:r w:rsidRPr="00272C06">
        <w:rPr>
          <w:noProof/>
        </w:rPr>
        <w:tab/>
        <w:t xml:space="preserve">Callow, A.D., </w:t>
      </w:r>
      <w:r w:rsidRPr="00272C06">
        <w:rPr>
          <w:i/>
          <w:noProof/>
        </w:rPr>
        <w:t>Cardiovascular disease 2005--the global picture.</w:t>
      </w:r>
      <w:r w:rsidRPr="00272C06">
        <w:rPr>
          <w:noProof/>
        </w:rPr>
        <w:t xml:space="preserve"> Vascul Pharmacol, 2006. </w:t>
      </w:r>
      <w:r w:rsidRPr="00272C06">
        <w:rPr>
          <w:b/>
          <w:noProof/>
        </w:rPr>
        <w:t>45</w:t>
      </w:r>
      <w:r w:rsidRPr="00272C06">
        <w:rPr>
          <w:noProof/>
        </w:rPr>
        <w:t>(5): p. 302-7.</w:t>
      </w:r>
    </w:p>
    <w:p w14:paraId="6939D977" w14:textId="77777777" w:rsidR="00671434" w:rsidRPr="00272C06" w:rsidRDefault="00671434" w:rsidP="00671434">
      <w:pPr>
        <w:pStyle w:val="EndNoteBibliography"/>
        <w:ind w:left="720" w:hanging="720"/>
        <w:rPr>
          <w:noProof/>
        </w:rPr>
      </w:pPr>
      <w:r w:rsidRPr="00272C06">
        <w:rPr>
          <w:noProof/>
        </w:rPr>
        <w:t>2.</w:t>
      </w:r>
      <w:r w:rsidRPr="00272C06">
        <w:rPr>
          <w:noProof/>
        </w:rPr>
        <w:tab/>
        <w:t xml:space="preserve">Mozaffarian, D., et al., </w:t>
      </w:r>
      <w:r w:rsidRPr="00272C06">
        <w:rPr>
          <w:i/>
          <w:noProof/>
        </w:rPr>
        <w:t>Heart disease and stroke statistics--2015 update: a report from the American Heart Association.</w:t>
      </w:r>
      <w:r w:rsidRPr="00272C06">
        <w:rPr>
          <w:noProof/>
        </w:rPr>
        <w:t xml:space="preserve"> Circulation, 2015. </w:t>
      </w:r>
      <w:r w:rsidRPr="00272C06">
        <w:rPr>
          <w:b/>
          <w:noProof/>
        </w:rPr>
        <w:t>131</w:t>
      </w:r>
      <w:r w:rsidRPr="00272C06">
        <w:rPr>
          <w:noProof/>
        </w:rPr>
        <w:t>(4): p. e29-322.</w:t>
      </w:r>
    </w:p>
    <w:p w14:paraId="6B58957D" w14:textId="77777777" w:rsidR="00671434" w:rsidRPr="00272C06" w:rsidRDefault="00671434" w:rsidP="00671434">
      <w:pPr>
        <w:pStyle w:val="EndNoteBibliography"/>
        <w:ind w:left="720" w:hanging="720"/>
        <w:rPr>
          <w:noProof/>
        </w:rPr>
      </w:pPr>
      <w:r w:rsidRPr="00272C06">
        <w:rPr>
          <w:noProof/>
        </w:rPr>
        <w:t>3.</w:t>
      </w:r>
      <w:r w:rsidRPr="00272C06">
        <w:rPr>
          <w:noProof/>
        </w:rPr>
        <w:tab/>
        <w:t xml:space="preserve">Lloyd-Jones, D.M., et al., </w:t>
      </w:r>
      <w:r w:rsidRPr="00272C06">
        <w:rPr>
          <w:i/>
          <w:noProof/>
        </w:rPr>
        <w:t>Defining and setting national goals for cardiovascular health promotion and disease reduction: the American Heart Association's strategic Impact Goal through 2020 and beyond.</w:t>
      </w:r>
      <w:r w:rsidRPr="00272C06">
        <w:rPr>
          <w:noProof/>
        </w:rPr>
        <w:t xml:space="preserve"> Circulation, 2010. </w:t>
      </w:r>
      <w:r w:rsidRPr="00272C06">
        <w:rPr>
          <w:b/>
          <w:noProof/>
        </w:rPr>
        <w:t>121</w:t>
      </w:r>
      <w:r w:rsidRPr="00272C06">
        <w:rPr>
          <w:noProof/>
        </w:rPr>
        <w:t>(4): p. 586-613.</w:t>
      </w:r>
    </w:p>
    <w:p w14:paraId="406BCA1B" w14:textId="77777777" w:rsidR="00671434" w:rsidRPr="00272C06" w:rsidRDefault="00671434" w:rsidP="00671434">
      <w:pPr>
        <w:pStyle w:val="EndNoteBibliography"/>
        <w:ind w:left="720" w:hanging="720"/>
        <w:rPr>
          <w:noProof/>
        </w:rPr>
      </w:pPr>
      <w:r w:rsidRPr="00272C06">
        <w:rPr>
          <w:noProof/>
        </w:rPr>
        <w:t>4.</w:t>
      </w:r>
      <w:r w:rsidRPr="00272C06">
        <w:rPr>
          <w:noProof/>
        </w:rPr>
        <w:tab/>
        <w:t xml:space="preserve">Franklin, B.A. and M. Cushman, </w:t>
      </w:r>
      <w:r w:rsidRPr="00272C06">
        <w:rPr>
          <w:i/>
          <w:noProof/>
        </w:rPr>
        <w:t>Recent advances in preventive cardiology and lifestyle medicine: a themed series.</w:t>
      </w:r>
      <w:r w:rsidRPr="00272C06">
        <w:rPr>
          <w:noProof/>
        </w:rPr>
        <w:t xml:space="preserve"> Circulation, 2011. </w:t>
      </w:r>
      <w:r w:rsidRPr="00272C06">
        <w:rPr>
          <w:b/>
          <w:noProof/>
        </w:rPr>
        <w:t>123</w:t>
      </w:r>
      <w:r w:rsidRPr="00272C06">
        <w:rPr>
          <w:noProof/>
        </w:rPr>
        <w:t>(20): p. 2274-83.</w:t>
      </w:r>
    </w:p>
    <w:p w14:paraId="023544A8" w14:textId="77777777" w:rsidR="00671434" w:rsidRPr="00272C06" w:rsidRDefault="00671434" w:rsidP="00671434">
      <w:pPr>
        <w:pStyle w:val="EndNoteBibliography"/>
        <w:ind w:left="720" w:hanging="720"/>
        <w:rPr>
          <w:noProof/>
        </w:rPr>
      </w:pPr>
      <w:r w:rsidRPr="00272C06">
        <w:rPr>
          <w:noProof/>
        </w:rPr>
        <w:t>5.</w:t>
      </w:r>
      <w:r w:rsidRPr="00272C06">
        <w:rPr>
          <w:noProof/>
        </w:rPr>
        <w:tab/>
        <w:t xml:space="preserve">Spring, B., et al., </w:t>
      </w:r>
      <w:r w:rsidRPr="00272C06">
        <w:rPr>
          <w:i/>
          <w:noProof/>
        </w:rPr>
        <w:t>Better population health through behavior change in adults: a call to action.</w:t>
      </w:r>
      <w:r w:rsidRPr="00272C06">
        <w:rPr>
          <w:noProof/>
        </w:rPr>
        <w:t xml:space="preserve"> Circulation, 2013. </w:t>
      </w:r>
      <w:r w:rsidRPr="00272C06">
        <w:rPr>
          <w:b/>
          <w:noProof/>
        </w:rPr>
        <w:t>128</w:t>
      </w:r>
      <w:r w:rsidRPr="00272C06">
        <w:rPr>
          <w:noProof/>
        </w:rPr>
        <w:t>(19): p. 2169-76.</w:t>
      </w:r>
    </w:p>
    <w:p w14:paraId="50978226" w14:textId="77777777" w:rsidR="00671434" w:rsidRPr="00272C06" w:rsidRDefault="00671434" w:rsidP="00671434">
      <w:pPr>
        <w:pStyle w:val="EndNoteBibliography"/>
        <w:ind w:left="720" w:hanging="720"/>
        <w:rPr>
          <w:noProof/>
        </w:rPr>
      </w:pPr>
      <w:r w:rsidRPr="00272C06">
        <w:rPr>
          <w:noProof/>
        </w:rPr>
        <w:t>6.</w:t>
      </w:r>
      <w:r w:rsidRPr="00272C06">
        <w:rPr>
          <w:noProof/>
        </w:rPr>
        <w:tab/>
        <w:t xml:space="preserve">Owen, N., et al., </w:t>
      </w:r>
      <w:r w:rsidRPr="00272C06">
        <w:rPr>
          <w:i/>
          <w:noProof/>
        </w:rPr>
        <w:t>Environmental determinants of physical activity and sedentary behavior.</w:t>
      </w:r>
      <w:r w:rsidRPr="00272C06">
        <w:rPr>
          <w:noProof/>
        </w:rPr>
        <w:t xml:space="preserve"> Exerc Sport Sci Rev, 2000. </w:t>
      </w:r>
      <w:r w:rsidRPr="00272C06">
        <w:rPr>
          <w:b/>
          <w:noProof/>
        </w:rPr>
        <w:t>28</w:t>
      </w:r>
      <w:r w:rsidRPr="00272C06">
        <w:rPr>
          <w:noProof/>
        </w:rPr>
        <w:t>(4): p. 153-8.</w:t>
      </w:r>
    </w:p>
    <w:p w14:paraId="5F68D096" w14:textId="77777777" w:rsidR="00671434" w:rsidRPr="00272C06" w:rsidRDefault="00671434" w:rsidP="00671434">
      <w:pPr>
        <w:pStyle w:val="EndNoteBibliography"/>
        <w:ind w:left="720" w:hanging="720"/>
        <w:rPr>
          <w:noProof/>
        </w:rPr>
      </w:pPr>
      <w:r w:rsidRPr="00272C06">
        <w:rPr>
          <w:noProof/>
        </w:rPr>
        <w:t>7.</w:t>
      </w:r>
      <w:r w:rsidRPr="00272C06">
        <w:rPr>
          <w:noProof/>
        </w:rPr>
        <w:tab/>
        <w:t xml:space="preserve">Shuval, K., et al., </w:t>
      </w:r>
      <w:r w:rsidRPr="00272C06">
        <w:rPr>
          <w:i/>
          <w:noProof/>
        </w:rPr>
        <w:t>Sedentary behavior, cardiorespiratory fitness, physical activity, and cardiometabolic risk in men: the cooper center longitudinal study.</w:t>
      </w:r>
      <w:r w:rsidRPr="00272C06">
        <w:rPr>
          <w:noProof/>
        </w:rPr>
        <w:t xml:space="preserve"> Mayo Clin Proc, 2014. </w:t>
      </w:r>
      <w:r w:rsidRPr="00272C06">
        <w:rPr>
          <w:b/>
          <w:noProof/>
        </w:rPr>
        <w:t>89</w:t>
      </w:r>
      <w:r w:rsidRPr="00272C06">
        <w:rPr>
          <w:noProof/>
        </w:rPr>
        <w:t>(8): p. 1052-62.</w:t>
      </w:r>
    </w:p>
    <w:p w14:paraId="5316E0BC" w14:textId="77777777" w:rsidR="00671434" w:rsidRPr="00272C06" w:rsidRDefault="00671434" w:rsidP="00671434">
      <w:pPr>
        <w:pStyle w:val="EndNoteBibliography"/>
        <w:ind w:left="720" w:hanging="720"/>
        <w:rPr>
          <w:noProof/>
        </w:rPr>
      </w:pPr>
      <w:r w:rsidRPr="00272C06">
        <w:rPr>
          <w:noProof/>
        </w:rPr>
        <w:t>8.</w:t>
      </w:r>
      <w:r w:rsidRPr="00272C06">
        <w:rPr>
          <w:noProof/>
        </w:rPr>
        <w:tab/>
        <w:t xml:space="preserve">Qi, Q., et al., </w:t>
      </w:r>
      <w:r w:rsidRPr="00272C06">
        <w:rPr>
          <w:i/>
          <w:noProof/>
        </w:rPr>
        <w:t>Objectively Measured Sedentary Time and Cardiometabolic Biomarkers in US Hispanic/Latino Adults: The Hispanic Community Health Study/Study of Latinos (HCHS/SOL).</w:t>
      </w:r>
      <w:r w:rsidRPr="00272C06">
        <w:rPr>
          <w:noProof/>
        </w:rPr>
        <w:t xml:space="preserve"> Circulation, 2015. </w:t>
      </w:r>
      <w:r w:rsidRPr="00272C06">
        <w:rPr>
          <w:b/>
          <w:noProof/>
        </w:rPr>
        <w:t>132</w:t>
      </w:r>
      <w:r w:rsidRPr="00272C06">
        <w:rPr>
          <w:noProof/>
        </w:rPr>
        <w:t>(16): p. 1560-9.</w:t>
      </w:r>
    </w:p>
    <w:p w14:paraId="2FB868C2" w14:textId="77777777" w:rsidR="00671434" w:rsidRPr="00272C06" w:rsidRDefault="00671434" w:rsidP="00671434">
      <w:pPr>
        <w:pStyle w:val="EndNoteBibliography"/>
        <w:ind w:left="720" w:hanging="720"/>
        <w:rPr>
          <w:noProof/>
        </w:rPr>
      </w:pPr>
      <w:r w:rsidRPr="00272C06">
        <w:rPr>
          <w:noProof/>
        </w:rPr>
        <w:t>9.</w:t>
      </w:r>
      <w:r w:rsidRPr="00272C06">
        <w:rPr>
          <w:noProof/>
        </w:rPr>
        <w:tab/>
        <w:t xml:space="preserve">Chastin, S.F., et al., </w:t>
      </w:r>
      <w:r w:rsidRPr="00272C06">
        <w:rPr>
          <w:i/>
          <w:noProof/>
        </w:rPr>
        <w:t>Combined Effects of Time Spent in Physical Activity, Sedentary Behaviors and Sleep on Obesity and Cardio-Metabolic Health Markers: A Novel Compositional Data Analysis Approach.</w:t>
      </w:r>
      <w:r w:rsidRPr="00272C06">
        <w:rPr>
          <w:noProof/>
        </w:rPr>
        <w:t xml:space="preserve"> PLoS One, 2015. </w:t>
      </w:r>
      <w:r w:rsidRPr="00272C06">
        <w:rPr>
          <w:b/>
          <w:noProof/>
        </w:rPr>
        <w:t>10</w:t>
      </w:r>
      <w:r w:rsidRPr="00272C06">
        <w:rPr>
          <w:noProof/>
        </w:rPr>
        <w:t>(10): p. e0139984.</w:t>
      </w:r>
    </w:p>
    <w:p w14:paraId="5097B9DC" w14:textId="77777777" w:rsidR="00671434" w:rsidRPr="00272C06" w:rsidRDefault="00671434" w:rsidP="00671434">
      <w:pPr>
        <w:pStyle w:val="EndNoteBibliography"/>
        <w:ind w:left="720" w:hanging="720"/>
        <w:rPr>
          <w:noProof/>
        </w:rPr>
      </w:pPr>
      <w:r w:rsidRPr="00272C06">
        <w:rPr>
          <w:noProof/>
        </w:rPr>
        <w:t>10.</w:t>
      </w:r>
      <w:r w:rsidRPr="00272C06">
        <w:rPr>
          <w:noProof/>
        </w:rPr>
        <w:tab/>
        <w:t xml:space="preserve">Chomistek, A.K., et al., </w:t>
      </w:r>
      <w:r w:rsidRPr="00272C06">
        <w:rPr>
          <w:i/>
          <w:noProof/>
        </w:rPr>
        <w:t>Relationship of sedentary behavior and physical activity to incident cardiovascular disease: results from the Women's Health Initiative.</w:t>
      </w:r>
      <w:r w:rsidRPr="00272C06">
        <w:rPr>
          <w:noProof/>
        </w:rPr>
        <w:t xml:space="preserve"> J Am Coll Cardiol, 2013. </w:t>
      </w:r>
      <w:r w:rsidRPr="00272C06">
        <w:rPr>
          <w:b/>
          <w:noProof/>
        </w:rPr>
        <w:t>61</w:t>
      </w:r>
      <w:r w:rsidRPr="00272C06">
        <w:rPr>
          <w:noProof/>
        </w:rPr>
        <w:t>(23): p. 2346-54.</w:t>
      </w:r>
    </w:p>
    <w:p w14:paraId="67C20F87" w14:textId="77777777" w:rsidR="00671434" w:rsidRPr="00272C06" w:rsidRDefault="00671434" w:rsidP="00671434">
      <w:pPr>
        <w:pStyle w:val="EndNoteBibliography"/>
        <w:ind w:left="720" w:hanging="720"/>
        <w:rPr>
          <w:noProof/>
        </w:rPr>
      </w:pPr>
      <w:r w:rsidRPr="00272C06">
        <w:rPr>
          <w:noProof/>
        </w:rPr>
        <w:t>11.</w:t>
      </w:r>
      <w:r w:rsidRPr="00272C06">
        <w:rPr>
          <w:noProof/>
        </w:rPr>
        <w:tab/>
        <w:t xml:space="preserve">Katzmarzyk, P.T., et al., </w:t>
      </w:r>
      <w:r w:rsidRPr="00272C06">
        <w:rPr>
          <w:i/>
          <w:noProof/>
        </w:rPr>
        <w:t>Sitting time and mortality from all causes, cardiovascular disease, and cancer.</w:t>
      </w:r>
      <w:r w:rsidRPr="00272C06">
        <w:rPr>
          <w:noProof/>
        </w:rPr>
        <w:t xml:space="preserve"> Med Sci Sports Exerc, 2009. </w:t>
      </w:r>
      <w:r w:rsidRPr="00272C06">
        <w:rPr>
          <w:b/>
          <w:noProof/>
        </w:rPr>
        <w:t>41</w:t>
      </w:r>
      <w:r w:rsidRPr="00272C06">
        <w:rPr>
          <w:noProof/>
        </w:rPr>
        <w:t>(5): p. 998-1005.</w:t>
      </w:r>
    </w:p>
    <w:p w14:paraId="1ADA8962" w14:textId="77777777" w:rsidR="00671434" w:rsidRPr="00272C06" w:rsidRDefault="00671434" w:rsidP="00671434">
      <w:pPr>
        <w:pStyle w:val="EndNoteBibliography"/>
        <w:ind w:left="720" w:hanging="720"/>
        <w:rPr>
          <w:noProof/>
        </w:rPr>
      </w:pPr>
      <w:r w:rsidRPr="00272C06">
        <w:rPr>
          <w:noProof/>
        </w:rPr>
        <w:t>12.</w:t>
      </w:r>
      <w:r w:rsidRPr="00272C06">
        <w:rPr>
          <w:noProof/>
        </w:rPr>
        <w:tab/>
        <w:t xml:space="preserve">Simmons, R.K., et al., </w:t>
      </w:r>
      <w:r w:rsidRPr="00272C06">
        <w:rPr>
          <w:i/>
          <w:noProof/>
        </w:rPr>
        <w:t>Evaluation of the Framingham risk score in the European Prospective Investigation of Cancer-Norfolk cohort: does adding glycated hemoglobin improve the prediction of coronary heart disease events?</w:t>
      </w:r>
      <w:r w:rsidRPr="00272C06">
        <w:rPr>
          <w:noProof/>
        </w:rPr>
        <w:t xml:space="preserve"> Arch Intern Med, 2008. </w:t>
      </w:r>
      <w:r w:rsidRPr="00272C06">
        <w:rPr>
          <w:b/>
          <w:noProof/>
        </w:rPr>
        <w:t>168</w:t>
      </w:r>
      <w:r w:rsidRPr="00272C06">
        <w:rPr>
          <w:noProof/>
        </w:rPr>
        <w:t>(11): p. 1209-16.</w:t>
      </w:r>
    </w:p>
    <w:p w14:paraId="4CD53830" w14:textId="77777777" w:rsidR="00671434" w:rsidRPr="00272C06" w:rsidRDefault="00671434" w:rsidP="00671434">
      <w:pPr>
        <w:pStyle w:val="EndNoteBibliography"/>
        <w:ind w:left="720" w:hanging="720"/>
        <w:rPr>
          <w:noProof/>
        </w:rPr>
      </w:pPr>
      <w:r w:rsidRPr="00272C06">
        <w:rPr>
          <w:noProof/>
        </w:rPr>
        <w:t>13.</w:t>
      </w:r>
      <w:r w:rsidRPr="00272C06">
        <w:rPr>
          <w:noProof/>
        </w:rPr>
        <w:tab/>
        <w:t xml:space="preserve">Stovring, H., et al., </w:t>
      </w:r>
      <w:r w:rsidRPr="00272C06">
        <w:rPr>
          <w:i/>
          <w:noProof/>
        </w:rPr>
        <w:t>A competing risk approach for the European Heart SCORE model based on cause-specific and all-cause mortality.</w:t>
      </w:r>
      <w:r w:rsidRPr="00272C06">
        <w:rPr>
          <w:noProof/>
        </w:rPr>
        <w:t xml:space="preserve"> Eur J Prev Cardiol, 2013. </w:t>
      </w:r>
      <w:r w:rsidRPr="00272C06">
        <w:rPr>
          <w:b/>
          <w:noProof/>
        </w:rPr>
        <w:t>20</w:t>
      </w:r>
      <w:r w:rsidRPr="00272C06">
        <w:rPr>
          <w:noProof/>
        </w:rPr>
        <w:t>(5): p. 827-36.</w:t>
      </w:r>
    </w:p>
    <w:p w14:paraId="00D1B573" w14:textId="77777777" w:rsidR="00671434" w:rsidRPr="00AA4791" w:rsidRDefault="00671434" w:rsidP="00AA4791">
      <w:pPr>
        <w:rPr>
          <w:rFonts w:ascii="Arial" w:hAnsi="Arial" w:cs="Arial"/>
          <w:sz w:val="22"/>
          <w:szCs w:val="22"/>
        </w:rPr>
      </w:pPr>
    </w:p>
    <w:sectPr w:rsidR="00671434" w:rsidRPr="00AA4791" w:rsidSect="00524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BC5CC5"/>
    <w:multiLevelType w:val="hybridMultilevel"/>
    <w:tmpl w:val="757CA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791"/>
    <w:rsid w:val="00027D7E"/>
    <w:rsid w:val="00070086"/>
    <w:rsid w:val="000D35E4"/>
    <w:rsid w:val="000F1B92"/>
    <w:rsid w:val="002D7248"/>
    <w:rsid w:val="003C03D8"/>
    <w:rsid w:val="00404869"/>
    <w:rsid w:val="004C06C6"/>
    <w:rsid w:val="00502B36"/>
    <w:rsid w:val="0052442C"/>
    <w:rsid w:val="00570D32"/>
    <w:rsid w:val="00671434"/>
    <w:rsid w:val="007E7B91"/>
    <w:rsid w:val="009431BE"/>
    <w:rsid w:val="009937C4"/>
    <w:rsid w:val="00AA4791"/>
    <w:rsid w:val="00AD3A54"/>
    <w:rsid w:val="00AF4828"/>
    <w:rsid w:val="00BC3CBA"/>
    <w:rsid w:val="00BE2B13"/>
    <w:rsid w:val="00CB6A5A"/>
    <w:rsid w:val="00D60BC5"/>
    <w:rsid w:val="00F8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4AA2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7B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7B91"/>
    <w:rPr>
      <w:rFonts w:ascii="Times New Roman" w:hAnsi="Times New Roman" w:cs="Times New Roman"/>
      <w:sz w:val="18"/>
      <w:szCs w:val="18"/>
    </w:rPr>
  </w:style>
  <w:style w:type="paragraph" w:styleId="ListParagraph">
    <w:name w:val="List Paragraph"/>
    <w:basedOn w:val="Normal"/>
    <w:uiPriority w:val="34"/>
    <w:qFormat/>
    <w:rsid w:val="007E7B91"/>
    <w:pPr>
      <w:ind w:left="720"/>
      <w:contextualSpacing/>
    </w:pPr>
  </w:style>
  <w:style w:type="table" w:styleId="TableGrid">
    <w:name w:val="Table Grid"/>
    <w:basedOn w:val="TableNormal"/>
    <w:uiPriority w:val="39"/>
    <w:rsid w:val="00F870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
    <w:name w:val="EndNote Bibliography"/>
    <w:basedOn w:val="Normal"/>
    <w:rsid w:val="00671434"/>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922</Words>
  <Characters>5256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Alex Hanlon</cp:lastModifiedBy>
  <cp:revision>2</cp:revision>
  <dcterms:created xsi:type="dcterms:W3CDTF">2016-11-10T00:29:00Z</dcterms:created>
  <dcterms:modified xsi:type="dcterms:W3CDTF">2016-11-10T00:29:00Z</dcterms:modified>
</cp:coreProperties>
</file>