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3A5F"/>
          <w:sz w:val="52"/>
        </w:rPr>
        <w:t>DriftSense</w:t>
      </w:r>
    </w:p>
    <w:p>
      <w:pPr>
        <w:spacing w:after="40"/>
        <w:jc w:val="center"/>
      </w:pPr>
      <w:r>
        <w:rPr>
          <w:b w:val="0"/>
          <w:i/>
          <w:sz w:val="24"/>
        </w:rPr>
        <w:t>SRS compliance review and Appendices 8.3 and 8.4</w:t>
      </w:r>
    </w:p>
    <w:p>
      <w:pPr>
        <w:spacing w:after="280"/>
        <w:jc w:val="center"/>
      </w:pPr>
      <w:r>
        <w:rPr>
          <w:b w:val="0"/>
          <w:i w:val="0"/>
          <w:sz w:val="20"/>
        </w:rPr>
        <w:t>BCSE301L Software Engineering  |  Himesh Allani (24BAI1409)</w:t>
      </w:r>
    </w:p>
    <w:p>
      <w:pPr>
        <w:pStyle w:val="Heading1"/>
      </w:pPr>
      <w:r>
        <w:t>1. Summary</w:t>
      </w:r>
    </w:p>
    <w:p>
      <w:pPr>
        <w:spacing w:after="120"/>
      </w:pPr>
      <w:r>
        <w:rPr>
          <w:b w:val="0"/>
          <w:i w:val="0"/>
        </w:rPr>
        <w:t>Every requirement in the SRS (sections 3, 5 and 7) was checked against the code, the tests and real runs. Almost all are met. Three points need to be stated plainly in the report and the viva:</w:t>
      </w:r>
    </w:p>
    <w:p>
      <w:pPr>
        <w:pStyle w:val="ListBullet"/>
        <w:spacing w:after="40"/>
      </w:pPr>
      <w:r>
        <w:rPr>
          <w:b/>
        </w:rPr>
        <w:t xml:space="preserve">A regime shift has not been observed on real data. </w:t>
      </w:r>
      <w:r>
        <w:t>Replaying the detector over about six years of history for all 20 stocks found 310 separate drift episodes: 109 classified Anomaly Spike, 201 No Significant Event and 0 Regime Shift. The Regime Shift path (classification, retraining, promotion gate) is implemented, tested and demonstrated through the Simulation Engine on clearly labelled synthetic data, but acceptance criterion 2 is only met for the anomaly side on real data.</w:t>
      </w:r>
    </w:p>
    <w:p>
      <w:pPr>
        <w:pStyle w:val="ListBullet"/>
        <w:spacing w:after="40"/>
      </w:pPr>
      <w:r>
        <w:rPr>
          <w:b/>
        </w:rPr>
        <w:t xml:space="preserve">Forecast accuracy is about a coin flip. </w:t>
      </w:r>
      <w:r>
        <w:t>Walk-forward direction accuracy averages 50.4% across the 20 stocks (about 600 predictions each). The SRS sets no accuracy target, so no requirement is failed, but the number should be reported honestly.</w:t>
      </w:r>
    </w:p>
    <w:p>
      <w:pPr>
        <w:pStyle w:val="ListBullet"/>
        <w:spacing w:after="40"/>
      </w:pPr>
      <w:r>
        <w:rPr>
          <w:b/>
        </w:rPr>
        <w:t xml:space="preserve">Python 3.10 portability is met by inspection, not by test. </w:t>
      </w:r>
      <w:r>
        <w:t>The code was run on Python 3.12 and 3.13. Two f-strings that needed 3.12 were rewritten; no 3.10 interpreter was available to confirm.</w:t>
      </w:r>
    </w:p>
    <w:p>
      <w:pPr>
        <w:pStyle w:val="Heading1"/>
      </w:pPr>
      <w:r>
        <w:t>2. Requirement-by-requirement review</w:t>
      </w:r>
    </w:p>
    <w:p>
      <w:pPr>
        <w:spacing w:after="120"/>
      </w:pPr>
      <w:r>
        <w:rPr>
          <w:b w:val="0"/>
          <w:i/>
          <w:sz w:val="19"/>
        </w:rPr>
        <w:t>Status key:  Met = implemented and verified.  Met* = met with a note.  Partly = only part is demonstrated.</w:t>
      </w:r>
    </w:p>
    <w:tbl>
      <w:tblPr>
        <w:tblStyle w:val="TableGrid"/>
        <w:tblW w:type="auto" w:w="0"/>
        <w:jc w:val="center"/>
        <w:tblLayout w:type="fixed"/>
        <w:tblLook w:firstColumn="1" w:firstRow="1" w:lastColumn="0" w:lastRow="0" w:noHBand="0" w:noVBand="1" w:val="04A0"/>
      </w:tblPr>
      <w:tblGrid>
        <w:gridCol w:w="1134"/>
        <w:gridCol w:w="2721"/>
        <w:gridCol w:w="850"/>
        <w:gridCol w:w="4932"/>
      </w:tblGrid>
      <w:tr>
        <w:tc>
          <w:tcPr>
            <w:tcW w:type="dxa" w:w="1134"/>
            <w:shd w:val="clear" w:color="auto" w:fill="1F3A5F"/>
          </w:tcPr>
          <w:p>
            <w:r/>
            <w:r>
              <w:rPr>
                <w:b/>
                <w:color w:val="FFFFFF"/>
                <w:sz w:val="19"/>
              </w:rPr>
              <w:t>Req</w:t>
            </w:r>
          </w:p>
        </w:tc>
        <w:tc>
          <w:tcPr>
            <w:tcW w:type="dxa" w:w="2721"/>
            <w:shd w:val="clear" w:color="auto" w:fill="1F3A5F"/>
          </w:tcPr>
          <w:p>
            <w:r/>
            <w:r>
              <w:rPr>
                <w:b/>
                <w:color w:val="FFFFFF"/>
                <w:sz w:val="19"/>
              </w:rPr>
              <w:t>Requirement (short)</w:t>
            </w:r>
          </w:p>
        </w:tc>
        <w:tc>
          <w:tcPr>
            <w:tcW w:type="dxa" w:w="850"/>
            <w:shd w:val="clear" w:color="auto" w:fill="1F3A5F"/>
          </w:tcPr>
          <w:p>
            <w:r/>
            <w:r>
              <w:rPr>
                <w:b/>
                <w:color w:val="FFFFFF"/>
                <w:sz w:val="19"/>
              </w:rPr>
              <w:t>Status</w:t>
            </w:r>
          </w:p>
        </w:tc>
        <w:tc>
          <w:tcPr>
            <w:tcW w:type="dxa" w:w="4932"/>
            <w:shd w:val="clear" w:color="auto" w:fill="1F3A5F"/>
          </w:tcPr>
          <w:p>
            <w:r/>
            <w:r>
              <w:rPr>
                <w:b/>
                <w:color w:val="FFFFFF"/>
                <w:sz w:val="19"/>
              </w:rPr>
              <w:t>Evidence</w:t>
            </w:r>
          </w:p>
        </w:tc>
      </w:tr>
      <w:tr>
        <w:tc>
          <w:tcPr>
            <w:tcW w:type="dxa" w:w="1134"/>
          </w:tcPr>
          <w:p>
            <w:r/>
            <w:r>
              <w:rPr>
                <w:sz w:val="17"/>
              </w:rPr>
              <w:t>FR-1</w:t>
            </w:r>
          </w:p>
        </w:tc>
        <w:tc>
          <w:tcPr>
            <w:tcW w:type="dxa" w:w="2721"/>
          </w:tcPr>
          <w:p>
            <w:r/>
            <w:r>
              <w:rPr>
                <w:sz w:val="17"/>
              </w:rPr>
              <w:t>Ingest historical daily OHLCV via Yahoo Finance</w:t>
            </w:r>
          </w:p>
        </w:tc>
        <w:tc>
          <w:tcPr>
            <w:tcW w:type="dxa" w:w="850"/>
            <w:shd w:val="clear" w:color="auto" w:fill="DDF3E7"/>
          </w:tcPr>
          <w:p>
            <w:r/>
            <w:r>
              <w:rPr>
                <w:b/>
                <w:sz w:val="17"/>
              </w:rPr>
              <w:t>Met</w:t>
            </w:r>
          </w:p>
        </w:tc>
        <w:tc>
          <w:tcPr>
            <w:tcW w:type="dxa" w:w="4932"/>
          </w:tcPr>
          <w:p>
            <w:r/>
            <w:r>
              <w:rPr>
                <w:sz w:val="17"/>
              </w:rPr>
              <w:t>yahoo_ingestor.fetch_historical; 20 stocks, history from 2020-01-02 (about 1,700 rows each)</w:t>
            </w:r>
          </w:p>
        </w:tc>
      </w:tr>
      <w:tr>
        <w:tc>
          <w:tcPr>
            <w:tcW w:type="dxa" w:w="1134"/>
          </w:tcPr>
          <w:p>
            <w:r/>
            <w:r>
              <w:rPr>
                <w:sz w:val="17"/>
              </w:rPr>
              <w:t>FR-2</w:t>
            </w:r>
          </w:p>
        </w:tc>
        <w:tc>
          <w:tcPr>
            <w:tcW w:type="dxa" w:w="2721"/>
          </w:tcPr>
          <w:p>
            <w:r/>
            <w:r>
              <w:rPr>
                <w:sz w:val="17"/>
              </w:rPr>
              <w:t>Baseline model predicts next-day direction</w:t>
            </w:r>
          </w:p>
        </w:tc>
        <w:tc>
          <w:tcPr>
            <w:tcW w:type="dxa" w:w="850"/>
            <w:shd w:val="clear" w:color="auto" w:fill="DDF3E7"/>
          </w:tcPr>
          <w:p>
            <w:r/>
            <w:r>
              <w:rPr>
                <w:b/>
                <w:sz w:val="17"/>
              </w:rPr>
              <w:t>Met</w:t>
            </w:r>
          </w:p>
        </w:tc>
        <w:tc>
          <w:tcPr>
            <w:tcW w:type="dxa" w:w="4932"/>
          </w:tcPr>
          <w:p>
            <w:r/>
            <w:r>
              <w:rPr>
                <w:sz w:val="17"/>
              </w:rPr>
              <w:t>forecasting/train.py (LSTM direction classifier). Accuracy about 50%, see section 1</w:t>
            </w:r>
          </w:p>
        </w:tc>
      </w:tr>
      <w:tr>
        <w:tc>
          <w:tcPr>
            <w:tcW w:type="dxa" w:w="1134"/>
          </w:tcPr>
          <w:p>
            <w:r/>
            <w:r>
              <w:rPr>
                <w:sz w:val="17"/>
              </w:rPr>
              <w:t>FR-3</w:t>
            </w:r>
          </w:p>
        </w:tc>
        <w:tc>
          <w:tcPr>
            <w:tcW w:type="dxa" w:w="2721"/>
          </w:tcPr>
          <w:p>
            <w:r/>
            <w:r>
              <w:rPr>
                <w:sz w:val="17"/>
              </w:rPr>
              <w:t>Poll live data on a schedule into a rolling window</w:t>
            </w:r>
          </w:p>
        </w:tc>
        <w:tc>
          <w:tcPr>
            <w:tcW w:type="dxa" w:w="850"/>
            <w:shd w:val="clear" w:color="auto" w:fill="FFF4D6"/>
          </w:tcPr>
          <w:p>
            <w:r/>
            <w:r>
              <w:rPr>
                <w:b/>
                <w:sz w:val="17"/>
              </w:rPr>
              <w:t>Met*</w:t>
            </w:r>
          </w:p>
        </w:tc>
        <w:tc>
          <w:tcPr>
            <w:tcW w:type="dxa" w:w="4932"/>
          </w:tcPr>
          <w:p>
            <w:r/>
            <w:r>
              <w:rPr>
                <w:sz w:val="17"/>
              </w:rPr>
              <w:t>update_live_window keeps the latest 90 days; scripts/scheduler.py runs all 20 stocks daily at 17:30. It runs only while that process is open; the one-time OS task command is in the README</w:t>
            </w:r>
          </w:p>
        </w:tc>
      </w:tr>
      <w:tr>
        <w:tc>
          <w:tcPr>
            <w:tcW w:type="dxa" w:w="1134"/>
          </w:tcPr>
          <w:p>
            <w:r/>
            <w:r>
              <w:rPr>
                <w:sz w:val="17"/>
              </w:rPr>
              <w:t>FR-4</w:t>
            </w:r>
          </w:p>
        </w:tc>
        <w:tc>
          <w:tcPr>
            <w:tcW w:type="dxa" w:w="2721"/>
          </w:tcPr>
          <w:p>
            <w:r/>
            <w:r>
              <w:rPr>
                <w:sz w:val="17"/>
              </w:rPr>
              <w:t>Statistical drift score, live vs training</w:t>
            </w:r>
          </w:p>
        </w:tc>
        <w:tc>
          <w:tcPr>
            <w:tcW w:type="dxa" w:w="850"/>
            <w:shd w:val="clear" w:color="auto" w:fill="DDF3E7"/>
          </w:tcPr>
          <w:p>
            <w:r/>
            <w:r>
              <w:rPr>
                <w:b/>
                <w:sz w:val="17"/>
              </w:rPr>
              <w:t>Met</w:t>
            </w:r>
          </w:p>
        </w:tc>
        <w:tc>
          <w:tcPr>
            <w:tcW w:type="dxa" w:w="4932"/>
          </w:tcPr>
          <w:p>
            <w:r/>
            <w:r>
              <w:rPr>
                <w:sz w:val="17"/>
              </w:rPr>
              <w:t>drift/detector.compute_drift_score (KS test + PSI), threshold 0.30 in config</w:t>
            </w:r>
          </w:p>
        </w:tc>
      </w:tr>
      <w:tr>
        <w:tc>
          <w:tcPr>
            <w:tcW w:type="dxa" w:w="1134"/>
          </w:tcPr>
          <w:p>
            <w:r/>
            <w:r>
              <w:rPr>
                <w:sz w:val="17"/>
              </w:rPr>
              <w:t>FR-5</w:t>
            </w:r>
          </w:p>
        </w:tc>
        <w:tc>
          <w:tcPr>
            <w:tcW w:type="dxa" w:w="2721"/>
          </w:tcPr>
          <w:p>
            <w:r/>
            <w:r>
              <w:rPr>
                <w:sz w:val="17"/>
              </w:rPr>
              <w:t>Classify Regime Shift vs Anomaly Spike by magnitude, duration, reversion</w:t>
            </w:r>
          </w:p>
        </w:tc>
        <w:tc>
          <w:tcPr>
            <w:tcW w:type="dxa" w:w="850"/>
            <w:shd w:val="clear" w:color="auto" w:fill="FBE3D6"/>
          </w:tcPr>
          <w:p>
            <w:r/>
            <w:r>
              <w:rPr>
                <w:b/>
                <w:sz w:val="17"/>
              </w:rPr>
              <w:t>Partly</w:t>
            </w:r>
          </w:p>
        </w:tc>
        <w:tc>
          <w:tcPr>
            <w:tcW w:type="dxa" w:w="4932"/>
          </w:tcPr>
          <w:p>
            <w:r/>
            <w:r>
              <w:rPr>
                <w:sz w:val="17"/>
              </w:rPr>
              <w:t>drift/classifier.classify_drift with written reasoning. Spike side shown on real data; Regime Shift only on synthetic data (section 3)</w:t>
            </w:r>
          </w:p>
        </w:tc>
      </w:tr>
      <w:tr>
        <w:tc>
          <w:tcPr>
            <w:tcW w:type="dxa" w:w="1134"/>
          </w:tcPr>
          <w:p>
            <w:r/>
            <w:r>
              <w:rPr>
                <w:sz w:val="17"/>
              </w:rPr>
              <w:t>FR-6</w:t>
            </w:r>
          </w:p>
        </w:tc>
        <w:tc>
          <w:tcPr>
            <w:tcW w:type="dxa" w:w="2721"/>
          </w:tcPr>
          <w:p>
            <w:r/>
            <w:r>
              <w:rPr>
                <w:sz w:val="17"/>
              </w:rPr>
              <w:t>SHAP attribution for each drift event</w:t>
            </w:r>
          </w:p>
        </w:tc>
        <w:tc>
          <w:tcPr>
            <w:tcW w:type="dxa" w:w="850"/>
            <w:shd w:val="clear" w:color="auto" w:fill="DDF3E7"/>
          </w:tcPr>
          <w:p>
            <w:r/>
            <w:r>
              <w:rPr>
                <w:b/>
                <w:sz w:val="17"/>
              </w:rPr>
              <w:t>Met</w:t>
            </w:r>
          </w:p>
        </w:tc>
        <w:tc>
          <w:tcPr>
            <w:tcW w:type="dxa" w:w="4932"/>
          </w:tcPr>
          <w:p>
            <w:r/>
            <w:r>
              <w:rPr>
                <w:sz w:val="17"/>
              </w:rPr>
              <w:t>drift/attribution.explain_drift runs for every flagged event; result logged and shown</w:t>
            </w:r>
          </w:p>
        </w:tc>
      </w:tr>
      <w:tr>
        <w:tc>
          <w:tcPr>
            <w:tcW w:type="dxa" w:w="1134"/>
          </w:tcPr>
          <w:p>
            <w:r/>
            <w:r>
              <w:rPr>
                <w:sz w:val="17"/>
              </w:rPr>
              <w:t>FR-7</w:t>
            </w:r>
          </w:p>
        </w:tc>
        <w:tc>
          <w:tcPr>
            <w:tcW w:type="dxa" w:w="2721"/>
          </w:tcPr>
          <w:p>
            <w:r/>
            <w:r>
              <w:rPr>
                <w:sz w:val="17"/>
              </w:rPr>
              <w:t>Retrain only on a Regime Shift</w:t>
            </w:r>
          </w:p>
        </w:tc>
        <w:tc>
          <w:tcPr>
            <w:tcW w:type="dxa" w:w="850"/>
            <w:shd w:val="clear" w:color="auto" w:fill="DDF3E7"/>
          </w:tcPr>
          <w:p>
            <w:r/>
            <w:r>
              <w:rPr>
                <w:b/>
                <w:sz w:val="17"/>
              </w:rPr>
              <w:t>Met</w:t>
            </w:r>
          </w:p>
        </w:tc>
        <w:tc>
          <w:tcPr>
            <w:tcW w:type="dxa" w:w="4932"/>
          </w:tcPr>
          <w:p>
            <w:r/>
            <w:r>
              <w:rPr>
                <w:sz w:val="17"/>
              </w:rPr>
              <w:t>run_daily_cycle calls run_retraining_cycle only when classification is Regime Shift (unit-tested; exercised in the simulator)</w:t>
            </w:r>
          </w:p>
        </w:tc>
      </w:tr>
      <w:tr>
        <w:tc>
          <w:tcPr>
            <w:tcW w:type="dxa" w:w="1134"/>
          </w:tcPr>
          <w:p>
            <w:r/>
            <w:r>
              <w:rPr>
                <w:sz w:val="17"/>
              </w:rPr>
              <w:t>FR-8</w:t>
            </w:r>
          </w:p>
        </w:tc>
        <w:tc>
          <w:tcPr>
            <w:tcW w:type="dxa" w:w="2721"/>
          </w:tcPr>
          <w:p>
            <w:r/>
            <w:r>
              <w:rPr>
                <w:sz w:val="17"/>
              </w:rPr>
              <w:t>Version each model; keep a retraining changelog</w:t>
            </w:r>
          </w:p>
        </w:tc>
        <w:tc>
          <w:tcPr>
            <w:tcW w:type="dxa" w:w="850"/>
            <w:shd w:val="clear" w:color="auto" w:fill="DDF3E7"/>
          </w:tcPr>
          <w:p>
            <w:r/>
            <w:r>
              <w:rPr>
                <w:b/>
                <w:sz w:val="17"/>
              </w:rPr>
              <w:t>Met</w:t>
            </w:r>
          </w:p>
        </w:tc>
        <w:tc>
          <w:tcPr>
            <w:tcW w:type="dxa" w:w="4932"/>
          </w:tcPr>
          <w:p>
            <w:r/>
            <w:r>
              <w:rPr>
                <w:sz w:val="17"/>
              </w:rPr>
              <w:t>models/&lt;ticker&gt;/v&lt;n&gt;/metadata.json, logs/retrain_log.jsonl, and Git tags model/&lt;ticker&gt;/v&lt;n&gt;</w:t>
            </w:r>
          </w:p>
        </w:tc>
      </w:tr>
      <w:tr>
        <w:tc>
          <w:tcPr>
            <w:tcW w:type="dxa" w:w="1134"/>
          </w:tcPr>
          <w:p>
            <w:r/>
            <w:r>
              <w:rPr>
                <w:sz w:val="17"/>
              </w:rPr>
              <w:t>FR-9</w:t>
            </w:r>
          </w:p>
        </w:tc>
        <w:tc>
          <w:tcPr>
            <w:tcW w:type="dxa" w:w="2721"/>
          </w:tcPr>
          <w:p>
            <w:r/>
            <w:r>
              <w:rPr>
                <w:sz w:val="17"/>
              </w:rPr>
              <w:t>Validate a retrained model against a benchmark before promoting</w:t>
            </w:r>
          </w:p>
        </w:tc>
        <w:tc>
          <w:tcPr>
            <w:tcW w:type="dxa" w:w="850"/>
            <w:shd w:val="clear" w:color="auto" w:fill="DDF3E7"/>
          </w:tcPr>
          <w:p>
            <w:r/>
            <w:r>
              <w:rPr>
                <w:b/>
                <w:sz w:val="17"/>
              </w:rPr>
              <w:t>Met</w:t>
            </w:r>
          </w:p>
        </w:tc>
        <w:tc>
          <w:tcPr>
            <w:tcW w:type="dxa" w:w="4932"/>
          </w:tcPr>
          <w:p>
            <w:r/>
            <w:r>
              <w:rPr>
                <w:sz w:val="17"/>
              </w:rPr>
              <w:t>retraining/validator.validate_candidate; never bypassed</w:t>
            </w:r>
          </w:p>
        </w:tc>
      </w:tr>
      <w:tr>
        <w:tc>
          <w:tcPr>
            <w:tcW w:type="dxa" w:w="1134"/>
          </w:tcPr>
          <w:p>
            <w:r/>
            <w:r>
              <w:rPr>
                <w:sz w:val="17"/>
              </w:rPr>
              <w:t>FR-10</w:t>
            </w:r>
          </w:p>
        </w:tc>
        <w:tc>
          <w:tcPr>
            <w:tcW w:type="dxa" w:w="2721"/>
          </w:tcPr>
          <w:p>
            <w:r/>
            <w:r>
              <w:rPr>
                <w:sz w:val="17"/>
              </w:rPr>
              <w:t>Confidence score with every prediction</w:t>
            </w:r>
          </w:p>
        </w:tc>
        <w:tc>
          <w:tcPr>
            <w:tcW w:type="dxa" w:w="850"/>
            <w:shd w:val="clear" w:color="auto" w:fill="DDF3E7"/>
          </w:tcPr>
          <w:p>
            <w:r/>
            <w:r>
              <w:rPr>
                <w:b/>
                <w:sz w:val="17"/>
              </w:rPr>
              <w:t>Met</w:t>
            </w:r>
          </w:p>
        </w:tc>
        <w:tc>
          <w:tcPr>
            <w:tcW w:type="dxa" w:w="4932"/>
          </w:tcPr>
          <w:p>
            <w:r/>
            <w:r>
              <w:rPr>
                <w:sz w:val="17"/>
              </w:rPr>
              <w:t>forecasting/confidence.py, 20 MC-Dropout passes</w:t>
            </w:r>
          </w:p>
        </w:tc>
      </w:tr>
      <w:tr>
        <w:tc>
          <w:tcPr>
            <w:tcW w:type="dxa" w:w="1134"/>
          </w:tcPr>
          <w:p>
            <w:r/>
            <w:r>
              <w:rPr>
                <w:sz w:val="17"/>
              </w:rPr>
              <w:t>FR-11</w:t>
            </w:r>
          </w:p>
        </w:tc>
        <w:tc>
          <w:tcPr>
            <w:tcW w:type="dxa" w:w="2721"/>
          </w:tcPr>
          <w:p>
            <w:r/>
            <w:r>
              <w:rPr>
                <w:sz w:val="17"/>
              </w:rPr>
              <w:t>Abstain below a configurable threshold, shown explicitly</w:t>
            </w:r>
          </w:p>
        </w:tc>
        <w:tc>
          <w:tcPr>
            <w:tcW w:type="dxa" w:w="850"/>
            <w:shd w:val="clear" w:color="auto" w:fill="DDF3E7"/>
          </w:tcPr>
          <w:p>
            <w:r/>
            <w:r>
              <w:rPr>
                <w:b/>
                <w:sz w:val="17"/>
              </w:rPr>
              <w:t>Met</w:t>
            </w:r>
          </w:p>
        </w:tc>
        <w:tc>
          <w:tcPr>
            <w:tcW w:type="dxa" w:w="4932"/>
          </w:tcPr>
          <w:p>
            <w:r/>
            <w:r>
              <w:rPr>
                <w:sz w:val="17"/>
              </w:rPr>
              <w:t>Per-model threshold calibrated from validation data (confidence.abstain_percentile in config); dashboard shows Abstained</w:t>
            </w:r>
          </w:p>
        </w:tc>
      </w:tr>
      <w:tr>
        <w:tc>
          <w:tcPr>
            <w:tcW w:type="dxa" w:w="1134"/>
          </w:tcPr>
          <w:p>
            <w:r/>
            <w:r>
              <w:rPr>
                <w:sz w:val="17"/>
              </w:rPr>
              <w:t>FR-12</w:t>
            </w:r>
          </w:p>
        </w:tc>
        <w:tc>
          <w:tcPr>
            <w:tcW w:type="dxa" w:w="2721"/>
          </w:tcPr>
          <w:p>
            <w:r/>
            <w:r>
              <w:rPr>
                <w:sz w:val="17"/>
              </w:rPr>
              <w:t>Dashboard: predictions, confidence, alerts with cause, retraining history</w:t>
            </w:r>
          </w:p>
        </w:tc>
        <w:tc>
          <w:tcPr>
            <w:tcW w:type="dxa" w:w="850"/>
            <w:shd w:val="clear" w:color="auto" w:fill="DDF3E7"/>
          </w:tcPr>
          <w:p>
            <w:r/>
            <w:r>
              <w:rPr>
                <w:b/>
                <w:sz w:val="17"/>
              </w:rPr>
              <w:t>Met</w:t>
            </w:r>
          </w:p>
        </w:tc>
        <w:tc>
          <w:tcPr>
            <w:tcW w:type="dxa" w:w="4932"/>
          </w:tcPr>
          <w:p>
            <w:r/>
            <w:r>
              <w:rPr>
                <w:sz w:val="17"/>
              </w:rPr>
              <w:t>src/dashboard/app.py (screenshots in 8.4)</w:t>
            </w:r>
          </w:p>
        </w:tc>
      </w:tr>
      <w:tr>
        <w:tc>
          <w:tcPr>
            <w:tcW w:type="dxa" w:w="1134"/>
          </w:tcPr>
          <w:p>
            <w:r/>
            <w:r>
              <w:rPr>
                <w:sz w:val="17"/>
              </w:rPr>
              <w:t>NFR-1</w:t>
            </w:r>
          </w:p>
        </w:tc>
        <w:tc>
          <w:tcPr>
            <w:tcW w:type="dxa" w:w="2721"/>
          </w:tcPr>
          <w:p>
            <w:r/>
            <w:r>
              <w:rPr>
                <w:sz w:val="17"/>
              </w:rPr>
              <w:t>Drift detection within 5 seconds</w:t>
            </w:r>
          </w:p>
        </w:tc>
        <w:tc>
          <w:tcPr>
            <w:tcW w:type="dxa" w:w="850"/>
            <w:shd w:val="clear" w:color="auto" w:fill="DDF3E7"/>
          </w:tcPr>
          <w:p>
            <w:r/>
            <w:r>
              <w:rPr>
                <w:b/>
                <w:sz w:val="17"/>
              </w:rPr>
              <w:t>Met</w:t>
            </w:r>
          </w:p>
        </w:tc>
        <w:tc>
          <w:tcPr>
            <w:tcW w:type="dxa" w:w="4932"/>
          </w:tcPr>
          <w:p>
            <w:r/>
            <w:r>
              <w:rPr>
                <w:sz w:val="17"/>
              </w:rPr>
              <w:t>Measured: mean 1.4 ms, max 2.8 ms over 30 trials</w:t>
            </w:r>
          </w:p>
        </w:tc>
      </w:tr>
      <w:tr>
        <w:tc>
          <w:tcPr>
            <w:tcW w:type="dxa" w:w="1134"/>
          </w:tcPr>
          <w:p>
            <w:r/>
            <w:r>
              <w:rPr>
                <w:sz w:val="17"/>
              </w:rPr>
              <w:t>NFR-2</w:t>
            </w:r>
          </w:p>
        </w:tc>
        <w:tc>
          <w:tcPr>
            <w:tcW w:type="dxa" w:w="2721"/>
          </w:tcPr>
          <w:p>
            <w:r/>
            <w:r>
              <w:rPr>
                <w:sz w:val="17"/>
              </w:rPr>
              <w:t>Stay within Yahoo free-tier limits</w:t>
            </w:r>
          </w:p>
        </w:tc>
        <w:tc>
          <w:tcPr>
            <w:tcW w:type="dxa" w:w="850"/>
            <w:shd w:val="clear" w:color="auto" w:fill="DDF3E7"/>
          </w:tcPr>
          <w:p>
            <w:r/>
            <w:r>
              <w:rPr>
                <w:b/>
                <w:sz w:val="17"/>
              </w:rPr>
              <w:t>Met</w:t>
            </w:r>
          </w:p>
        </w:tc>
        <w:tc>
          <w:tcPr>
            <w:tcW w:type="dxa" w:w="4932"/>
          </w:tcPr>
          <w:p>
            <w:r/>
            <w:r>
              <w:rPr>
                <w:sz w:val="17"/>
              </w:rPr>
              <w:t>ingestion._download spaces requests at least 1 second apart and retries failures with backoff; a 20-stock daily cycle is about 20 requests</w:t>
            </w:r>
          </w:p>
        </w:tc>
      </w:tr>
      <w:tr>
        <w:tc>
          <w:tcPr>
            <w:tcW w:type="dxa" w:w="1134"/>
          </w:tcPr>
          <w:p>
            <w:r/>
            <w:r>
              <w:rPr>
                <w:sz w:val="17"/>
              </w:rPr>
              <w:t>NFR-3</w:t>
            </w:r>
          </w:p>
        </w:tc>
        <w:tc>
          <w:tcPr>
            <w:tcW w:type="dxa" w:w="2721"/>
          </w:tcPr>
          <w:p>
            <w:r/>
            <w:r>
              <w:rPr>
                <w:sz w:val="17"/>
              </w:rPr>
              <w:t>Log every retraining decision and its justification</w:t>
            </w:r>
          </w:p>
        </w:tc>
        <w:tc>
          <w:tcPr>
            <w:tcW w:type="dxa" w:w="850"/>
            <w:shd w:val="clear" w:color="auto" w:fill="DDF3E7"/>
          </w:tcPr>
          <w:p>
            <w:r/>
            <w:r>
              <w:rPr>
                <w:b/>
                <w:sz w:val="17"/>
              </w:rPr>
              <w:t>Met</w:t>
            </w:r>
          </w:p>
        </w:tc>
        <w:tc>
          <w:tcPr>
            <w:tcW w:type="dxa" w:w="4932"/>
          </w:tcPr>
          <w:p>
            <w:r/>
            <w:r>
              <w:rPr>
                <w:sz w:val="17"/>
              </w:rPr>
              <w:t>retrain_log.jsonl: trigger, accuracy before and after, promoted flag, a written justification, and the training-data range</w:t>
            </w:r>
          </w:p>
        </w:tc>
      </w:tr>
      <w:tr>
        <w:tc>
          <w:tcPr>
            <w:tcW w:type="dxa" w:w="1134"/>
          </w:tcPr>
          <w:p>
            <w:r/>
            <w:r>
              <w:rPr>
                <w:sz w:val="17"/>
              </w:rPr>
              <w:t>NFR-4</w:t>
            </w:r>
          </w:p>
        </w:tc>
        <w:tc>
          <w:tcPr>
            <w:tcW w:type="dxa" w:w="2721"/>
          </w:tcPr>
          <w:p>
            <w:r/>
            <w:r>
              <w:rPr>
                <w:sz w:val="17"/>
              </w:rPr>
              <w:t>Dashboard updates within 10 seconds of a new event</w:t>
            </w:r>
          </w:p>
        </w:tc>
        <w:tc>
          <w:tcPr>
            <w:tcW w:type="dxa" w:w="850"/>
            <w:shd w:val="clear" w:color="auto" w:fill="DDF3E7"/>
          </w:tcPr>
          <w:p>
            <w:r/>
            <w:r>
              <w:rPr>
                <w:b/>
                <w:sz w:val="17"/>
              </w:rPr>
              <w:t>Met</w:t>
            </w:r>
          </w:p>
        </w:tc>
        <w:tc>
          <w:tcPr>
            <w:tcW w:type="dxa" w:w="4932"/>
          </w:tcPr>
          <w:p>
            <w:r/>
            <w:r>
              <w:rPr>
                <w:sz w:val="17"/>
              </w:rPr>
              <w:t>The page checks the logs every 5 seconds and reruns when one changes. Measured: refreshed 2 seconds after a log write</w:t>
            </w:r>
          </w:p>
        </w:tc>
      </w:tr>
      <w:tr>
        <w:tc>
          <w:tcPr>
            <w:tcW w:type="dxa" w:w="1134"/>
          </w:tcPr>
          <w:p>
            <w:r/>
            <w:r>
              <w:rPr>
                <w:sz w:val="17"/>
              </w:rPr>
              <w:t>NFR-5</w:t>
            </w:r>
          </w:p>
        </w:tc>
        <w:tc>
          <w:tcPr>
            <w:tcW w:type="dxa" w:w="2721"/>
          </w:tcPr>
          <w:p>
            <w:r/>
            <w:r>
              <w:rPr>
                <w:sz w:val="17"/>
              </w:rPr>
              <w:t>Separate, independently testable modules</w:t>
            </w:r>
          </w:p>
        </w:tc>
        <w:tc>
          <w:tcPr>
            <w:tcW w:type="dxa" w:w="850"/>
            <w:shd w:val="clear" w:color="auto" w:fill="DDF3E7"/>
          </w:tcPr>
          <w:p>
            <w:r/>
            <w:r>
              <w:rPr>
                <w:b/>
                <w:sz w:val="17"/>
              </w:rPr>
              <w:t>Met</w:t>
            </w:r>
          </w:p>
        </w:tc>
        <w:tc>
          <w:tcPr>
            <w:tcW w:type="dxa" w:w="4932"/>
          </w:tcPr>
          <w:p>
            <w:r/>
            <w:r>
              <w:rPr>
                <w:sz w:val="17"/>
              </w:rPr>
              <w:t>ingestion, drift, forecasting, retraining, dashboard, simulation; 88 automated tests</w:t>
            </w:r>
          </w:p>
        </w:tc>
      </w:tr>
      <w:tr>
        <w:tc>
          <w:tcPr>
            <w:tcW w:type="dxa" w:w="1134"/>
          </w:tcPr>
          <w:p>
            <w:r/>
            <w:r>
              <w:rPr>
                <w:sz w:val="17"/>
              </w:rPr>
              <w:t>NFR-6</w:t>
            </w:r>
          </w:p>
        </w:tc>
        <w:tc>
          <w:tcPr>
            <w:tcW w:type="dxa" w:w="2721"/>
          </w:tcPr>
          <w:p>
            <w:r/>
            <w:r>
              <w:rPr>
                <w:sz w:val="17"/>
              </w:rPr>
              <w:t>Measure and report the false-alarm rate</w:t>
            </w:r>
          </w:p>
        </w:tc>
        <w:tc>
          <w:tcPr>
            <w:tcW w:type="dxa" w:w="850"/>
            <w:shd w:val="clear" w:color="auto" w:fill="DDF3E7"/>
          </w:tcPr>
          <w:p>
            <w:r/>
            <w:r>
              <w:rPr>
                <w:b/>
                <w:sz w:val="17"/>
              </w:rPr>
              <w:t>Met</w:t>
            </w:r>
          </w:p>
        </w:tc>
        <w:tc>
          <w:tcPr>
            <w:tcW w:type="dxa" w:w="4932"/>
          </w:tcPr>
          <w:p>
            <w:r/>
            <w:r>
              <w:rPr>
                <w:sz w:val="17"/>
              </w:rPr>
              <w:t>Measured: 2.5% (5 of 200 bootstrap trials)</w:t>
            </w:r>
          </w:p>
        </w:tc>
      </w:tr>
      <w:tr>
        <w:tc>
          <w:tcPr>
            <w:tcW w:type="dxa" w:w="1134"/>
          </w:tcPr>
          <w:p>
            <w:r/>
            <w:r>
              <w:rPr>
                <w:sz w:val="17"/>
              </w:rPr>
              <w:t>3.3</w:t>
            </w:r>
          </w:p>
        </w:tc>
        <w:tc>
          <w:tcPr>
            <w:tcW w:type="dxa" w:w="2721"/>
          </w:tcPr>
          <w:p>
            <w:r/>
            <w:r>
              <w:rPr>
                <w:sz w:val="17"/>
              </w:rPr>
              <w:t>Storage: file-based; versioning via Git tags or DVC</w:t>
            </w:r>
          </w:p>
        </w:tc>
        <w:tc>
          <w:tcPr>
            <w:tcW w:type="dxa" w:w="850"/>
            <w:shd w:val="clear" w:color="auto" w:fill="DDF3E7"/>
          </w:tcPr>
          <w:p>
            <w:r/>
            <w:r>
              <w:rPr>
                <w:b/>
                <w:sz w:val="17"/>
              </w:rPr>
              <w:t>Met</w:t>
            </w:r>
          </w:p>
        </w:tc>
        <w:tc>
          <w:tcPr>
            <w:tcW w:type="dxa" w:w="4932"/>
          </w:tcPr>
          <w:p>
            <w:r/>
            <w:r>
              <w:rPr>
                <w:sz w:val="17"/>
              </w:rPr>
              <w:t>Annotated Git tags model/&lt;ticker&gt;/v&lt;n&gt; carry the model's SHA-256, metrics and data range. Tags are local until pushed with git push --tags. DVC is not used</w:t>
            </w:r>
          </w:p>
        </w:tc>
      </w:tr>
      <w:tr>
        <w:tc>
          <w:tcPr>
            <w:tcW w:type="dxa" w:w="1134"/>
          </w:tcPr>
          <w:p>
            <w:r/>
            <w:r>
              <w:rPr>
                <w:sz w:val="17"/>
              </w:rPr>
              <w:t>3.4</w:t>
            </w:r>
          </w:p>
        </w:tc>
        <w:tc>
          <w:tcPr>
            <w:tcW w:type="dxa" w:w="2721"/>
          </w:tcPr>
          <w:p>
            <w:r/>
            <w:r>
              <w:rPr>
                <w:sz w:val="17"/>
              </w:rPr>
              <w:t>3 to 5 years of history; rolling live window; artifacts with data range, metrics, promotion decision</w:t>
            </w:r>
          </w:p>
        </w:tc>
        <w:tc>
          <w:tcPr>
            <w:tcW w:type="dxa" w:w="850"/>
            <w:shd w:val="clear" w:color="auto" w:fill="DDF3E7"/>
          </w:tcPr>
          <w:p>
            <w:r/>
            <w:r>
              <w:rPr>
                <w:b/>
                <w:sz w:val="17"/>
              </w:rPr>
              <w:t>Met</w:t>
            </w:r>
          </w:p>
        </w:tc>
        <w:tc>
          <w:tcPr>
            <w:tcW w:type="dxa" w:w="4932"/>
          </w:tcPr>
          <w:p>
            <w:r/>
            <w:r>
              <w:rPr>
                <w:sz w:val="17"/>
              </w:rPr>
              <w:t>About 6.7 years of history; 90-day live window; metadata.json holds all three (backfilled for the 20 existing models and checked against the onboarding logs)</w:t>
            </w:r>
          </w:p>
        </w:tc>
      </w:tr>
      <w:tr>
        <w:tc>
          <w:tcPr>
            <w:tcW w:type="dxa" w:w="1134"/>
          </w:tcPr>
          <w:p>
            <w:r/>
            <w:r>
              <w:rPr>
                <w:sz w:val="17"/>
              </w:rPr>
              <w:t>4.4</w:t>
            </w:r>
          </w:p>
        </w:tc>
        <w:tc>
          <w:tcPr>
            <w:tcW w:type="dxa" w:w="2721"/>
          </w:tcPr>
          <w:p>
            <w:r/>
            <w:r>
              <w:rPr>
                <w:sz w:val="17"/>
              </w:rPr>
              <w:t>Class diagram names DataIngestor, DriftDetector, Forecaster and others</w:t>
            </w:r>
          </w:p>
        </w:tc>
        <w:tc>
          <w:tcPr>
            <w:tcW w:type="dxa" w:w="850"/>
            <w:shd w:val="clear" w:color="auto" w:fill="FFF4D6"/>
          </w:tcPr>
          <w:p>
            <w:r/>
            <w:r>
              <w:rPr>
                <w:b/>
                <w:sz w:val="17"/>
              </w:rPr>
              <w:t>Met*</w:t>
            </w:r>
          </w:p>
        </w:tc>
        <w:tc>
          <w:tcPr>
            <w:tcW w:type="dxa" w:w="4932"/>
          </w:tcPr>
          <w:p>
            <w:r/>
            <w:r>
              <w:rPr>
                <w:sz w:val="17"/>
              </w:rPr>
              <w:t>Implemented as Python modules of functions rather than classes; each named class corresponds to a module. Worth one sentence in the report</w:t>
            </w:r>
          </w:p>
        </w:tc>
      </w:tr>
      <w:tr>
        <w:tc>
          <w:tcPr>
            <w:tcW w:type="dxa" w:w="1134"/>
          </w:tcPr>
          <w:p>
            <w:r/>
            <w:r>
              <w:rPr>
                <w:sz w:val="17"/>
              </w:rPr>
              <w:t>5 Reliability</w:t>
            </w:r>
          </w:p>
        </w:tc>
        <w:tc>
          <w:tcPr>
            <w:tcW w:type="dxa" w:w="2721"/>
          </w:tcPr>
          <w:p>
            <w:r/>
            <w:r>
              <w:rPr>
                <w:sz w:val="17"/>
              </w:rPr>
              <w:t>Failures logged and retried, not fatal</w:t>
            </w:r>
          </w:p>
        </w:tc>
        <w:tc>
          <w:tcPr>
            <w:tcW w:type="dxa" w:w="850"/>
            <w:shd w:val="clear" w:color="auto" w:fill="DDF3E7"/>
          </w:tcPr>
          <w:p>
            <w:r/>
            <w:r>
              <w:rPr>
                <w:b/>
                <w:sz w:val="17"/>
              </w:rPr>
              <w:t>Met</w:t>
            </w:r>
          </w:p>
        </w:tc>
        <w:tc>
          <w:tcPr>
            <w:tcW w:type="dxa" w:w="4932"/>
          </w:tcPr>
          <w:p>
            <w:r/>
            <w:r>
              <w:rPr>
                <w:sz w:val="17"/>
              </w:rPr>
              <w:t>Requests retried 3 times; a failed stock is logged to logs/cycle_errors.jsonl and retried once after 5 minutes; one stock failing never stops the others</w:t>
            </w:r>
          </w:p>
        </w:tc>
      </w:tr>
      <w:tr>
        <w:tc>
          <w:tcPr>
            <w:tcW w:type="dxa" w:w="1134"/>
          </w:tcPr>
          <w:p>
            <w:r/>
            <w:r>
              <w:rPr>
                <w:sz w:val="17"/>
              </w:rPr>
              <w:t>5 Availability / Maintainability</w:t>
            </w:r>
          </w:p>
        </w:tc>
        <w:tc>
          <w:tcPr>
            <w:tcW w:type="dxa" w:w="2721"/>
          </w:tcPr>
          <w:p>
            <w:r/>
            <w:r>
              <w:rPr>
                <w:sz w:val="17"/>
              </w:rPr>
              <w:t>On-demand dashboard; modular</w:t>
            </w:r>
          </w:p>
        </w:tc>
        <w:tc>
          <w:tcPr>
            <w:tcW w:type="dxa" w:w="850"/>
            <w:shd w:val="clear" w:color="auto" w:fill="DDF3E7"/>
          </w:tcPr>
          <w:p>
            <w:r/>
            <w:r>
              <w:rPr>
                <w:b/>
                <w:sz w:val="17"/>
              </w:rPr>
              <w:t>Met</w:t>
            </w:r>
          </w:p>
        </w:tc>
        <w:tc>
          <w:tcPr>
            <w:tcW w:type="dxa" w:w="4932"/>
          </w:tcPr>
          <w:p>
            <w:r/>
            <w:r>
              <w:rPr>
                <w:sz w:val="17"/>
              </w:rPr>
              <w:t>start_demo.bat starts both apps; module boundaries as in NFR-5</w:t>
            </w:r>
          </w:p>
        </w:tc>
      </w:tr>
      <w:tr>
        <w:tc>
          <w:tcPr>
            <w:tcW w:type="dxa" w:w="1134"/>
          </w:tcPr>
          <w:p>
            <w:r/>
            <w:r>
              <w:rPr>
                <w:sz w:val="17"/>
              </w:rPr>
              <w:t>5 Security</w:t>
            </w:r>
          </w:p>
        </w:tc>
        <w:tc>
          <w:tcPr>
            <w:tcW w:type="dxa" w:w="2721"/>
          </w:tcPr>
          <w:p>
            <w:r/>
            <w:r>
              <w:rPr>
                <w:sz w:val="17"/>
              </w:rPr>
              <w:t>No personal data; no secrets in version control</w:t>
            </w:r>
          </w:p>
        </w:tc>
        <w:tc>
          <w:tcPr>
            <w:tcW w:type="dxa" w:w="850"/>
            <w:shd w:val="clear" w:color="auto" w:fill="DDF3E7"/>
          </w:tcPr>
          <w:p>
            <w:r/>
            <w:r>
              <w:rPr>
                <w:b/>
                <w:sz w:val="17"/>
              </w:rPr>
              <w:t>Met</w:t>
            </w:r>
          </w:p>
        </w:tc>
        <w:tc>
          <w:tcPr>
            <w:tcW w:type="dxa" w:w="4932"/>
          </w:tcPr>
          <w:p>
            <w:r/>
            <w:r>
              <w:rPr>
                <w:sz w:val="17"/>
              </w:rPr>
              <w:t>Only public market data; data/, models/ and logs/ are git-ignored; no keys are used</w:t>
            </w:r>
          </w:p>
        </w:tc>
      </w:tr>
      <w:tr>
        <w:tc>
          <w:tcPr>
            <w:tcW w:type="dxa" w:w="1134"/>
          </w:tcPr>
          <w:p>
            <w:r/>
            <w:r>
              <w:rPr>
                <w:sz w:val="17"/>
              </w:rPr>
              <w:t>5 Safety</w:t>
            </w:r>
          </w:p>
        </w:tc>
        <w:tc>
          <w:tcPr>
            <w:tcW w:type="dxa" w:w="2721"/>
          </w:tcPr>
          <w:p>
            <w:r/>
            <w:r>
              <w:rPr>
                <w:sz w:val="17"/>
              </w:rPr>
              <w:t>Not-financial-advice disclaimer</w:t>
            </w:r>
          </w:p>
        </w:tc>
        <w:tc>
          <w:tcPr>
            <w:tcW w:type="dxa" w:w="850"/>
            <w:shd w:val="clear" w:color="auto" w:fill="DDF3E7"/>
          </w:tcPr>
          <w:p>
            <w:r/>
            <w:r>
              <w:rPr>
                <w:b/>
                <w:sz w:val="17"/>
              </w:rPr>
              <w:t>Met</w:t>
            </w:r>
          </w:p>
        </w:tc>
        <w:tc>
          <w:tcPr>
            <w:tcW w:type="dxa" w:w="4932"/>
          </w:tcPr>
          <w:p>
            <w:r/>
            <w:r>
              <w:rPr>
                <w:sz w:val="17"/>
              </w:rPr>
              <w:t>On the dashboard footer, the simulator and the README</w:t>
            </w:r>
          </w:p>
        </w:tc>
      </w:tr>
      <w:tr>
        <w:tc>
          <w:tcPr>
            <w:tcW w:type="dxa" w:w="1134"/>
          </w:tcPr>
          <w:p>
            <w:r/>
            <w:r>
              <w:rPr>
                <w:sz w:val="17"/>
              </w:rPr>
              <w:t>5 Portability</w:t>
            </w:r>
          </w:p>
        </w:tc>
        <w:tc>
          <w:tcPr>
            <w:tcW w:type="dxa" w:w="2721"/>
          </w:tcPr>
          <w:p>
            <w:r/>
            <w:r>
              <w:rPr>
                <w:sz w:val="17"/>
              </w:rPr>
              <w:t>Python 3.10+, no platform-specific dependencies</w:t>
            </w:r>
          </w:p>
        </w:tc>
        <w:tc>
          <w:tcPr>
            <w:tcW w:type="dxa" w:w="850"/>
            <w:shd w:val="clear" w:color="auto" w:fill="FFF4D6"/>
          </w:tcPr>
          <w:p>
            <w:r/>
            <w:r>
              <w:rPr>
                <w:b/>
                <w:sz w:val="17"/>
              </w:rPr>
              <w:t>Met*</w:t>
            </w:r>
          </w:p>
        </w:tc>
        <w:tc>
          <w:tcPr>
            <w:tcW w:type="dxa" w:w="4932"/>
          </w:tcPr>
          <w:p>
            <w:r/>
            <w:r>
              <w:rPr>
                <w:sz w:val="17"/>
              </w:rPr>
              <w:t>Core code is cross-platform. Tested on 3.12 and 3.13 only; start_demo.bat is a Windows convenience</w:t>
            </w:r>
          </w:p>
        </w:tc>
      </w:tr>
      <w:tr>
        <w:tc>
          <w:tcPr>
            <w:tcW w:type="dxa" w:w="1134"/>
          </w:tcPr>
          <w:p>
            <w:r/>
            <w:r>
              <w:rPr>
                <w:sz w:val="17"/>
              </w:rPr>
              <w:t>5 Interoperability</w:t>
            </w:r>
          </w:p>
        </w:tc>
        <w:tc>
          <w:tcPr>
            <w:tcW w:type="dxa" w:w="2721"/>
          </w:tcPr>
          <w:p>
            <w:r/>
            <w:r>
              <w:rPr>
                <w:sz w:val="17"/>
              </w:rPr>
              <w:t>Portable model format (pickle/ONNX)</w:t>
            </w:r>
          </w:p>
        </w:tc>
        <w:tc>
          <w:tcPr>
            <w:tcW w:type="dxa" w:w="850"/>
            <w:shd w:val="clear" w:color="auto" w:fill="DDF3E7"/>
          </w:tcPr>
          <w:p>
            <w:r/>
            <w:r>
              <w:rPr>
                <w:b/>
                <w:sz w:val="17"/>
              </w:rPr>
              <w:t>Met</w:t>
            </w:r>
          </w:p>
        </w:tc>
        <w:tc>
          <w:tcPr>
            <w:tcW w:type="dxa" w:w="4932"/>
          </w:tcPr>
          <w:p>
            <w:r/>
            <w:r>
              <w:rPr>
                <w:sz w:val="17"/>
              </w:rPr>
              <w:t>model.pt (PyTorch pickle) plus model.onnx for all 20 models; ONNX output matches PyTorch to 1e-7 (scripts/export_onnx.py)</w:t>
            </w:r>
          </w:p>
        </w:tc>
      </w:tr>
      <w:tr>
        <w:tc>
          <w:tcPr>
            <w:tcW w:type="dxa" w:w="1134"/>
          </w:tcPr>
          <w:p>
            <w:r/>
            <w:r>
              <w:rPr>
                <w:sz w:val="17"/>
              </w:rPr>
              <w:t>7 AC-1</w:t>
            </w:r>
          </w:p>
        </w:tc>
        <w:tc>
          <w:tcPr>
            <w:tcW w:type="dxa" w:w="2721"/>
          </w:tcPr>
          <w:p>
            <w:r/>
            <w:r>
              <w:rPr>
                <w:sz w:val="17"/>
              </w:rPr>
              <w:t>FR-1 to FR-12 implemented and demonstrable</w:t>
            </w:r>
          </w:p>
        </w:tc>
        <w:tc>
          <w:tcPr>
            <w:tcW w:type="dxa" w:w="850"/>
            <w:shd w:val="clear" w:color="auto" w:fill="DDF3E7"/>
          </w:tcPr>
          <w:p>
            <w:r/>
            <w:r>
              <w:rPr>
                <w:b/>
                <w:sz w:val="17"/>
              </w:rPr>
              <w:t>Met</w:t>
            </w:r>
          </w:p>
        </w:tc>
        <w:tc>
          <w:tcPr>
            <w:tcW w:type="dxa" w:w="4932"/>
          </w:tcPr>
          <w:p>
            <w:r/>
            <w:r>
              <w:rPr>
                <w:sz w:val="17"/>
              </w:rPr>
              <w:t>See rows above and the screenshots in 8.4</w:t>
            </w:r>
          </w:p>
        </w:tc>
      </w:tr>
      <w:tr>
        <w:tc>
          <w:tcPr>
            <w:tcW w:type="dxa" w:w="1134"/>
          </w:tcPr>
          <w:p>
            <w:r/>
            <w:r>
              <w:rPr>
                <w:sz w:val="17"/>
              </w:rPr>
              <w:t>7 AC-2</w:t>
            </w:r>
          </w:p>
        </w:tc>
        <w:tc>
          <w:tcPr>
            <w:tcW w:type="dxa" w:w="2721"/>
          </w:tcPr>
          <w:p>
            <w:r/>
            <w:r>
              <w:rPr>
                <w:sz w:val="17"/>
              </w:rPr>
              <w:t>Distinguish a genuine regime shift from an anomaly spike, with reasoning</w:t>
            </w:r>
          </w:p>
        </w:tc>
        <w:tc>
          <w:tcPr>
            <w:tcW w:type="dxa" w:w="850"/>
            <w:shd w:val="clear" w:color="auto" w:fill="FBE3D6"/>
          </w:tcPr>
          <w:p>
            <w:r/>
            <w:r>
              <w:rPr>
                <w:b/>
                <w:sz w:val="17"/>
              </w:rPr>
              <w:t>Partly</w:t>
            </w:r>
          </w:p>
        </w:tc>
        <w:tc>
          <w:tcPr>
            <w:tcW w:type="dxa" w:w="4932"/>
          </w:tcPr>
          <w:p>
            <w:r/>
            <w:r>
              <w:rPr>
                <w:sz w:val="17"/>
              </w:rPr>
              <w:t>Anomaly Spike with reasoning on real data; Regime Shift on labelled synthetic data only (section 3)</w:t>
            </w:r>
          </w:p>
        </w:tc>
      </w:tr>
      <w:tr>
        <w:tc>
          <w:tcPr>
            <w:tcW w:type="dxa" w:w="1134"/>
          </w:tcPr>
          <w:p>
            <w:r/>
            <w:r>
              <w:rPr>
                <w:sz w:val="17"/>
              </w:rPr>
              <w:t>7 AC-3</w:t>
            </w:r>
          </w:p>
        </w:tc>
        <w:tc>
          <w:tcPr>
            <w:tcW w:type="dxa" w:w="2721"/>
          </w:tcPr>
          <w:p>
            <w:r/>
            <w:r>
              <w:rPr>
                <w:sz w:val="17"/>
              </w:rPr>
              <w:t>Attribution identifies a plausible feature for each flagged event</w:t>
            </w:r>
          </w:p>
        </w:tc>
        <w:tc>
          <w:tcPr>
            <w:tcW w:type="dxa" w:w="850"/>
            <w:shd w:val="clear" w:color="auto" w:fill="FFF4D6"/>
          </w:tcPr>
          <w:p>
            <w:r/>
            <w:r>
              <w:rPr>
                <w:b/>
                <w:sz w:val="17"/>
              </w:rPr>
              <w:t>Met*</w:t>
            </w:r>
          </w:p>
        </w:tc>
        <w:tc>
          <w:tcPr>
            <w:tcW w:type="dxa" w:w="4932"/>
          </w:tcPr>
          <w:p>
            <w:r/>
            <w:r>
              <w:rPr>
                <w:sz w:val="17"/>
              </w:rPr>
              <w:t>SHAP runs for every flagged event; whether the named feature is plausible is a judgement and is shown with its explanation text</w:t>
            </w:r>
          </w:p>
        </w:tc>
      </w:tr>
      <w:tr>
        <w:tc>
          <w:tcPr>
            <w:tcW w:type="dxa" w:w="1134"/>
          </w:tcPr>
          <w:p>
            <w:r/>
            <w:r>
              <w:rPr>
                <w:sz w:val="17"/>
              </w:rPr>
              <w:t>7 AC-4</w:t>
            </w:r>
          </w:p>
        </w:tc>
        <w:tc>
          <w:tcPr>
            <w:tcW w:type="dxa" w:w="2721"/>
          </w:tcPr>
          <w:p>
            <w:r/>
            <w:r>
              <w:rPr>
                <w:sz w:val="17"/>
              </w:rPr>
              <w:t>Abstention demonstrated with a clear low-confidence state</w:t>
            </w:r>
          </w:p>
        </w:tc>
        <w:tc>
          <w:tcPr>
            <w:tcW w:type="dxa" w:w="850"/>
            <w:shd w:val="clear" w:color="auto" w:fill="DDF3E7"/>
          </w:tcPr>
          <w:p>
            <w:r/>
            <w:r>
              <w:rPr>
                <w:b/>
                <w:sz w:val="17"/>
              </w:rPr>
              <w:t>Met</w:t>
            </w:r>
          </w:p>
        </w:tc>
        <w:tc>
          <w:tcPr>
            <w:tcW w:type="dxa" w:w="4932"/>
          </w:tcPr>
          <w:p>
            <w:r/>
            <w:r>
              <w:rPr>
                <w:sz w:val="17"/>
              </w:rPr>
              <w:t>AAPL and GOOG currently abstain; see the screenshot in 8.4</w:t>
            </w:r>
          </w:p>
        </w:tc>
      </w:tr>
      <w:tr>
        <w:tc>
          <w:tcPr>
            <w:tcW w:type="dxa" w:w="1134"/>
          </w:tcPr>
          <w:p>
            <w:r/>
            <w:r>
              <w:rPr>
                <w:sz w:val="17"/>
              </w:rPr>
              <w:t>7 AC-5</w:t>
            </w:r>
          </w:p>
        </w:tc>
        <w:tc>
          <w:tcPr>
            <w:tcW w:type="dxa" w:w="2721"/>
          </w:tcPr>
          <w:p>
            <w:r/>
            <w:r>
              <w:rPr>
                <w:sz w:val="17"/>
              </w:rPr>
              <w:t>Underperforming retrained models never promoted</w:t>
            </w:r>
          </w:p>
        </w:tc>
        <w:tc>
          <w:tcPr>
            <w:tcW w:type="dxa" w:w="850"/>
            <w:shd w:val="clear" w:color="auto" w:fill="DDF3E7"/>
          </w:tcPr>
          <w:p>
            <w:r/>
            <w:r>
              <w:rPr>
                <w:b/>
                <w:sz w:val="17"/>
              </w:rPr>
              <w:t>Met</w:t>
            </w:r>
          </w:p>
        </w:tc>
        <w:tc>
          <w:tcPr>
            <w:tcW w:type="dxa" w:w="4932"/>
          </w:tcPr>
          <w:p>
            <w:r/>
            <w:r>
              <w:rPr>
                <w:sz w:val="17"/>
              </w:rPr>
              <w:t>Promotion gate; covered by tests and the simulator's gate decision display</w:t>
            </w:r>
          </w:p>
        </w:tc>
      </w:tr>
      <w:tr>
        <w:tc>
          <w:tcPr>
            <w:tcW w:type="dxa" w:w="1134"/>
          </w:tcPr>
          <w:p>
            <w:r/>
            <w:r>
              <w:rPr>
                <w:sz w:val="17"/>
              </w:rPr>
              <w:t>7 AC-6</w:t>
            </w:r>
          </w:p>
        </w:tc>
        <w:tc>
          <w:tcPr>
            <w:tcW w:type="dxa" w:w="2721"/>
          </w:tcPr>
          <w:p>
            <w:r/>
            <w:r>
              <w:rPr>
                <w:sz w:val="17"/>
              </w:rPr>
              <w:t>Latency and false-alarm benchmarks measured and reported</w:t>
            </w:r>
          </w:p>
        </w:tc>
        <w:tc>
          <w:tcPr>
            <w:tcW w:type="dxa" w:w="850"/>
            <w:shd w:val="clear" w:color="auto" w:fill="DDF3E7"/>
          </w:tcPr>
          <w:p>
            <w:r/>
            <w:r>
              <w:rPr>
                <w:b/>
                <w:sz w:val="17"/>
              </w:rPr>
              <w:t>Met</w:t>
            </w:r>
          </w:p>
        </w:tc>
        <w:tc>
          <w:tcPr>
            <w:tcW w:type="dxa" w:w="4932"/>
          </w:tcPr>
          <w:p>
            <w:r/>
            <w:r>
              <w:rPr>
                <w:sz w:val="17"/>
              </w:rPr>
              <w:t>See NFR-1 and NFR-6 rows and Appendix 8.3.1</w:t>
            </w:r>
          </w:p>
        </w:tc>
      </w:tr>
      <w:tr>
        <w:tc>
          <w:tcPr>
            <w:tcW w:type="dxa" w:w="1134"/>
          </w:tcPr>
          <w:p>
            <w:r/>
            <w:r>
              <w:rPr>
                <w:sz w:val="17"/>
              </w:rPr>
              <w:t>7 AC-7</w:t>
            </w:r>
          </w:p>
        </w:tc>
        <w:tc>
          <w:tcPr>
            <w:tcW w:type="dxa" w:w="2721"/>
          </w:tcPr>
          <w:p>
            <w:r/>
            <w:r>
              <w:rPr>
                <w:sz w:val="17"/>
              </w:rPr>
              <w:t>Dashboard reflects live predictions, alerts and history in the demo</w:t>
            </w:r>
          </w:p>
        </w:tc>
        <w:tc>
          <w:tcPr>
            <w:tcW w:type="dxa" w:w="850"/>
            <w:shd w:val="clear" w:color="auto" w:fill="DDF3E7"/>
          </w:tcPr>
          <w:p>
            <w:r/>
            <w:r>
              <w:rPr>
                <w:b/>
                <w:sz w:val="17"/>
              </w:rPr>
              <w:t>Met</w:t>
            </w:r>
          </w:p>
        </w:tc>
        <w:tc>
          <w:tcPr>
            <w:tcW w:type="dxa" w:w="4932"/>
          </w:tcPr>
          <w:p>
            <w:r/>
            <w:r>
              <w:rPr>
                <w:sz w:val="17"/>
              </w:rPr>
              <w:t>Watchlist shows each stock's latest call; auto-refreshes (NFR-4)</w:t>
            </w:r>
          </w:p>
        </w:tc>
      </w:tr>
    </w:tbl>
    <w:p>
      <w:pPr>
        <w:spacing w:after="40"/>
      </w:pPr>
    </w:p>
    <w:p>
      <w:pPr>
        <w:pStyle w:val="Heading1"/>
      </w:pPr>
      <w:r>
        <w:t>3. Finding: no regime shift has been classified on real data</w:t>
      </w:r>
    </w:p>
    <w:p>
      <w:pPr>
        <w:spacing w:after="120"/>
      </w:pPr>
      <w:r>
        <w:rPr>
          <w:b w:val="0"/>
          <w:i w:val="0"/>
        </w:rPr>
        <w:t>This matters because the system's headline behaviour is retraining on regime shifts, and because acceptance criterion 2 asks for a genuine regime shift to be told apart from a genuine anomaly spike.</w:t>
      </w:r>
    </w:p>
    <w:p>
      <w:pPr>
        <w:spacing w:after="120"/>
      </w:pPr>
      <w:r>
        <w:rPr>
          <w:b w:val="0"/>
          <w:i w:val="0"/>
        </w:rPr>
        <w:t>What was done: scripts/replay_history.py runs the same drift score and classifier the daily cycle uses, one 90-day window at a time, over each stock's real history (every third trading day, after a 250-day warm-up). Nothing is simulated.</w:t>
      </w:r>
    </w:p>
    <w:tbl>
      <w:tblPr>
        <w:tblStyle w:val="TableGrid"/>
        <w:tblW w:type="auto" w:w="0"/>
        <w:jc w:val="center"/>
        <w:tblLayout w:type="fixed"/>
        <w:tblLook w:firstColumn="1" w:firstRow="1" w:lastColumn="0" w:lastRow="0" w:noHBand="0" w:noVBand="1" w:val="04A0"/>
      </w:tblPr>
      <w:tblGrid>
        <w:gridCol w:w="6236"/>
        <w:gridCol w:w="2835"/>
      </w:tblGrid>
      <w:tr>
        <w:tc>
          <w:tcPr>
            <w:tcW w:type="dxa" w:w="6236"/>
            <w:shd w:val="clear" w:color="auto" w:fill="1F3A5F"/>
          </w:tcPr>
          <w:p>
            <w:r/>
            <w:r>
              <w:rPr>
                <w:b/>
                <w:color w:val="FFFFFF"/>
                <w:sz w:val="19"/>
              </w:rPr>
              <w:t>Result (20 stocks, about 6 years)</w:t>
            </w:r>
          </w:p>
        </w:tc>
        <w:tc>
          <w:tcPr>
            <w:tcW w:type="dxa" w:w="2835"/>
            <w:shd w:val="clear" w:color="auto" w:fill="1F3A5F"/>
          </w:tcPr>
          <w:p>
            <w:r/>
            <w:r>
              <w:rPr>
                <w:b/>
                <w:color w:val="FFFFFF"/>
                <w:sz w:val="19"/>
              </w:rPr>
              <w:t>Count</w:t>
            </w:r>
          </w:p>
        </w:tc>
      </w:tr>
      <w:tr>
        <w:tc>
          <w:tcPr>
            <w:tcW w:type="dxa" w:w="6236"/>
          </w:tcPr>
          <w:p>
            <w:r/>
            <w:r>
              <w:rPr>
                <w:sz w:val="19"/>
              </w:rPr>
              <w:t>Windows with drift score above 0.30</w:t>
            </w:r>
          </w:p>
        </w:tc>
        <w:tc>
          <w:tcPr>
            <w:tcW w:type="dxa" w:w="2835"/>
          </w:tcPr>
          <w:p>
            <w:r/>
            <w:r>
              <w:rPr>
                <w:sz w:val="19"/>
              </w:rPr>
              <w:t>3410</w:t>
            </w:r>
          </w:p>
        </w:tc>
      </w:tr>
      <w:tr>
        <w:tc>
          <w:tcPr>
            <w:tcW w:type="dxa" w:w="6236"/>
          </w:tcPr>
          <w:p>
            <w:r/>
            <w:r>
              <w:rPr>
                <w:sz w:val="19"/>
              </w:rPr>
              <w:t>Distinct drift episodes (consecutive windows merged)</w:t>
            </w:r>
          </w:p>
        </w:tc>
        <w:tc>
          <w:tcPr>
            <w:tcW w:type="dxa" w:w="2835"/>
          </w:tcPr>
          <w:p>
            <w:r/>
            <w:r>
              <w:rPr>
                <w:sz w:val="19"/>
              </w:rPr>
              <w:t>310</w:t>
            </w:r>
          </w:p>
        </w:tc>
      </w:tr>
      <w:tr>
        <w:tc>
          <w:tcPr>
            <w:tcW w:type="dxa" w:w="6236"/>
          </w:tcPr>
          <w:p>
            <w:r/>
            <w:r>
              <w:rPr>
                <w:sz w:val="19"/>
              </w:rPr>
              <w:t>Classified Anomaly Spike</w:t>
            </w:r>
          </w:p>
        </w:tc>
        <w:tc>
          <w:tcPr>
            <w:tcW w:type="dxa" w:w="2835"/>
          </w:tcPr>
          <w:p>
            <w:r/>
            <w:r>
              <w:rPr>
                <w:sz w:val="19"/>
              </w:rPr>
              <w:t>109</w:t>
            </w:r>
          </w:p>
        </w:tc>
      </w:tr>
      <w:tr>
        <w:tc>
          <w:tcPr>
            <w:tcW w:type="dxa" w:w="6236"/>
          </w:tcPr>
          <w:p>
            <w:r/>
            <w:r>
              <w:rPr>
                <w:sz w:val="19"/>
              </w:rPr>
              <w:t>Classified No Significant Event</w:t>
            </w:r>
          </w:p>
        </w:tc>
        <w:tc>
          <w:tcPr>
            <w:tcW w:type="dxa" w:w="2835"/>
          </w:tcPr>
          <w:p>
            <w:r/>
            <w:r>
              <w:rPr>
                <w:sz w:val="19"/>
              </w:rPr>
              <w:t>201</w:t>
            </w:r>
          </w:p>
        </w:tc>
      </w:tr>
      <w:tr>
        <w:tc>
          <w:tcPr>
            <w:tcW w:type="dxa" w:w="6236"/>
          </w:tcPr>
          <w:p>
            <w:r/>
            <w:r>
              <w:rPr>
                <w:sz w:val="19"/>
              </w:rPr>
              <w:t>Classified Regime Shift</w:t>
            </w:r>
          </w:p>
        </w:tc>
        <w:tc>
          <w:tcPr>
            <w:tcW w:type="dxa" w:w="2835"/>
          </w:tcPr>
          <w:p>
            <w:r/>
            <w:r>
              <w:rPr>
                <w:sz w:val="19"/>
              </w:rPr>
              <w:t>0</w:t>
            </w:r>
          </w:p>
        </w:tc>
      </w:tr>
    </w:tbl>
    <w:p>
      <w:pPr>
        <w:spacing w:after="40"/>
      </w:pPr>
    </w:p>
    <w:p>
      <w:pPr>
        <w:spacing w:after="120"/>
      </w:pPr>
      <w:r>
        <w:rPr>
          <w:b w:val="0"/>
          <w:i w:val="0"/>
        </w:rPr>
        <w:t>Why: the classifier measures each day's return against the previous 10 days. During a sustained change those 10 days contain the change itself, so the z-score normalises away; a 10-day z-score also cannot exceed 2.85. Five consecutive days above half the spike threshold only happens when each day's move is larger than the one before (an escalating whipsaw). The April 2025 tariff selloff, for example, was classified Anomaly Spike or No Significant Event for the stocks checked.</w:t>
      </w:r>
    </w:p>
    <w:p>
      <w:pPr>
        <w:spacing w:after="160"/>
      </w:pPr>
      <w:r>
        <w:rPr>
          <w:b w:val="0"/>
          <w:i w:val="0"/>
        </w:rPr>
        <w:t>What this means for the report: state that the regime-shift path is implemented, unit-tested and demonstrated on synthetic data through the Simulation Engine, and that no real regime shift occurred in the data under the current heuristic. The SRS itself calls the classifier a heuristic, not a verified detector. A volatility-level test (recent volatility sustained well above the baseline's) would be a more faithful definition of a sustained shift, but it changes the classifier's behaviour and is a design decision, so it has not been made.</w:t>
      </w:r>
    </w:p>
    <w:p>
      <w:pPr>
        <w:pStyle w:val="Heading3"/>
      </w:pPr>
      <w:r>
        <w:t>Examples with the classifier's own reasoning (real data)</w:t>
      </w:r>
    </w:p>
    <w:tbl>
      <w:tblPr>
        <w:tblStyle w:val="TableGrid"/>
        <w:tblW w:type="auto" w:w="0"/>
        <w:jc w:val="center"/>
        <w:tblLayout w:type="fixed"/>
        <w:tblLook w:firstColumn="1" w:firstRow="1" w:lastColumn="0" w:lastRow="0" w:noHBand="0" w:noVBand="1" w:val="04A0"/>
      </w:tblPr>
      <w:tblGrid>
        <w:gridCol w:w="1134"/>
        <w:gridCol w:w="1814"/>
        <w:gridCol w:w="907"/>
        <w:gridCol w:w="1474"/>
        <w:gridCol w:w="3742"/>
      </w:tblGrid>
      <w:tr>
        <w:tc>
          <w:tcPr>
            <w:tcW w:type="dxa" w:w="1134"/>
            <w:shd w:val="clear" w:color="auto" w:fill="1F3A5F"/>
          </w:tcPr>
          <w:p>
            <w:r/>
            <w:r>
              <w:rPr>
                <w:b/>
                <w:color w:val="FFFFFF"/>
                <w:sz w:val="19"/>
              </w:rPr>
              <w:t>Stock</w:t>
            </w:r>
          </w:p>
        </w:tc>
        <w:tc>
          <w:tcPr>
            <w:tcW w:type="dxa" w:w="1814"/>
            <w:shd w:val="clear" w:color="auto" w:fill="1F3A5F"/>
          </w:tcPr>
          <w:p>
            <w:r/>
            <w:r>
              <w:rPr>
                <w:b/>
                <w:color w:val="FFFFFF"/>
                <w:sz w:val="19"/>
              </w:rPr>
              <w:t>Dates</w:t>
            </w:r>
          </w:p>
        </w:tc>
        <w:tc>
          <w:tcPr>
            <w:tcW w:type="dxa" w:w="907"/>
            <w:shd w:val="clear" w:color="auto" w:fill="1F3A5F"/>
          </w:tcPr>
          <w:p>
            <w:r/>
            <w:r>
              <w:rPr>
                <w:b/>
                <w:color w:val="FFFFFF"/>
                <w:sz w:val="19"/>
              </w:rPr>
              <w:t>Peak drift</w:t>
            </w:r>
          </w:p>
        </w:tc>
        <w:tc>
          <w:tcPr>
            <w:tcW w:type="dxa" w:w="1474"/>
            <w:shd w:val="clear" w:color="auto" w:fill="1F3A5F"/>
          </w:tcPr>
          <w:p>
            <w:r/>
            <w:r>
              <w:rPr>
                <w:b/>
                <w:color w:val="FFFFFF"/>
                <w:sz w:val="19"/>
              </w:rPr>
              <w:t>Classification</w:t>
            </w:r>
          </w:p>
        </w:tc>
        <w:tc>
          <w:tcPr>
            <w:tcW w:type="dxa" w:w="3742"/>
            <w:shd w:val="clear" w:color="auto" w:fill="1F3A5F"/>
          </w:tcPr>
          <w:p>
            <w:r/>
            <w:r>
              <w:rPr>
                <w:b/>
                <w:color w:val="FFFFFF"/>
                <w:sz w:val="19"/>
              </w:rPr>
              <w:t>Reasoning (from the code)</w:t>
            </w:r>
          </w:p>
        </w:tc>
      </w:tr>
      <w:tr>
        <w:tc>
          <w:tcPr>
            <w:tcW w:type="dxa" w:w="1134"/>
          </w:tcPr>
          <w:p>
            <w:r/>
            <w:r>
              <w:rPr>
                <w:sz w:val="17"/>
              </w:rPr>
              <w:t>AAPL</w:t>
            </w:r>
          </w:p>
        </w:tc>
        <w:tc>
          <w:tcPr>
            <w:tcW w:type="dxa" w:w="1814"/>
          </w:tcPr>
          <w:p>
            <w:r/>
            <w:r>
              <w:rPr>
                <w:sz w:val="17"/>
              </w:rPr>
              <w:t>2022-04-06 to 2022-04-06</w:t>
            </w:r>
          </w:p>
        </w:tc>
        <w:tc>
          <w:tcPr>
            <w:tcW w:type="dxa" w:w="907"/>
          </w:tcPr>
          <w:p>
            <w:r/>
            <w:r>
              <w:rPr>
                <w:sz w:val="17"/>
              </w:rPr>
              <w:t>0.30</w:t>
            </w:r>
          </w:p>
        </w:tc>
        <w:tc>
          <w:tcPr>
            <w:tcW w:type="dxa" w:w="1474"/>
          </w:tcPr>
          <w:p>
            <w:r/>
            <w:r>
              <w:rPr>
                <w:sz w:val="17"/>
              </w:rPr>
              <w:t>Anomaly Spike</w:t>
            </w:r>
          </w:p>
        </w:tc>
        <w:tc>
          <w:tcPr>
            <w:tcW w:type="dxa" w:w="3742"/>
          </w:tcPr>
          <w:p>
            <w:r/>
            <w:r>
              <w:rPr>
                <w:sz w:val="17"/>
              </w:rPr>
              <w:t>Magnitude 2.71 std exceeded the 2.5 spike threshold; 2/5 of the most recent days stayed elevated. That's within spike_max_duration_days (3), i.e. it reverted quickly — classified as Anomaly Spike, not retrain-worthy.</w:t>
            </w:r>
          </w:p>
        </w:tc>
      </w:tr>
      <w:tr>
        <w:tc>
          <w:tcPr>
            <w:tcW w:type="dxa" w:w="1134"/>
          </w:tcPr>
          <w:p>
            <w:r/>
            <w:r>
              <w:rPr>
                <w:sz w:val="17"/>
              </w:rPr>
              <w:t>AAPL</w:t>
            </w:r>
          </w:p>
        </w:tc>
        <w:tc>
          <w:tcPr>
            <w:tcW w:type="dxa" w:w="1814"/>
          </w:tcPr>
          <w:p>
            <w:r/>
            <w:r>
              <w:rPr>
                <w:sz w:val="17"/>
              </w:rPr>
              <w:t>2024-01-04 to 2024-06-24</w:t>
            </w:r>
          </w:p>
        </w:tc>
        <w:tc>
          <w:tcPr>
            <w:tcW w:type="dxa" w:w="907"/>
          </w:tcPr>
          <w:p>
            <w:r/>
            <w:r>
              <w:rPr>
                <w:sz w:val="17"/>
              </w:rPr>
              <w:t>0.59</w:t>
            </w:r>
          </w:p>
        </w:tc>
        <w:tc>
          <w:tcPr>
            <w:tcW w:type="dxa" w:w="1474"/>
          </w:tcPr>
          <w:p>
            <w:r/>
            <w:r>
              <w:rPr>
                <w:sz w:val="17"/>
              </w:rPr>
              <w:t>Anomaly Spike</w:t>
            </w:r>
          </w:p>
        </w:tc>
        <w:tc>
          <w:tcPr>
            <w:tcW w:type="dxa" w:w="3742"/>
          </w:tcPr>
          <w:p>
            <w:r/>
            <w:r>
              <w:rPr>
                <w:sz w:val="17"/>
              </w:rPr>
              <w:t>Magnitude 2.57 std exceeded the 2.5 spike threshold; 1/5 of the most recent days stayed elevated. That's within spike_max_duration_days (3), i.e. it reverted quickly — classified as Anomaly Spike, not retrain-worthy.</w:t>
            </w:r>
          </w:p>
        </w:tc>
      </w:tr>
      <w:tr>
        <w:tc>
          <w:tcPr>
            <w:tcW w:type="dxa" w:w="1134"/>
          </w:tcPr>
          <w:p>
            <w:r/>
            <w:r>
              <w:rPr>
                <w:sz w:val="17"/>
              </w:rPr>
              <w:t>AAPL</w:t>
            </w:r>
          </w:p>
        </w:tc>
        <w:tc>
          <w:tcPr>
            <w:tcW w:type="dxa" w:w="1814"/>
          </w:tcPr>
          <w:p>
            <w:r/>
            <w:r>
              <w:rPr>
                <w:sz w:val="17"/>
              </w:rPr>
              <w:t>2021-06-03 to 2021-12-14</w:t>
            </w:r>
          </w:p>
        </w:tc>
        <w:tc>
          <w:tcPr>
            <w:tcW w:type="dxa" w:w="907"/>
          </w:tcPr>
          <w:p>
            <w:r/>
            <w:r>
              <w:rPr>
                <w:sz w:val="17"/>
              </w:rPr>
              <w:t>0.59</w:t>
            </w:r>
          </w:p>
        </w:tc>
        <w:tc>
          <w:tcPr>
            <w:tcW w:type="dxa" w:w="1474"/>
          </w:tcPr>
          <w:p>
            <w:r/>
            <w:r>
              <w:rPr>
                <w:sz w:val="17"/>
              </w:rPr>
              <w:t>No Significant Event</w:t>
            </w:r>
          </w:p>
        </w:tc>
        <w:tc>
          <w:tcPr>
            <w:tcW w:type="dxa" w:w="3742"/>
          </w:tcPr>
          <w:p>
            <w:r/>
            <w:r>
              <w:rPr>
                <w:sz w:val="17"/>
              </w:rPr>
              <w:t>No day in the live window exceeded the 2.5-std spike threshold.</w:t>
            </w:r>
          </w:p>
        </w:tc>
      </w:tr>
    </w:tbl>
    <w:p>
      <w:pPr>
        <w:spacing w:after="40"/>
      </w:pPr>
    </w:p>
    <w:p>
      <w:r>
        <w:br w:type="page"/>
      </w:r>
    </w:p>
    <w:p>
      <w:pPr>
        <w:pStyle w:val="Heading1"/>
      </w:pPr>
      <w:r>
        <w:t>Appendix 8.3  Sample Reports</w:t>
      </w:r>
    </w:p>
    <w:p>
      <w:pPr>
        <w:pStyle w:val="Heading2"/>
      </w:pPr>
      <w:r>
        <w:t>8.3.1  Quality-metrics report</w:t>
      </w:r>
    </w:p>
    <w:p>
      <w:pPr>
        <w:spacing w:after="120"/>
      </w:pPr>
      <w:r>
        <w:rPr>
          <w:b w:val="0"/>
          <w:i w:val="0"/>
        </w:rPr>
        <w:t>Walk-forward backtest: 6 folds of 100 test days each, every fold trained only on earlier data, about 600 predictions per stock. Accuracy is the share of correct UP/DOWN calls; an average near 50% means no measurable edge. UP share is the share of calls that were UP.</w:t>
      </w:r>
    </w:p>
    <w:tbl>
      <w:tblPr>
        <w:tblStyle w:val="TableGrid"/>
        <w:tblW w:type="auto" w:w="0"/>
        <w:jc w:val="center"/>
        <w:tblLayout w:type="fixed"/>
        <w:tblLook w:firstColumn="1" w:firstRow="1" w:lastColumn="0" w:lastRow="0" w:noHBand="0" w:noVBand="1" w:val="04A0"/>
      </w:tblPr>
      <w:tblGrid>
        <w:gridCol w:w="1417"/>
        <w:gridCol w:w="2268"/>
        <w:gridCol w:w="1701"/>
        <w:gridCol w:w="1701"/>
        <w:gridCol w:w="1984"/>
      </w:tblGrid>
      <w:tr>
        <w:tc>
          <w:tcPr>
            <w:tcW w:type="dxa" w:w="1417"/>
            <w:shd w:val="clear" w:color="auto" w:fill="1F3A5F"/>
          </w:tcPr>
          <w:p>
            <w:r/>
            <w:r>
              <w:rPr>
                <w:b/>
                <w:color w:val="FFFFFF"/>
                <w:sz w:val="19"/>
              </w:rPr>
              <w:t>Market</w:t>
            </w:r>
          </w:p>
        </w:tc>
        <w:tc>
          <w:tcPr>
            <w:tcW w:type="dxa" w:w="2268"/>
            <w:shd w:val="clear" w:color="auto" w:fill="1F3A5F"/>
          </w:tcPr>
          <w:p>
            <w:r/>
            <w:r>
              <w:rPr>
                <w:b/>
                <w:color w:val="FFFFFF"/>
                <w:sz w:val="19"/>
              </w:rPr>
              <w:t>Stock</w:t>
            </w:r>
          </w:p>
        </w:tc>
        <w:tc>
          <w:tcPr>
            <w:tcW w:type="dxa" w:w="1701"/>
            <w:shd w:val="clear" w:color="auto" w:fill="1F3A5F"/>
          </w:tcPr>
          <w:p>
            <w:r/>
            <w:r>
              <w:rPr>
                <w:b/>
                <w:color w:val="FFFFFF"/>
                <w:sz w:val="19"/>
              </w:rPr>
              <w:t>Accuracy</w:t>
            </w:r>
          </w:p>
        </w:tc>
        <w:tc>
          <w:tcPr>
            <w:tcW w:type="dxa" w:w="1701"/>
            <w:shd w:val="clear" w:color="auto" w:fill="1F3A5F"/>
          </w:tcPr>
          <w:p>
            <w:r/>
            <w:r>
              <w:rPr>
                <w:b/>
                <w:color w:val="FFFFFF"/>
                <w:sz w:val="19"/>
              </w:rPr>
              <w:t>UP share</w:t>
            </w:r>
          </w:p>
        </w:tc>
        <w:tc>
          <w:tcPr>
            <w:tcW w:type="dxa" w:w="1984"/>
            <w:shd w:val="clear" w:color="auto" w:fill="1F3A5F"/>
          </w:tcPr>
          <w:p>
            <w:r/>
            <w:r>
              <w:rPr>
                <w:b/>
                <w:color w:val="FFFFFF"/>
                <w:sz w:val="19"/>
              </w:rPr>
              <w:t>Predictions</w:t>
            </w:r>
          </w:p>
        </w:tc>
      </w:tr>
      <w:tr>
        <w:tc>
          <w:tcPr>
            <w:tcW w:type="dxa" w:w="1417"/>
          </w:tcPr>
          <w:p>
            <w:r/>
            <w:r>
              <w:rPr>
                <w:sz w:val="17"/>
              </w:rPr>
              <w:t>Nasdaq</w:t>
            </w:r>
          </w:p>
        </w:tc>
        <w:tc>
          <w:tcPr>
            <w:tcW w:type="dxa" w:w="2268"/>
          </w:tcPr>
          <w:p>
            <w:r/>
            <w:r>
              <w:rPr>
                <w:sz w:val="17"/>
              </w:rPr>
              <w:t>AAPL</w:t>
            </w:r>
          </w:p>
        </w:tc>
        <w:tc>
          <w:tcPr>
            <w:tcW w:type="dxa" w:w="1701"/>
          </w:tcPr>
          <w:p>
            <w:r/>
            <w:r>
              <w:rPr>
                <w:sz w:val="17"/>
              </w:rPr>
              <w:t>49.9%</w:t>
            </w:r>
          </w:p>
        </w:tc>
        <w:tc>
          <w:tcPr>
            <w:tcW w:type="dxa" w:w="1701"/>
          </w:tcPr>
          <w:p>
            <w:r/>
            <w:r>
              <w:rPr>
                <w:sz w:val="17"/>
              </w:rPr>
              <w:t>63%</w:t>
            </w:r>
          </w:p>
        </w:tc>
        <w:tc>
          <w:tcPr>
            <w:tcW w:type="dxa" w:w="1984"/>
          </w:tcPr>
          <w:p>
            <w:r/>
            <w:r>
              <w:rPr>
                <w:sz w:val="17"/>
              </w:rPr>
              <w:t>599</w:t>
            </w:r>
          </w:p>
        </w:tc>
      </w:tr>
      <w:tr>
        <w:tc>
          <w:tcPr>
            <w:tcW w:type="dxa" w:w="1417"/>
          </w:tcPr>
          <w:p>
            <w:r/>
            <w:r>
              <w:rPr>
                <w:sz w:val="17"/>
              </w:rPr>
              <w:t>Nasdaq</w:t>
            </w:r>
          </w:p>
        </w:tc>
        <w:tc>
          <w:tcPr>
            <w:tcW w:type="dxa" w:w="2268"/>
          </w:tcPr>
          <w:p>
            <w:r/>
            <w:r>
              <w:rPr>
                <w:sz w:val="17"/>
              </w:rPr>
              <w:t>MSFT</w:t>
            </w:r>
          </w:p>
        </w:tc>
        <w:tc>
          <w:tcPr>
            <w:tcW w:type="dxa" w:w="1701"/>
          </w:tcPr>
          <w:p>
            <w:r/>
            <w:r>
              <w:rPr>
                <w:sz w:val="17"/>
              </w:rPr>
              <w:t>49.4%</w:t>
            </w:r>
          </w:p>
        </w:tc>
        <w:tc>
          <w:tcPr>
            <w:tcW w:type="dxa" w:w="1701"/>
          </w:tcPr>
          <w:p>
            <w:r/>
            <w:r>
              <w:rPr>
                <w:sz w:val="17"/>
              </w:rPr>
              <w:t>51%</w:t>
            </w:r>
          </w:p>
        </w:tc>
        <w:tc>
          <w:tcPr>
            <w:tcW w:type="dxa" w:w="1984"/>
          </w:tcPr>
          <w:p>
            <w:r/>
            <w:r>
              <w:rPr>
                <w:sz w:val="17"/>
              </w:rPr>
              <w:t>599</w:t>
            </w:r>
          </w:p>
        </w:tc>
      </w:tr>
      <w:tr>
        <w:tc>
          <w:tcPr>
            <w:tcW w:type="dxa" w:w="1417"/>
          </w:tcPr>
          <w:p>
            <w:r/>
            <w:r>
              <w:rPr>
                <w:sz w:val="17"/>
              </w:rPr>
              <w:t>Nasdaq</w:t>
            </w:r>
          </w:p>
        </w:tc>
        <w:tc>
          <w:tcPr>
            <w:tcW w:type="dxa" w:w="2268"/>
          </w:tcPr>
          <w:p>
            <w:r/>
            <w:r>
              <w:rPr>
                <w:sz w:val="17"/>
              </w:rPr>
              <w:t>NVDA</w:t>
            </w:r>
          </w:p>
        </w:tc>
        <w:tc>
          <w:tcPr>
            <w:tcW w:type="dxa" w:w="1701"/>
          </w:tcPr>
          <w:p>
            <w:r/>
            <w:r>
              <w:rPr>
                <w:sz w:val="17"/>
              </w:rPr>
              <w:t>50.3%</w:t>
            </w:r>
          </w:p>
        </w:tc>
        <w:tc>
          <w:tcPr>
            <w:tcW w:type="dxa" w:w="1701"/>
          </w:tcPr>
          <w:p>
            <w:r/>
            <w:r>
              <w:rPr>
                <w:sz w:val="17"/>
              </w:rPr>
              <w:t>52%</w:t>
            </w:r>
          </w:p>
        </w:tc>
        <w:tc>
          <w:tcPr>
            <w:tcW w:type="dxa" w:w="1984"/>
          </w:tcPr>
          <w:p>
            <w:r/>
            <w:r>
              <w:rPr>
                <w:sz w:val="17"/>
              </w:rPr>
              <w:t>599</w:t>
            </w:r>
          </w:p>
        </w:tc>
      </w:tr>
      <w:tr>
        <w:tc>
          <w:tcPr>
            <w:tcW w:type="dxa" w:w="1417"/>
          </w:tcPr>
          <w:p>
            <w:r/>
            <w:r>
              <w:rPr>
                <w:sz w:val="17"/>
              </w:rPr>
              <w:t>Nasdaq</w:t>
            </w:r>
          </w:p>
        </w:tc>
        <w:tc>
          <w:tcPr>
            <w:tcW w:type="dxa" w:w="2268"/>
          </w:tcPr>
          <w:p>
            <w:r/>
            <w:r>
              <w:rPr>
                <w:sz w:val="17"/>
              </w:rPr>
              <w:t>AMZN</w:t>
            </w:r>
          </w:p>
        </w:tc>
        <w:tc>
          <w:tcPr>
            <w:tcW w:type="dxa" w:w="1701"/>
          </w:tcPr>
          <w:p>
            <w:r/>
            <w:r>
              <w:rPr>
                <w:sz w:val="17"/>
              </w:rPr>
              <w:t>50.4%</w:t>
            </w:r>
          </w:p>
        </w:tc>
        <w:tc>
          <w:tcPr>
            <w:tcW w:type="dxa" w:w="1701"/>
          </w:tcPr>
          <w:p>
            <w:r/>
            <w:r>
              <w:rPr>
                <w:sz w:val="17"/>
              </w:rPr>
              <w:t>53%</w:t>
            </w:r>
          </w:p>
        </w:tc>
        <w:tc>
          <w:tcPr>
            <w:tcW w:type="dxa" w:w="1984"/>
          </w:tcPr>
          <w:p>
            <w:r/>
            <w:r>
              <w:rPr>
                <w:sz w:val="17"/>
              </w:rPr>
              <w:t>599</w:t>
            </w:r>
          </w:p>
        </w:tc>
      </w:tr>
      <w:tr>
        <w:tc>
          <w:tcPr>
            <w:tcW w:type="dxa" w:w="1417"/>
          </w:tcPr>
          <w:p>
            <w:r/>
            <w:r>
              <w:rPr>
                <w:sz w:val="17"/>
              </w:rPr>
              <w:t>Nasdaq</w:t>
            </w:r>
          </w:p>
        </w:tc>
        <w:tc>
          <w:tcPr>
            <w:tcW w:type="dxa" w:w="2268"/>
          </w:tcPr>
          <w:p>
            <w:r/>
            <w:r>
              <w:rPr>
                <w:sz w:val="17"/>
              </w:rPr>
              <w:t>GOOG</w:t>
            </w:r>
          </w:p>
        </w:tc>
        <w:tc>
          <w:tcPr>
            <w:tcW w:type="dxa" w:w="1701"/>
          </w:tcPr>
          <w:p>
            <w:r/>
            <w:r>
              <w:rPr>
                <w:sz w:val="17"/>
              </w:rPr>
              <w:t>49.8%</w:t>
            </w:r>
          </w:p>
        </w:tc>
        <w:tc>
          <w:tcPr>
            <w:tcW w:type="dxa" w:w="1701"/>
          </w:tcPr>
          <w:p>
            <w:r/>
            <w:r>
              <w:rPr>
                <w:sz w:val="17"/>
              </w:rPr>
              <w:t>49%</w:t>
            </w:r>
          </w:p>
        </w:tc>
        <w:tc>
          <w:tcPr>
            <w:tcW w:type="dxa" w:w="1984"/>
          </w:tcPr>
          <w:p>
            <w:r/>
            <w:r>
              <w:rPr>
                <w:sz w:val="17"/>
              </w:rPr>
              <w:t>599</w:t>
            </w:r>
          </w:p>
        </w:tc>
      </w:tr>
      <w:tr>
        <w:tc>
          <w:tcPr>
            <w:tcW w:type="dxa" w:w="1417"/>
          </w:tcPr>
          <w:p>
            <w:r/>
            <w:r>
              <w:rPr>
                <w:sz w:val="17"/>
              </w:rPr>
              <w:t>Nasdaq</w:t>
            </w:r>
          </w:p>
        </w:tc>
        <w:tc>
          <w:tcPr>
            <w:tcW w:type="dxa" w:w="2268"/>
          </w:tcPr>
          <w:p>
            <w:r/>
            <w:r>
              <w:rPr>
                <w:sz w:val="17"/>
              </w:rPr>
              <w:t>META</w:t>
            </w:r>
          </w:p>
        </w:tc>
        <w:tc>
          <w:tcPr>
            <w:tcW w:type="dxa" w:w="1701"/>
          </w:tcPr>
          <w:p>
            <w:r/>
            <w:r>
              <w:rPr>
                <w:sz w:val="17"/>
              </w:rPr>
              <w:t>51.1%</w:t>
            </w:r>
          </w:p>
        </w:tc>
        <w:tc>
          <w:tcPr>
            <w:tcW w:type="dxa" w:w="1701"/>
          </w:tcPr>
          <w:p>
            <w:r/>
            <w:r>
              <w:rPr>
                <w:sz w:val="17"/>
              </w:rPr>
              <w:t>51%</w:t>
            </w:r>
          </w:p>
        </w:tc>
        <w:tc>
          <w:tcPr>
            <w:tcW w:type="dxa" w:w="1984"/>
          </w:tcPr>
          <w:p>
            <w:r/>
            <w:r>
              <w:rPr>
                <w:sz w:val="17"/>
              </w:rPr>
              <w:t>599</w:t>
            </w:r>
          </w:p>
        </w:tc>
      </w:tr>
      <w:tr>
        <w:tc>
          <w:tcPr>
            <w:tcW w:type="dxa" w:w="1417"/>
          </w:tcPr>
          <w:p>
            <w:r/>
            <w:r>
              <w:rPr>
                <w:sz w:val="17"/>
              </w:rPr>
              <w:t>Nasdaq</w:t>
            </w:r>
          </w:p>
        </w:tc>
        <w:tc>
          <w:tcPr>
            <w:tcW w:type="dxa" w:w="2268"/>
          </w:tcPr>
          <w:p>
            <w:r/>
            <w:r>
              <w:rPr>
                <w:sz w:val="17"/>
              </w:rPr>
              <w:t>AVGO</w:t>
            </w:r>
          </w:p>
        </w:tc>
        <w:tc>
          <w:tcPr>
            <w:tcW w:type="dxa" w:w="1701"/>
          </w:tcPr>
          <w:p>
            <w:r/>
            <w:r>
              <w:rPr>
                <w:sz w:val="17"/>
              </w:rPr>
              <w:t>53.3%</w:t>
            </w:r>
          </w:p>
        </w:tc>
        <w:tc>
          <w:tcPr>
            <w:tcW w:type="dxa" w:w="1701"/>
          </w:tcPr>
          <w:p>
            <w:r/>
            <w:r>
              <w:rPr>
                <w:sz w:val="17"/>
              </w:rPr>
              <w:t>56%</w:t>
            </w:r>
          </w:p>
        </w:tc>
        <w:tc>
          <w:tcPr>
            <w:tcW w:type="dxa" w:w="1984"/>
          </w:tcPr>
          <w:p>
            <w:r/>
            <w:r>
              <w:rPr>
                <w:sz w:val="17"/>
              </w:rPr>
              <w:t>599</w:t>
            </w:r>
          </w:p>
        </w:tc>
      </w:tr>
      <w:tr>
        <w:tc>
          <w:tcPr>
            <w:tcW w:type="dxa" w:w="1417"/>
          </w:tcPr>
          <w:p>
            <w:r/>
            <w:r>
              <w:rPr>
                <w:sz w:val="17"/>
              </w:rPr>
              <w:t>Nasdaq</w:t>
            </w:r>
          </w:p>
        </w:tc>
        <w:tc>
          <w:tcPr>
            <w:tcW w:type="dxa" w:w="2268"/>
          </w:tcPr>
          <w:p>
            <w:r/>
            <w:r>
              <w:rPr>
                <w:sz w:val="17"/>
              </w:rPr>
              <w:t>TSLA</w:t>
            </w:r>
          </w:p>
        </w:tc>
        <w:tc>
          <w:tcPr>
            <w:tcW w:type="dxa" w:w="1701"/>
          </w:tcPr>
          <w:p>
            <w:r/>
            <w:r>
              <w:rPr>
                <w:sz w:val="17"/>
              </w:rPr>
              <w:t>51.3%</w:t>
            </w:r>
          </w:p>
        </w:tc>
        <w:tc>
          <w:tcPr>
            <w:tcW w:type="dxa" w:w="1701"/>
          </w:tcPr>
          <w:p>
            <w:r/>
            <w:r>
              <w:rPr>
                <w:sz w:val="17"/>
              </w:rPr>
              <w:t>52%</w:t>
            </w:r>
          </w:p>
        </w:tc>
        <w:tc>
          <w:tcPr>
            <w:tcW w:type="dxa" w:w="1984"/>
          </w:tcPr>
          <w:p>
            <w:r/>
            <w:r>
              <w:rPr>
                <w:sz w:val="17"/>
              </w:rPr>
              <w:t>599</w:t>
            </w:r>
          </w:p>
        </w:tc>
      </w:tr>
      <w:tr>
        <w:tc>
          <w:tcPr>
            <w:tcW w:type="dxa" w:w="1417"/>
          </w:tcPr>
          <w:p>
            <w:r/>
            <w:r>
              <w:rPr>
                <w:sz w:val="17"/>
              </w:rPr>
              <w:t>Nasdaq</w:t>
            </w:r>
          </w:p>
        </w:tc>
        <w:tc>
          <w:tcPr>
            <w:tcW w:type="dxa" w:w="2268"/>
          </w:tcPr>
          <w:p>
            <w:r/>
            <w:r>
              <w:rPr>
                <w:sz w:val="17"/>
              </w:rPr>
              <w:t>COST</w:t>
            </w:r>
          </w:p>
        </w:tc>
        <w:tc>
          <w:tcPr>
            <w:tcW w:type="dxa" w:w="1701"/>
          </w:tcPr>
          <w:p>
            <w:r/>
            <w:r>
              <w:rPr>
                <w:sz w:val="17"/>
              </w:rPr>
              <w:t>54.1%</w:t>
            </w:r>
          </w:p>
        </w:tc>
        <w:tc>
          <w:tcPr>
            <w:tcW w:type="dxa" w:w="1701"/>
          </w:tcPr>
          <w:p>
            <w:r/>
            <w:r>
              <w:rPr>
                <w:sz w:val="17"/>
              </w:rPr>
              <w:t>53%</w:t>
            </w:r>
          </w:p>
        </w:tc>
        <w:tc>
          <w:tcPr>
            <w:tcW w:type="dxa" w:w="1984"/>
          </w:tcPr>
          <w:p>
            <w:r/>
            <w:r>
              <w:rPr>
                <w:sz w:val="17"/>
              </w:rPr>
              <w:t>599</w:t>
            </w:r>
          </w:p>
        </w:tc>
      </w:tr>
      <w:tr>
        <w:tc>
          <w:tcPr>
            <w:tcW w:type="dxa" w:w="1417"/>
          </w:tcPr>
          <w:p>
            <w:r/>
            <w:r>
              <w:rPr>
                <w:sz w:val="17"/>
              </w:rPr>
              <w:t>Nasdaq</w:t>
            </w:r>
          </w:p>
        </w:tc>
        <w:tc>
          <w:tcPr>
            <w:tcW w:type="dxa" w:w="2268"/>
          </w:tcPr>
          <w:p>
            <w:r/>
            <w:r>
              <w:rPr>
                <w:sz w:val="17"/>
              </w:rPr>
              <w:t>NFLX</w:t>
            </w:r>
          </w:p>
        </w:tc>
        <w:tc>
          <w:tcPr>
            <w:tcW w:type="dxa" w:w="1701"/>
          </w:tcPr>
          <w:p>
            <w:r/>
            <w:r>
              <w:rPr>
                <w:sz w:val="17"/>
              </w:rPr>
              <w:t>49.7%</w:t>
            </w:r>
          </w:p>
        </w:tc>
        <w:tc>
          <w:tcPr>
            <w:tcW w:type="dxa" w:w="1701"/>
          </w:tcPr>
          <w:p>
            <w:r/>
            <w:r>
              <w:rPr>
                <w:sz w:val="17"/>
              </w:rPr>
              <w:t>49%</w:t>
            </w:r>
          </w:p>
        </w:tc>
        <w:tc>
          <w:tcPr>
            <w:tcW w:type="dxa" w:w="1984"/>
          </w:tcPr>
          <w:p>
            <w:r/>
            <w:r>
              <w:rPr>
                <w:sz w:val="17"/>
              </w:rPr>
              <w:t>599</w:t>
            </w:r>
          </w:p>
        </w:tc>
      </w:tr>
      <w:tr>
        <w:tc>
          <w:tcPr>
            <w:tcW w:type="dxa" w:w="1417"/>
          </w:tcPr>
          <w:p>
            <w:r/>
            <w:r>
              <w:rPr>
                <w:sz w:val="17"/>
              </w:rPr>
              <w:t>NSE</w:t>
            </w:r>
          </w:p>
        </w:tc>
        <w:tc>
          <w:tcPr>
            <w:tcW w:type="dxa" w:w="2268"/>
          </w:tcPr>
          <w:p>
            <w:r/>
            <w:r>
              <w:rPr>
                <w:sz w:val="17"/>
              </w:rPr>
              <w:t>RELIANCE.NS</w:t>
            </w:r>
          </w:p>
        </w:tc>
        <w:tc>
          <w:tcPr>
            <w:tcW w:type="dxa" w:w="1701"/>
          </w:tcPr>
          <w:p>
            <w:r/>
            <w:r>
              <w:rPr>
                <w:sz w:val="17"/>
              </w:rPr>
              <w:t>49.4%</w:t>
            </w:r>
          </w:p>
        </w:tc>
        <w:tc>
          <w:tcPr>
            <w:tcW w:type="dxa" w:w="1701"/>
          </w:tcPr>
          <w:p>
            <w:r/>
            <w:r>
              <w:rPr>
                <w:sz w:val="17"/>
              </w:rPr>
              <w:t>51%</w:t>
            </w:r>
          </w:p>
        </w:tc>
        <w:tc>
          <w:tcPr>
            <w:tcW w:type="dxa" w:w="1984"/>
          </w:tcPr>
          <w:p>
            <w:r/>
            <w:r>
              <w:rPr>
                <w:sz w:val="17"/>
              </w:rPr>
              <w:t>599</w:t>
            </w:r>
          </w:p>
        </w:tc>
      </w:tr>
      <w:tr>
        <w:tc>
          <w:tcPr>
            <w:tcW w:type="dxa" w:w="1417"/>
          </w:tcPr>
          <w:p>
            <w:r/>
            <w:r>
              <w:rPr>
                <w:sz w:val="17"/>
              </w:rPr>
              <w:t>NSE</w:t>
            </w:r>
          </w:p>
        </w:tc>
        <w:tc>
          <w:tcPr>
            <w:tcW w:type="dxa" w:w="2268"/>
          </w:tcPr>
          <w:p>
            <w:r/>
            <w:r>
              <w:rPr>
                <w:sz w:val="17"/>
              </w:rPr>
              <w:t>TCS.NS</w:t>
            </w:r>
          </w:p>
        </w:tc>
        <w:tc>
          <w:tcPr>
            <w:tcW w:type="dxa" w:w="1701"/>
          </w:tcPr>
          <w:p>
            <w:r/>
            <w:r>
              <w:rPr>
                <w:sz w:val="17"/>
              </w:rPr>
              <w:t>46.1%</w:t>
            </w:r>
          </w:p>
        </w:tc>
        <w:tc>
          <w:tcPr>
            <w:tcW w:type="dxa" w:w="1701"/>
          </w:tcPr>
          <w:p>
            <w:r/>
            <w:r>
              <w:rPr>
                <w:sz w:val="17"/>
              </w:rPr>
              <w:t>50%</w:t>
            </w:r>
          </w:p>
        </w:tc>
        <w:tc>
          <w:tcPr>
            <w:tcW w:type="dxa" w:w="1984"/>
          </w:tcPr>
          <w:p>
            <w:r/>
            <w:r>
              <w:rPr>
                <w:sz w:val="17"/>
              </w:rPr>
              <w:t>599</w:t>
            </w:r>
          </w:p>
        </w:tc>
      </w:tr>
      <w:tr>
        <w:tc>
          <w:tcPr>
            <w:tcW w:type="dxa" w:w="1417"/>
          </w:tcPr>
          <w:p>
            <w:r/>
            <w:r>
              <w:rPr>
                <w:sz w:val="17"/>
              </w:rPr>
              <w:t>NSE</w:t>
            </w:r>
          </w:p>
        </w:tc>
        <w:tc>
          <w:tcPr>
            <w:tcW w:type="dxa" w:w="2268"/>
          </w:tcPr>
          <w:p>
            <w:r/>
            <w:r>
              <w:rPr>
                <w:sz w:val="17"/>
              </w:rPr>
              <w:t>HDFCBANK.NS</w:t>
            </w:r>
          </w:p>
        </w:tc>
        <w:tc>
          <w:tcPr>
            <w:tcW w:type="dxa" w:w="1701"/>
          </w:tcPr>
          <w:p>
            <w:r/>
            <w:r>
              <w:rPr>
                <w:sz w:val="17"/>
              </w:rPr>
              <w:t>48.1%</w:t>
            </w:r>
          </w:p>
        </w:tc>
        <w:tc>
          <w:tcPr>
            <w:tcW w:type="dxa" w:w="1701"/>
          </w:tcPr>
          <w:p>
            <w:r/>
            <w:r>
              <w:rPr>
                <w:sz w:val="17"/>
              </w:rPr>
              <w:t>58%</w:t>
            </w:r>
          </w:p>
        </w:tc>
        <w:tc>
          <w:tcPr>
            <w:tcW w:type="dxa" w:w="1984"/>
          </w:tcPr>
          <w:p>
            <w:r/>
            <w:r>
              <w:rPr>
                <w:sz w:val="17"/>
              </w:rPr>
              <w:t>599</w:t>
            </w:r>
          </w:p>
        </w:tc>
      </w:tr>
      <w:tr>
        <w:tc>
          <w:tcPr>
            <w:tcW w:type="dxa" w:w="1417"/>
          </w:tcPr>
          <w:p>
            <w:r/>
            <w:r>
              <w:rPr>
                <w:sz w:val="17"/>
              </w:rPr>
              <w:t>NSE</w:t>
            </w:r>
          </w:p>
        </w:tc>
        <w:tc>
          <w:tcPr>
            <w:tcW w:type="dxa" w:w="2268"/>
          </w:tcPr>
          <w:p>
            <w:r/>
            <w:r>
              <w:rPr>
                <w:sz w:val="17"/>
              </w:rPr>
              <w:t>ICICIBANK.NS</w:t>
            </w:r>
          </w:p>
        </w:tc>
        <w:tc>
          <w:tcPr>
            <w:tcW w:type="dxa" w:w="1701"/>
          </w:tcPr>
          <w:p>
            <w:r/>
            <w:r>
              <w:rPr>
                <w:sz w:val="17"/>
              </w:rPr>
              <w:t>49.4%</w:t>
            </w:r>
          </w:p>
        </w:tc>
        <w:tc>
          <w:tcPr>
            <w:tcW w:type="dxa" w:w="1701"/>
          </w:tcPr>
          <w:p>
            <w:r/>
            <w:r>
              <w:rPr>
                <w:sz w:val="17"/>
              </w:rPr>
              <w:t>48%</w:t>
            </w:r>
          </w:p>
        </w:tc>
        <w:tc>
          <w:tcPr>
            <w:tcW w:type="dxa" w:w="1984"/>
          </w:tcPr>
          <w:p>
            <w:r/>
            <w:r>
              <w:rPr>
                <w:sz w:val="17"/>
              </w:rPr>
              <w:t>599</w:t>
            </w:r>
          </w:p>
        </w:tc>
      </w:tr>
      <w:tr>
        <w:tc>
          <w:tcPr>
            <w:tcW w:type="dxa" w:w="1417"/>
          </w:tcPr>
          <w:p>
            <w:r/>
            <w:r>
              <w:rPr>
                <w:sz w:val="17"/>
              </w:rPr>
              <w:t>NSE</w:t>
            </w:r>
          </w:p>
        </w:tc>
        <w:tc>
          <w:tcPr>
            <w:tcW w:type="dxa" w:w="2268"/>
          </w:tcPr>
          <w:p>
            <w:r/>
            <w:r>
              <w:rPr>
                <w:sz w:val="17"/>
              </w:rPr>
              <w:t>BHARTIARTL.NS</w:t>
            </w:r>
          </w:p>
        </w:tc>
        <w:tc>
          <w:tcPr>
            <w:tcW w:type="dxa" w:w="1701"/>
          </w:tcPr>
          <w:p>
            <w:r/>
            <w:r>
              <w:rPr>
                <w:sz w:val="17"/>
              </w:rPr>
              <w:t>51.3%</w:t>
            </w:r>
          </w:p>
        </w:tc>
        <w:tc>
          <w:tcPr>
            <w:tcW w:type="dxa" w:w="1701"/>
          </w:tcPr>
          <w:p>
            <w:r/>
            <w:r>
              <w:rPr>
                <w:sz w:val="17"/>
              </w:rPr>
              <w:t>48%</w:t>
            </w:r>
          </w:p>
        </w:tc>
        <w:tc>
          <w:tcPr>
            <w:tcW w:type="dxa" w:w="1984"/>
          </w:tcPr>
          <w:p>
            <w:r/>
            <w:r>
              <w:rPr>
                <w:sz w:val="17"/>
              </w:rPr>
              <w:t>599</w:t>
            </w:r>
          </w:p>
        </w:tc>
      </w:tr>
      <w:tr>
        <w:tc>
          <w:tcPr>
            <w:tcW w:type="dxa" w:w="1417"/>
          </w:tcPr>
          <w:p>
            <w:r/>
            <w:r>
              <w:rPr>
                <w:sz w:val="17"/>
              </w:rPr>
              <w:t>NSE</w:t>
            </w:r>
          </w:p>
        </w:tc>
        <w:tc>
          <w:tcPr>
            <w:tcW w:type="dxa" w:w="2268"/>
          </w:tcPr>
          <w:p>
            <w:r/>
            <w:r>
              <w:rPr>
                <w:sz w:val="17"/>
              </w:rPr>
              <w:t>INFY.NS</w:t>
            </w:r>
          </w:p>
        </w:tc>
        <w:tc>
          <w:tcPr>
            <w:tcW w:type="dxa" w:w="1701"/>
          </w:tcPr>
          <w:p>
            <w:r/>
            <w:r>
              <w:rPr>
                <w:sz w:val="17"/>
              </w:rPr>
              <w:t>51.4%</w:t>
            </w:r>
          </w:p>
        </w:tc>
        <w:tc>
          <w:tcPr>
            <w:tcW w:type="dxa" w:w="1701"/>
          </w:tcPr>
          <w:p>
            <w:r/>
            <w:r>
              <w:rPr>
                <w:sz w:val="17"/>
              </w:rPr>
              <w:t>55%</w:t>
            </w:r>
          </w:p>
        </w:tc>
        <w:tc>
          <w:tcPr>
            <w:tcW w:type="dxa" w:w="1984"/>
          </w:tcPr>
          <w:p>
            <w:r/>
            <w:r>
              <w:rPr>
                <w:sz w:val="17"/>
              </w:rPr>
              <w:t>599</w:t>
            </w:r>
          </w:p>
        </w:tc>
      </w:tr>
      <w:tr>
        <w:tc>
          <w:tcPr>
            <w:tcW w:type="dxa" w:w="1417"/>
          </w:tcPr>
          <w:p>
            <w:r/>
            <w:r>
              <w:rPr>
                <w:sz w:val="17"/>
              </w:rPr>
              <w:t>NSE</w:t>
            </w:r>
          </w:p>
        </w:tc>
        <w:tc>
          <w:tcPr>
            <w:tcW w:type="dxa" w:w="2268"/>
          </w:tcPr>
          <w:p>
            <w:r/>
            <w:r>
              <w:rPr>
                <w:sz w:val="17"/>
              </w:rPr>
              <w:t>SBIN.NS</w:t>
            </w:r>
          </w:p>
        </w:tc>
        <w:tc>
          <w:tcPr>
            <w:tcW w:type="dxa" w:w="1701"/>
          </w:tcPr>
          <w:p>
            <w:r/>
            <w:r>
              <w:rPr>
                <w:sz w:val="17"/>
              </w:rPr>
              <w:t>51.1%</w:t>
            </w:r>
          </w:p>
        </w:tc>
        <w:tc>
          <w:tcPr>
            <w:tcW w:type="dxa" w:w="1701"/>
          </w:tcPr>
          <w:p>
            <w:r/>
            <w:r>
              <w:rPr>
                <w:sz w:val="17"/>
              </w:rPr>
              <w:t>50%</w:t>
            </w:r>
          </w:p>
        </w:tc>
        <w:tc>
          <w:tcPr>
            <w:tcW w:type="dxa" w:w="1984"/>
          </w:tcPr>
          <w:p>
            <w:r/>
            <w:r>
              <w:rPr>
                <w:sz w:val="17"/>
              </w:rPr>
              <w:t>599</w:t>
            </w:r>
          </w:p>
        </w:tc>
      </w:tr>
      <w:tr>
        <w:tc>
          <w:tcPr>
            <w:tcW w:type="dxa" w:w="1417"/>
          </w:tcPr>
          <w:p>
            <w:r/>
            <w:r>
              <w:rPr>
                <w:sz w:val="17"/>
              </w:rPr>
              <w:t>NSE</w:t>
            </w:r>
          </w:p>
        </w:tc>
        <w:tc>
          <w:tcPr>
            <w:tcW w:type="dxa" w:w="2268"/>
          </w:tcPr>
          <w:p>
            <w:r/>
            <w:r>
              <w:rPr>
                <w:sz w:val="17"/>
              </w:rPr>
              <w:t>ITC.NS</w:t>
            </w:r>
          </w:p>
        </w:tc>
        <w:tc>
          <w:tcPr>
            <w:tcW w:type="dxa" w:w="1701"/>
          </w:tcPr>
          <w:p>
            <w:r/>
            <w:r>
              <w:rPr>
                <w:sz w:val="17"/>
              </w:rPr>
              <w:t>50.6%</w:t>
            </w:r>
          </w:p>
        </w:tc>
        <w:tc>
          <w:tcPr>
            <w:tcW w:type="dxa" w:w="1701"/>
          </w:tcPr>
          <w:p>
            <w:r/>
            <w:r>
              <w:rPr>
                <w:sz w:val="17"/>
              </w:rPr>
              <w:t>50%</w:t>
            </w:r>
          </w:p>
        </w:tc>
        <w:tc>
          <w:tcPr>
            <w:tcW w:type="dxa" w:w="1984"/>
          </w:tcPr>
          <w:p>
            <w:r/>
            <w:r>
              <w:rPr>
                <w:sz w:val="17"/>
              </w:rPr>
              <w:t>599</w:t>
            </w:r>
          </w:p>
        </w:tc>
      </w:tr>
      <w:tr>
        <w:tc>
          <w:tcPr>
            <w:tcW w:type="dxa" w:w="1417"/>
          </w:tcPr>
          <w:p>
            <w:r/>
            <w:r>
              <w:rPr>
                <w:sz w:val="17"/>
              </w:rPr>
              <w:t>NSE</w:t>
            </w:r>
          </w:p>
        </w:tc>
        <w:tc>
          <w:tcPr>
            <w:tcW w:type="dxa" w:w="2268"/>
          </w:tcPr>
          <w:p>
            <w:r/>
            <w:r>
              <w:rPr>
                <w:sz w:val="17"/>
              </w:rPr>
              <w:t>HINDUNILVR.NS</w:t>
            </w:r>
          </w:p>
        </w:tc>
        <w:tc>
          <w:tcPr>
            <w:tcW w:type="dxa" w:w="1701"/>
          </w:tcPr>
          <w:p>
            <w:r/>
            <w:r>
              <w:rPr>
                <w:sz w:val="17"/>
              </w:rPr>
              <w:t>52.3%</w:t>
            </w:r>
          </w:p>
        </w:tc>
        <w:tc>
          <w:tcPr>
            <w:tcW w:type="dxa" w:w="1701"/>
          </w:tcPr>
          <w:p>
            <w:r/>
            <w:r>
              <w:rPr>
                <w:sz w:val="17"/>
              </w:rPr>
              <w:t>48%</w:t>
            </w:r>
          </w:p>
        </w:tc>
        <w:tc>
          <w:tcPr>
            <w:tcW w:type="dxa" w:w="1984"/>
          </w:tcPr>
          <w:p>
            <w:r/>
            <w:r>
              <w:rPr>
                <w:sz w:val="17"/>
              </w:rPr>
              <w:t>599</w:t>
            </w:r>
          </w:p>
        </w:tc>
      </w:tr>
      <w:tr>
        <w:tc>
          <w:tcPr>
            <w:tcW w:type="dxa" w:w="1417"/>
          </w:tcPr>
          <w:p>
            <w:r/>
            <w:r>
              <w:rPr>
                <w:sz w:val="17"/>
              </w:rPr>
              <w:t>NSE</w:t>
            </w:r>
          </w:p>
        </w:tc>
        <w:tc>
          <w:tcPr>
            <w:tcW w:type="dxa" w:w="2268"/>
          </w:tcPr>
          <w:p>
            <w:r/>
            <w:r>
              <w:rPr>
                <w:sz w:val="17"/>
              </w:rPr>
              <w:t>LT.NS</w:t>
            </w:r>
          </w:p>
        </w:tc>
        <w:tc>
          <w:tcPr>
            <w:tcW w:type="dxa" w:w="1701"/>
          </w:tcPr>
          <w:p>
            <w:r/>
            <w:r>
              <w:rPr>
                <w:sz w:val="17"/>
              </w:rPr>
              <w:t>49.4%</w:t>
            </w:r>
          </w:p>
        </w:tc>
        <w:tc>
          <w:tcPr>
            <w:tcW w:type="dxa" w:w="1701"/>
          </w:tcPr>
          <w:p>
            <w:r/>
            <w:r>
              <w:rPr>
                <w:sz w:val="17"/>
              </w:rPr>
              <w:t>49%</w:t>
            </w:r>
          </w:p>
        </w:tc>
        <w:tc>
          <w:tcPr>
            <w:tcW w:type="dxa" w:w="1984"/>
          </w:tcPr>
          <w:p>
            <w:r/>
            <w:r>
              <w:rPr>
                <w:sz w:val="17"/>
              </w:rPr>
              <w:t>599</w:t>
            </w:r>
          </w:p>
        </w:tc>
      </w:tr>
    </w:tbl>
    <w:p>
      <w:pPr>
        <w:spacing w:after="40"/>
      </w:pPr>
    </w:p>
    <w:tbl>
      <w:tblPr>
        <w:tblStyle w:val="TableGrid"/>
        <w:tblW w:type="auto" w:w="0"/>
        <w:jc w:val="center"/>
        <w:tblLayout w:type="fixed"/>
        <w:tblLook w:firstColumn="1" w:firstRow="1" w:lastColumn="0" w:lastRow="0" w:noHBand="0" w:noVBand="1" w:val="04A0"/>
      </w:tblPr>
      <w:tblGrid>
        <w:gridCol w:w="3402"/>
        <w:gridCol w:w="5669"/>
      </w:tblGrid>
      <w:tr>
        <w:tc>
          <w:tcPr>
            <w:tcW w:type="dxa" w:w="3402"/>
            <w:shd w:val="clear" w:color="auto" w:fill="1F3A5F"/>
          </w:tcPr>
          <w:p>
            <w:r/>
            <w:r>
              <w:rPr>
                <w:b/>
                <w:color w:val="FFFFFF"/>
                <w:sz w:val="19"/>
              </w:rPr>
              <w:t>Group</w:t>
            </w:r>
          </w:p>
        </w:tc>
        <w:tc>
          <w:tcPr>
            <w:tcW w:type="dxa" w:w="5669"/>
            <w:shd w:val="clear" w:color="auto" w:fill="1F3A5F"/>
          </w:tcPr>
          <w:p>
            <w:r/>
            <w:r>
              <w:rPr>
                <w:b/>
                <w:color w:val="FFFFFF"/>
                <w:sz w:val="19"/>
              </w:rPr>
              <w:t>Mean accuracy</w:t>
            </w:r>
          </w:p>
        </w:tc>
      </w:tr>
      <w:tr>
        <w:tc>
          <w:tcPr>
            <w:tcW w:type="dxa" w:w="3402"/>
          </w:tcPr>
          <w:p>
            <w:r/>
            <w:r>
              <w:rPr>
                <w:sz w:val="19"/>
              </w:rPr>
              <w:t>Nasdaq top 10</w:t>
            </w:r>
          </w:p>
        </w:tc>
        <w:tc>
          <w:tcPr>
            <w:tcW w:type="dxa" w:w="5669"/>
          </w:tcPr>
          <w:p>
            <w:r/>
            <w:r>
              <w:rPr>
                <w:sz w:val="19"/>
              </w:rPr>
              <w:t>50.9%</w:t>
            </w:r>
          </w:p>
        </w:tc>
      </w:tr>
      <w:tr>
        <w:tc>
          <w:tcPr>
            <w:tcW w:type="dxa" w:w="3402"/>
          </w:tcPr>
          <w:p>
            <w:r/>
            <w:r>
              <w:rPr>
                <w:sz w:val="19"/>
              </w:rPr>
              <w:t>NSE top 10</w:t>
            </w:r>
          </w:p>
        </w:tc>
        <w:tc>
          <w:tcPr>
            <w:tcW w:type="dxa" w:w="5669"/>
          </w:tcPr>
          <w:p>
            <w:r/>
            <w:r>
              <w:rPr>
                <w:sz w:val="19"/>
              </w:rPr>
              <w:t>49.9%</w:t>
            </w:r>
          </w:p>
        </w:tc>
      </w:tr>
      <w:tr>
        <w:tc>
          <w:tcPr>
            <w:tcW w:type="dxa" w:w="3402"/>
          </w:tcPr>
          <w:p>
            <w:r/>
            <w:r>
              <w:rPr>
                <w:sz w:val="19"/>
              </w:rPr>
              <w:t>All 20 stocks</w:t>
            </w:r>
          </w:p>
        </w:tc>
        <w:tc>
          <w:tcPr>
            <w:tcW w:type="dxa" w:w="5669"/>
          </w:tcPr>
          <w:p>
            <w:r/>
            <w:r>
              <w:rPr>
                <w:sz w:val="19"/>
              </w:rPr>
              <w:t>50.4%  (one standard error about 0.5 points across 11980 predictions)</w:t>
            </w:r>
          </w:p>
        </w:tc>
      </w:tr>
    </w:tbl>
    <w:p>
      <w:pPr>
        <w:spacing w:after="40"/>
      </w:pPr>
    </w:p>
    <w:p>
      <w:pPr>
        <w:spacing w:after="40"/>
      </w:pPr>
      <w:r>
        <w:rPr>
          <w:b/>
          <w:i w:val="0"/>
        </w:rPr>
        <w:t>Drift-detector performance (SRS NFR-1 and NFR-6):</w:t>
      </w:r>
    </w:p>
    <w:tbl>
      <w:tblPr>
        <w:tblStyle w:val="TableGrid"/>
        <w:tblW w:type="auto" w:w="0"/>
        <w:jc w:val="center"/>
        <w:tblLayout w:type="fixed"/>
        <w:tblLook w:firstColumn="1" w:firstRow="1" w:lastColumn="0" w:lastRow="0" w:noHBand="0" w:noVBand="1" w:val="04A0"/>
      </w:tblPr>
      <w:tblGrid>
        <w:gridCol w:w="3402"/>
        <w:gridCol w:w="4252"/>
        <w:gridCol w:w="1417"/>
      </w:tblGrid>
      <w:tr>
        <w:tc>
          <w:tcPr>
            <w:tcW w:type="dxa" w:w="3402"/>
            <w:shd w:val="clear" w:color="auto" w:fill="1F3A5F"/>
          </w:tcPr>
          <w:p>
            <w:r/>
            <w:r>
              <w:rPr>
                <w:b/>
                <w:color w:val="FFFFFF"/>
                <w:sz w:val="19"/>
              </w:rPr>
              <w:t>Measure</w:t>
            </w:r>
          </w:p>
        </w:tc>
        <w:tc>
          <w:tcPr>
            <w:tcW w:type="dxa" w:w="4252"/>
            <w:shd w:val="clear" w:color="auto" w:fill="1F3A5F"/>
          </w:tcPr>
          <w:p>
            <w:r/>
            <w:r>
              <w:rPr>
                <w:b/>
                <w:color w:val="FFFFFF"/>
                <w:sz w:val="19"/>
              </w:rPr>
              <w:t>Result</w:t>
            </w:r>
          </w:p>
        </w:tc>
        <w:tc>
          <w:tcPr>
            <w:tcW w:type="dxa" w:w="1417"/>
            <w:shd w:val="clear" w:color="auto" w:fill="1F3A5F"/>
          </w:tcPr>
          <w:p>
            <w:r/>
            <w:r>
              <w:rPr>
                <w:b/>
                <w:color w:val="FFFFFF"/>
                <w:sz w:val="19"/>
              </w:rPr>
              <w:t>Target</w:t>
            </w:r>
          </w:p>
        </w:tc>
      </w:tr>
      <w:tr>
        <w:tc>
          <w:tcPr>
            <w:tcW w:type="dxa" w:w="3402"/>
          </w:tcPr>
          <w:p>
            <w:r/>
            <w:r>
              <w:rPr>
                <w:sz w:val="19"/>
              </w:rPr>
              <w:t>Detection latency (mean / max)</w:t>
            </w:r>
          </w:p>
        </w:tc>
        <w:tc>
          <w:tcPr>
            <w:tcW w:type="dxa" w:w="4252"/>
          </w:tcPr>
          <w:p>
            <w:r/>
            <w:r>
              <w:rPr>
                <w:sz w:val="19"/>
              </w:rPr>
              <w:t>1.4 ms / 2.8 ms (30 trials)</w:t>
            </w:r>
          </w:p>
        </w:tc>
        <w:tc>
          <w:tcPr>
            <w:tcW w:type="dxa" w:w="1417"/>
          </w:tcPr>
          <w:p>
            <w:r/>
            <w:r>
              <w:rPr>
                <w:sz w:val="19"/>
              </w:rPr>
              <w:t>under 5 s</w:t>
            </w:r>
          </w:p>
        </w:tc>
      </w:tr>
      <w:tr>
        <w:tc>
          <w:tcPr>
            <w:tcW w:type="dxa" w:w="3402"/>
          </w:tcPr>
          <w:p>
            <w:r/>
            <w:r>
              <w:rPr>
                <w:sz w:val="19"/>
              </w:rPr>
              <w:t>False-alarm rate</w:t>
            </w:r>
          </w:p>
        </w:tc>
        <w:tc>
          <w:tcPr>
            <w:tcW w:type="dxa" w:w="4252"/>
          </w:tcPr>
          <w:p>
            <w:r/>
            <w:r>
              <w:rPr>
                <w:sz w:val="19"/>
              </w:rPr>
              <w:t>2.5% (5 of 200 bootstrap trials on real no-drift windows)</w:t>
            </w:r>
          </w:p>
        </w:tc>
        <w:tc>
          <w:tcPr>
            <w:tcW w:type="dxa" w:w="1417"/>
          </w:tcPr>
          <w:p>
            <w:r/>
            <w:r>
              <w:rPr>
                <w:sz w:val="19"/>
              </w:rPr>
              <w:t>measured and reported</w:t>
            </w:r>
          </w:p>
        </w:tc>
      </w:tr>
      <w:tr>
        <w:tc>
          <w:tcPr>
            <w:tcW w:type="dxa" w:w="3402"/>
          </w:tcPr>
          <w:p>
            <w:r/>
            <w:r>
              <w:rPr>
                <w:sz w:val="19"/>
              </w:rPr>
              <w:t>Dashboard refresh after a new log entry</w:t>
            </w:r>
          </w:p>
        </w:tc>
        <w:tc>
          <w:tcPr>
            <w:tcW w:type="dxa" w:w="4252"/>
          </w:tcPr>
          <w:p>
            <w:r/>
            <w:r>
              <w:rPr>
                <w:sz w:val="19"/>
              </w:rPr>
              <w:t>about 2 s (5 s check interval)</w:t>
            </w:r>
          </w:p>
        </w:tc>
        <w:tc>
          <w:tcPr>
            <w:tcW w:type="dxa" w:w="1417"/>
          </w:tcPr>
          <w:p>
            <w:r/>
            <w:r>
              <w:rPr>
                <w:sz w:val="19"/>
              </w:rPr>
              <w:t>under 10 s</w:t>
            </w:r>
          </w:p>
        </w:tc>
      </w:tr>
    </w:tbl>
    <w:p>
      <w:pPr>
        <w:spacing w:after="40"/>
      </w:pPr>
    </w:p>
    <w:p>
      <w:pPr>
        <w:pStyle w:val="Heading2"/>
      </w:pPr>
      <w:r>
        <w:t>8.3.2  Retraining changelog report</w:t>
      </w:r>
    </w:p>
    <w:p>
      <w:pPr>
        <w:spacing w:after="120"/>
      </w:pPr>
      <w:r>
        <w:rPr>
          <w:b w:val="0"/>
          <w:i w:val="0"/>
        </w:rPr>
        <w:t>The real changelog (logs/retrain_log.jsonl) is empty because no real Regime Shift has occurred (section 3), so no real retraining has been triggered. Every entry has the format below. The sample is from the Simulation Engine on META with injected, clearly labelled SIMULATED data in a throwaway sandbox; the model it produced was discarded.</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shd w:val="clear" w:color="auto" w:fill="1F3A5F"/>
          </w:tcPr>
          <w:p>
            <w:r/>
            <w:r>
              <w:rPr>
                <w:b/>
                <w:color w:val="FFFFFF"/>
                <w:sz w:val="19"/>
              </w:rPr>
              <w:t>Field</w:t>
            </w:r>
          </w:p>
        </w:tc>
        <w:tc>
          <w:tcPr>
            <w:tcW w:type="dxa" w:w="6520"/>
            <w:shd w:val="clear" w:color="auto" w:fill="1F3A5F"/>
          </w:tcPr>
          <w:p>
            <w:r/>
            <w:r>
              <w:rPr>
                <w:b/>
                <w:color w:val="FFFFFF"/>
                <w:sz w:val="19"/>
              </w:rPr>
              <w:t>Sample entry (SIMULATED)</w:t>
            </w:r>
          </w:p>
        </w:tc>
      </w:tr>
      <w:tr>
        <w:tc>
          <w:tcPr>
            <w:tcW w:type="dxa" w:w="2551"/>
          </w:tcPr>
          <w:p>
            <w:r/>
            <w:r>
              <w:rPr>
                <w:sz w:val="19"/>
              </w:rPr>
              <w:t>Trigger</w:t>
            </w:r>
          </w:p>
        </w:tc>
        <w:tc>
          <w:tcPr>
            <w:tcW w:type="dxa" w:w="6520"/>
          </w:tcPr>
          <w:p>
            <w:r/>
            <w:r>
              <w:rPr>
                <w:sz w:val="19"/>
              </w:rPr>
              <w:t>SIMULATED Regime Shift</w:t>
            </w:r>
          </w:p>
        </w:tc>
      </w:tr>
      <w:tr>
        <w:tc>
          <w:tcPr>
            <w:tcW w:type="dxa" w:w="2551"/>
          </w:tcPr>
          <w:p>
            <w:r/>
            <w:r>
              <w:rPr>
                <w:sz w:val="19"/>
              </w:rPr>
              <w:t>Drift score / threshold</w:t>
            </w:r>
          </w:p>
        </w:tc>
        <w:tc>
          <w:tcPr>
            <w:tcW w:type="dxa" w:w="6520"/>
          </w:tcPr>
          <w:p>
            <w:r/>
            <w:r>
              <w:rPr>
                <w:sz w:val="19"/>
              </w:rPr>
              <w:t>0.632 / 0.3</w:t>
            </w:r>
          </w:p>
        </w:tc>
      </w:tr>
      <w:tr>
        <w:tc>
          <w:tcPr>
            <w:tcW w:type="dxa" w:w="2551"/>
          </w:tcPr>
          <w:p>
            <w:r/>
            <w:r>
              <w:rPr>
                <w:sz w:val="19"/>
              </w:rPr>
              <w:t>Classifier reasoning</w:t>
            </w:r>
          </w:p>
        </w:tc>
        <w:tc>
          <w:tcPr>
            <w:tcW w:type="dxa" w:w="6520"/>
          </w:tcPr>
          <w:p>
            <w:r/>
            <w:r>
              <w:rPr>
                <w:sz w:val="19"/>
              </w:rPr>
              <w:t>Magnitude 2.64 std exceeded the 2.5 spike threshold; 5/5 of the most recent days stayed elevated. That meets the regime_min_duration_days (5) bar for a sustained shift, not a one-off spike — classified as Regime Shift.</w:t>
            </w:r>
          </w:p>
        </w:tc>
      </w:tr>
      <w:tr>
        <w:tc>
          <w:tcPr>
            <w:tcW w:type="dxa" w:w="2551"/>
          </w:tcPr>
          <w:p>
            <w:r/>
            <w:r>
              <w:rPr>
                <w:sz w:val="19"/>
              </w:rPr>
              <w:t>Attributed cause (SHAP)</w:t>
            </w:r>
          </w:p>
        </w:tc>
        <w:tc>
          <w:tcPr>
            <w:tcW w:type="dxa" w:w="6520"/>
          </w:tcPr>
          <w:p>
            <w:r/>
            <w:r>
              <w:rPr>
                <w:sz w:val="19"/>
              </w:rPr>
              <w:t>volatility_10d: Drift primarily attributed to 'volatility_10d' (mean |SHAP| = 0.0004).</w:t>
            </w:r>
          </w:p>
        </w:tc>
      </w:tr>
      <w:tr>
        <w:tc>
          <w:tcPr>
            <w:tcW w:type="dxa" w:w="2551"/>
          </w:tcPr>
          <w:p>
            <w:r/>
            <w:r>
              <w:rPr>
                <w:sz w:val="19"/>
              </w:rPr>
              <w:t>Candidate vs current accuracy</w:t>
            </w:r>
          </w:p>
        </w:tc>
        <w:tc>
          <w:tcPr>
            <w:tcW w:type="dxa" w:w="6520"/>
          </w:tcPr>
          <w:p>
            <w:r/>
            <w:r>
              <w:rPr>
                <w:sz w:val="19"/>
              </w:rPr>
              <w:t>42.9% vs 42.9%</w:t>
            </w:r>
          </w:p>
        </w:tc>
      </w:tr>
      <w:tr>
        <w:tc>
          <w:tcPr>
            <w:tcW w:type="dxa" w:w="2551"/>
          </w:tcPr>
          <w:p>
            <w:r/>
            <w:r>
              <w:rPr>
                <w:sz w:val="19"/>
              </w:rPr>
              <w:t>Decision</w:t>
            </w:r>
          </w:p>
        </w:tc>
        <w:tc>
          <w:tcPr>
            <w:tcW w:type="dxa" w:w="6520"/>
          </w:tcPr>
          <w:p>
            <w:r/>
            <w:r>
              <w:rPr>
                <w:sz w:val="19"/>
              </w:rPr>
              <w:t>PROMOTED</w:t>
            </w:r>
          </w:p>
        </w:tc>
      </w:tr>
      <w:tr>
        <w:tc>
          <w:tcPr>
            <w:tcW w:type="dxa" w:w="2551"/>
          </w:tcPr>
          <w:p>
            <w:r/>
            <w:r>
              <w:rPr>
                <w:sz w:val="19"/>
              </w:rPr>
              <w:t>Justification</w:t>
            </w:r>
          </w:p>
        </w:tc>
        <w:tc>
          <w:tcPr>
            <w:tcW w:type="dxa" w:w="6520"/>
          </w:tcPr>
          <w:p>
            <w:r/>
            <w:r>
              <w:rPr>
                <w:sz w:val="19"/>
              </w:rPr>
              <w:t>Promoted: candidate 42.9% vs current 42.9% on the same benchmark window (required improvement: at least +0.0%).</w:t>
            </w:r>
          </w:p>
        </w:tc>
      </w:tr>
      <w:tr>
        <w:tc>
          <w:tcPr>
            <w:tcW w:type="dxa" w:w="2551"/>
          </w:tcPr>
          <w:p>
            <w:r/>
            <w:r>
              <w:rPr>
                <w:sz w:val="19"/>
              </w:rPr>
              <w:t>Training rows</w:t>
            </w:r>
          </w:p>
        </w:tc>
        <w:tc>
          <w:tcPr>
            <w:tcW w:type="dxa" w:w="6520"/>
          </w:tcPr>
          <w:p>
            <w:r/>
            <w:r>
              <w:rPr>
                <w:sz w:val="19"/>
              </w:rPr>
              <w:t>1764</w:t>
            </w:r>
          </w:p>
        </w:tc>
      </w:tr>
    </w:tbl>
    <w:p>
      <w:pPr>
        <w:spacing w:after="40"/>
      </w:pPr>
    </w:p>
    <w:p>
      <w:pPr>
        <w:pStyle w:val="Heading2"/>
      </w:pPr>
      <w:r>
        <w:t>8.3.3  Model registry report</w:t>
      </w:r>
    </w:p>
    <w:p>
      <w:pPr>
        <w:spacing w:after="80"/>
      </w:pPr>
      <w:r>
        <w:rPr>
          <w:b w:val="0"/>
          <w:i w:val="0"/>
        </w:rPr>
        <w:t>Each promoted model, with the metadata the SRS (section 3.4) asks for. The SHA-256 identifies the exact model file; the Git tag model/&lt;stock&gt;/v1 marks the code revision that trained it.</w:t>
      </w:r>
    </w:p>
    <w:tbl>
      <w:tblPr>
        <w:tblStyle w:val="TableGrid"/>
        <w:tblW w:type="auto" w:w="0"/>
        <w:jc w:val="center"/>
        <w:tblLayout w:type="fixed"/>
        <w:tblLook w:firstColumn="1" w:firstRow="1" w:lastColumn="0" w:lastRow="0" w:noHBand="0" w:noVBand="1" w:val="04A0"/>
      </w:tblPr>
      <w:tblGrid>
        <w:gridCol w:w="1587"/>
        <w:gridCol w:w="624"/>
        <w:gridCol w:w="1247"/>
        <w:gridCol w:w="2835"/>
        <w:gridCol w:w="1077"/>
        <w:gridCol w:w="964"/>
        <w:gridCol w:w="1304"/>
      </w:tblGrid>
      <w:tr>
        <w:tc>
          <w:tcPr>
            <w:tcW w:type="dxa" w:w="1587"/>
            <w:shd w:val="clear" w:color="auto" w:fill="1F3A5F"/>
          </w:tcPr>
          <w:p>
            <w:r/>
            <w:r>
              <w:rPr>
                <w:b/>
                <w:color w:val="FFFFFF"/>
                <w:sz w:val="19"/>
              </w:rPr>
              <w:t>Stock</w:t>
            </w:r>
          </w:p>
        </w:tc>
        <w:tc>
          <w:tcPr>
            <w:tcW w:type="dxa" w:w="624"/>
            <w:shd w:val="clear" w:color="auto" w:fill="1F3A5F"/>
          </w:tcPr>
          <w:p>
            <w:r/>
            <w:r>
              <w:rPr>
                <w:b/>
                <w:color w:val="FFFFFF"/>
                <w:sz w:val="19"/>
              </w:rPr>
              <w:t>Ver.</w:t>
            </w:r>
          </w:p>
        </w:tc>
        <w:tc>
          <w:tcPr>
            <w:tcW w:type="dxa" w:w="1247"/>
            <w:shd w:val="clear" w:color="auto" w:fill="1F3A5F"/>
          </w:tcPr>
          <w:p>
            <w:r/>
            <w:r>
              <w:rPr>
                <w:b/>
                <w:color w:val="FFFFFF"/>
                <w:sz w:val="19"/>
              </w:rPr>
              <w:t>Trained</w:t>
            </w:r>
          </w:p>
        </w:tc>
        <w:tc>
          <w:tcPr>
            <w:tcW w:type="dxa" w:w="2835"/>
            <w:shd w:val="clear" w:color="auto" w:fill="1F3A5F"/>
          </w:tcPr>
          <w:p>
            <w:r/>
            <w:r>
              <w:rPr>
                <w:b/>
                <w:color w:val="FFFFFF"/>
                <w:sz w:val="19"/>
              </w:rPr>
              <w:t>Training data (rows)</w:t>
            </w:r>
          </w:p>
        </w:tc>
        <w:tc>
          <w:tcPr>
            <w:tcW w:type="dxa" w:w="1077"/>
            <w:shd w:val="clear" w:color="auto" w:fill="1F3A5F"/>
          </w:tcPr>
          <w:p>
            <w:r/>
            <w:r>
              <w:rPr>
                <w:b/>
                <w:color w:val="FFFFFF"/>
                <w:sz w:val="19"/>
              </w:rPr>
              <w:t>Held-out acc.</w:t>
            </w:r>
          </w:p>
        </w:tc>
        <w:tc>
          <w:tcPr>
            <w:tcW w:type="dxa" w:w="964"/>
            <w:shd w:val="clear" w:color="auto" w:fill="1F3A5F"/>
          </w:tcPr>
          <w:p>
            <w:r/>
            <w:r>
              <w:rPr>
                <w:b/>
                <w:color w:val="FFFFFF"/>
                <w:sz w:val="19"/>
              </w:rPr>
              <w:t>Promoted</w:t>
            </w:r>
          </w:p>
        </w:tc>
        <w:tc>
          <w:tcPr>
            <w:tcW w:type="dxa" w:w="1304"/>
            <w:shd w:val="clear" w:color="auto" w:fill="1F3A5F"/>
          </w:tcPr>
          <w:p>
            <w:r/>
            <w:r>
              <w:rPr>
                <w:b/>
                <w:color w:val="FFFFFF"/>
                <w:sz w:val="19"/>
              </w:rPr>
              <w:t>SHA-256</w:t>
            </w:r>
          </w:p>
        </w:tc>
      </w:tr>
      <w:tr>
        <w:tc>
          <w:tcPr>
            <w:tcW w:type="dxa" w:w="1587"/>
          </w:tcPr>
          <w:p>
            <w:r/>
            <w:r>
              <w:rPr>
                <w:sz w:val="17"/>
              </w:rPr>
              <w:t>AAPL</w:t>
            </w:r>
          </w:p>
        </w:tc>
        <w:tc>
          <w:tcPr>
            <w:tcW w:type="dxa" w:w="624"/>
          </w:tcPr>
          <w:p>
            <w:r/>
            <w:r>
              <w:rPr>
                <w:sz w:val="17"/>
              </w:rPr>
              <w:t>v1</w:t>
            </w:r>
          </w:p>
        </w:tc>
        <w:tc>
          <w:tcPr>
            <w:tcW w:type="dxa" w:w="1247"/>
          </w:tcPr>
          <w:p>
            <w:r/>
            <w:r>
              <w:rPr>
                <w:sz w:val="17"/>
              </w:rPr>
              <w:t>2026-10-05</w:t>
            </w:r>
          </w:p>
        </w:tc>
        <w:tc>
          <w:tcPr>
            <w:tcW w:type="dxa" w:w="2835"/>
          </w:tcPr>
          <w:p>
            <w:r/>
            <w:r>
              <w:rPr>
                <w:sz w:val="17"/>
              </w:rPr>
              <w:t>2020-01-02 to 2026-10-02 (1697)</w:t>
            </w:r>
          </w:p>
        </w:tc>
        <w:tc>
          <w:tcPr>
            <w:tcW w:type="dxa" w:w="1077"/>
          </w:tcPr>
          <w:p>
            <w:r/>
            <w:r>
              <w:rPr>
                <w:sz w:val="17"/>
              </w:rPr>
              <w:t>48.4%</w:t>
            </w:r>
          </w:p>
        </w:tc>
        <w:tc>
          <w:tcPr>
            <w:tcW w:type="dxa" w:w="964"/>
          </w:tcPr>
          <w:p>
            <w:r/>
            <w:r>
              <w:rPr>
                <w:sz w:val="17"/>
              </w:rPr>
              <w:t>yes</w:t>
            </w:r>
          </w:p>
        </w:tc>
        <w:tc>
          <w:tcPr>
            <w:tcW w:type="dxa" w:w="1304"/>
          </w:tcPr>
          <w:p>
            <w:r/>
            <w:r>
              <w:rPr>
                <w:sz w:val="17"/>
              </w:rPr>
              <w:t>62d40c1b0d</w:t>
            </w:r>
          </w:p>
        </w:tc>
      </w:tr>
      <w:tr>
        <w:tc>
          <w:tcPr>
            <w:tcW w:type="dxa" w:w="1587"/>
          </w:tcPr>
          <w:p>
            <w:r/>
            <w:r>
              <w:rPr>
                <w:sz w:val="17"/>
              </w:rPr>
              <w:t>MSFT</w:t>
            </w:r>
          </w:p>
        </w:tc>
        <w:tc>
          <w:tcPr>
            <w:tcW w:type="dxa" w:w="624"/>
          </w:tcPr>
          <w:p>
            <w:r/>
            <w:r>
              <w:rPr>
                <w:sz w:val="17"/>
              </w:rPr>
              <w:t>v1</w:t>
            </w:r>
          </w:p>
        </w:tc>
        <w:tc>
          <w:tcPr>
            <w:tcW w:type="dxa" w:w="1247"/>
          </w:tcPr>
          <w:p>
            <w:r/>
            <w:r>
              <w:rPr>
                <w:sz w:val="17"/>
              </w:rPr>
              <w:t>2026-10-05</w:t>
            </w:r>
          </w:p>
        </w:tc>
        <w:tc>
          <w:tcPr>
            <w:tcW w:type="dxa" w:w="2835"/>
          </w:tcPr>
          <w:p>
            <w:r/>
            <w:r>
              <w:rPr>
                <w:sz w:val="17"/>
              </w:rPr>
              <w:t>2020-01-02 to 2026-10-02 (1697)</w:t>
            </w:r>
          </w:p>
        </w:tc>
        <w:tc>
          <w:tcPr>
            <w:tcW w:type="dxa" w:w="1077"/>
          </w:tcPr>
          <w:p>
            <w:r/>
            <w:r>
              <w:rPr>
                <w:sz w:val="17"/>
              </w:rPr>
              <w:t>55.8%</w:t>
            </w:r>
          </w:p>
        </w:tc>
        <w:tc>
          <w:tcPr>
            <w:tcW w:type="dxa" w:w="964"/>
          </w:tcPr>
          <w:p>
            <w:r/>
            <w:r>
              <w:rPr>
                <w:sz w:val="17"/>
              </w:rPr>
              <w:t>yes</w:t>
            </w:r>
          </w:p>
        </w:tc>
        <w:tc>
          <w:tcPr>
            <w:tcW w:type="dxa" w:w="1304"/>
          </w:tcPr>
          <w:p>
            <w:r/>
            <w:r>
              <w:rPr>
                <w:sz w:val="17"/>
              </w:rPr>
              <w:t>7c428290ac</w:t>
            </w:r>
          </w:p>
        </w:tc>
      </w:tr>
      <w:tr>
        <w:tc>
          <w:tcPr>
            <w:tcW w:type="dxa" w:w="1587"/>
          </w:tcPr>
          <w:p>
            <w:r/>
            <w:r>
              <w:rPr>
                <w:sz w:val="17"/>
              </w:rPr>
              <w:t>NVDA</w:t>
            </w:r>
          </w:p>
        </w:tc>
        <w:tc>
          <w:tcPr>
            <w:tcW w:type="dxa" w:w="624"/>
          </w:tcPr>
          <w:p>
            <w:r/>
            <w:r>
              <w:rPr>
                <w:sz w:val="17"/>
              </w:rPr>
              <w:t>v1</w:t>
            </w:r>
          </w:p>
        </w:tc>
        <w:tc>
          <w:tcPr>
            <w:tcW w:type="dxa" w:w="1247"/>
          </w:tcPr>
          <w:p>
            <w:r/>
            <w:r>
              <w:rPr>
                <w:sz w:val="17"/>
              </w:rPr>
              <w:t>2026-10-05</w:t>
            </w:r>
          </w:p>
        </w:tc>
        <w:tc>
          <w:tcPr>
            <w:tcW w:type="dxa" w:w="2835"/>
          </w:tcPr>
          <w:p>
            <w:r/>
            <w:r>
              <w:rPr>
                <w:sz w:val="17"/>
              </w:rPr>
              <w:t>2020-01-02 to 2026-10-02 (1697)</w:t>
            </w:r>
          </w:p>
        </w:tc>
        <w:tc>
          <w:tcPr>
            <w:tcW w:type="dxa" w:w="1077"/>
          </w:tcPr>
          <w:p>
            <w:r/>
            <w:r>
              <w:rPr>
                <w:sz w:val="17"/>
              </w:rPr>
              <w:t>50.3%</w:t>
            </w:r>
          </w:p>
        </w:tc>
        <w:tc>
          <w:tcPr>
            <w:tcW w:type="dxa" w:w="964"/>
          </w:tcPr>
          <w:p>
            <w:r/>
            <w:r>
              <w:rPr>
                <w:sz w:val="17"/>
              </w:rPr>
              <w:t>yes</w:t>
            </w:r>
          </w:p>
        </w:tc>
        <w:tc>
          <w:tcPr>
            <w:tcW w:type="dxa" w:w="1304"/>
          </w:tcPr>
          <w:p>
            <w:r/>
            <w:r>
              <w:rPr>
                <w:sz w:val="17"/>
              </w:rPr>
              <w:t>b9686f27a9</w:t>
            </w:r>
          </w:p>
        </w:tc>
      </w:tr>
      <w:tr>
        <w:tc>
          <w:tcPr>
            <w:tcW w:type="dxa" w:w="1587"/>
          </w:tcPr>
          <w:p>
            <w:r/>
            <w:r>
              <w:rPr>
                <w:sz w:val="17"/>
              </w:rPr>
              <w:t>AMZN</w:t>
            </w:r>
          </w:p>
        </w:tc>
        <w:tc>
          <w:tcPr>
            <w:tcW w:type="dxa" w:w="624"/>
          </w:tcPr>
          <w:p>
            <w:r/>
            <w:r>
              <w:rPr>
                <w:sz w:val="17"/>
              </w:rPr>
              <w:t>v1</w:t>
            </w:r>
          </w:p>
        </w:tc>
        <w:tc>
          <w:tcPr>
            <w:tcW w:type="dxa" w:w="1247"/>
          </w:tcPr>
          <w:p>
            <w:r/>
            <w:r>
              <w:rPr>
                <w:sz w:val="17"/>
              </w:rPr>
              <w:t>2026-10-05</w:t>
            </w:r>
          </w:p>
        </w:tc>
        <w:tc>
          <w:tcPr>
            <w:tcW w:type="dxa" w:w="2835"/>
          </w:tcPr>
          <w:p>
            <w:r/>
            <w:r>
              <w:rPr>
                <w:sz w:val="17"/>
              </w:rPr>
              <w:t>2020-01-02 to 2026-10-02 (1697)</w:t>
            </w:r>
          </w:p>
        </w:tc>
        <w:tc>
          <w:tcPr>
            <w:tcW w:type="dxa" w:w="1077"/>
          </w:tcPr>
          <w:p>
            <w:r/>
            <w:r>
              <w:rPr>
                <w:sz w:val="17"/>
              </w:rPr>
              <w:t>50.6%</w:t>
            </w:r>
          </w:p>
        </w:tc>
        <w:tc>
          <w:tcPr>
            <w:tcW w:type="dxa" w:w="964"/>
          </w:tcPr>
          <w:p>
            <w:r/>
            <w:r>
              <w:rPr>
                <w:sz w:val="17"/>
              </w:rPr>
              <w:t>yes</w:t>
            </w:r>
          </w:p>
        </w:tc>
        <w:tc>
          <w:tcPr>
            <w:tcW w:type="dxa" w:w="1304"/>
          </w:tcPr>
          <w:p>
            <w:r/>
            <w:r>
              <w:rPr>
                <w:sz w:val="17"/>
              </w:rPr>
              <w:t>46a7fba5a9</w:t>
            </w:r>
          </w:p>
        </w:tc>
      </w:tr>
      <w:tr>
        <w:tc>
          <w:tcPr>
            <w:tcW w:type="dxa" w:w="1587"/>
          </w:tcPr>
          <w:p>
            <w:r/>
            <w:r>
              <w:rPr>
                <w:sz w:val="17"/>
              </w:rPr>
              <w:t>GOOG</w:t>
            </w:r>
          </w:p>
        </w:tc>
        <w:tc>
          <w:tcPr>
            <w:tcW w:type="dxa" w:w="624"/>
          </w:tcPr>
          <w:p>
            <w:r/>
            <w:r>
              <w:rPr>
                <w:sz w:val="17"/>
              </w:rPr>
              <w:t>v1</w:t>
            </w:r>
          </w:p>
        </w:tc>
        <w:tc>
          <w:tcPr>
            <w:tcW w:type="dxa" w:w="1247"/>
          </w:tcPr>
          <w:p>
            <w:r/>
            <w:r>
              <w:rPr>
                <w:sz w:val="17"/>
              </w:rPr>
              <w:t>2026-10-05</w:t>
            </w:r>
          </w:p>
        </w:tc>
        <w:tc>
          <w:tcPr>
            <w:tcW w:type="dxa" w:w="2835"/>
          </w:tcPr>
          <w:p>
            <w:r/>
            <w:r>
              <w:rPr>
                <w:sz w:val="17"/>
              </w:rPr>
              <w:t>2020-01-02 to 2026-10-02 (1697)</w:t>
            </w:r>
          </w:p>
        </w:tc>
        <w:tc>
          <w:tcPr>
            <w:tcW w:type="dxa" w:w="1077"/>
          </w:tcPr>
          <w:p>
            <w:r/>
            <w:r>
              <w:rPr>
                <w:sz w:val="17"/>
              </w:rPr>
              <w:t>51.6%</w:t>
            </w:r>
          </w:p>
        </w:tc>
        <w:tc>
          <w:tcPr>
            <w:tcW w:type="dxa" w:w="964"/>
          </w:tcPr>
          <w:p>
            <w:r/>
            <w:r>
              <w:rPr>
                <w:sz w:val="17"/>
              </w:rPr>
              <w:t>yes</w:t>
            </w:r>
          </w:p>
        </w:tc>
        <w:tc>
          <w:tcPr>
            <w:tcW w:type="dxa" w:w="1304"/>
          </w:tcPr>
          <w:p>
            <w:r/>
            <w:r>
              <w:rPr>
                <w:sz w:val="17"/>
              </w:rPr>
              <w:t>e0936edeb3</w:t>
            </w:r>
          </w:p>
        </w:tc>
      </w:tr>
      <w:tr>
        <w:tc>
          <w:tcPr>
            <w:tcW w:type="dxa" w:w="1587"/>
          </w:tcPr>
          <w:p>
            <w:r/>
            <w:r>
              <w:rPr>
                <w:sz w:val="17"/>
              </w:rPr>
              <w:t>META</w:t>
            </w:r>
          </w:p>
        </w:tc>
        <w:tc>
          <w:tcPr>
            <w:tcW w:type="dxa" w:w="624"/>
          </w:tcPr>
          <w:p>
            <w:r/>
            <w:r>
              <w:rPr>
                <w:sz w:val="17"/>
              </w:rPr>
              <w:t>v1</w:t>
            </w:r>
          </w:p>
        </w:tc>
        <w:tc>
          <w:tcPr>
            <w:tcW w:type="dxa" w:w="1247"/>
          </w:tcPr>
          <w:p>
            <w:r/>
            <w:r>
              <w:rPr>
                <w:sz w:val="17"/>
              </w:rPr>
              <w:t>2026-10-05</w:t>
            </w:r>
          </w:p>
        </w:tc>
        <w:tc>
          <w:tcPr>
            <w:tcW w:type="dxa" w:w="2835"/>
          </w:tcPr>
          <w:p>
            <w:r/>
            <w:r>
              <w:rPr>
                <w:sz w:val="17"/>
              </w:rPr>
              <w:t>2020-01-02 to 2026-10-02 (1697)</w:t>
            </w:r>
          </w:p>
        </w:tc>
        <w:tc>
          <w:tcPr>
            <w:tcW w:type="dxa" w:w="1077"/>
          </w:tcPr>
          <w:p>
            <w:r/>
            <w:r>
              <w:rPr>
                <w:sz w:val="17"/>
              </w:rPr>
              <w:t>52.9%</w:t>
            </w:r>
          </w:p>
        </w:tc>
        <w:tc>
          <w:tcPr>
            <w:tcW w:type="dxa" w:w="964"/>
          </w:tcPr>
          <w:p>
            <w:r/>
            <w:r>
              <w:rPr>
                <w:sz w:val="17"/>
              </w:rPr>
              <w:t>yes</w:t>
            </w:r>
          </w:p>
        </w:tc>
        <w:tc>
          <w:tcPr>
            <w:tcW w:type="dxa" w:w="1304"/>
          </w:tcPr>
          <w:p>
            <w:r/>
            <w:r>
              <w:rPr>
                <w:sz w:val="17"/>
              </w:rPr>
              <w:t>2d86306a83</w:t>
            </w:r>
          </w:p>
        </w:tc>
      </w:tr>
      <w:tr>
        <w:tc>
          <w:tcPr>
            <w:tcW w:type="dxa" w:w="1587"/>
          </w:tcPr>
          <w:p>
            <w:r/>
            <w:r>
              <w:rPr>
                <w:sz w:val="17"/>
              </w:rPr>
              <w:t>AVGO</w:t>
            </w:r>
          </w:p>
        </w:tc>
        <w:tc>
          <w:tcPr>
            <w:tcW w:type="dxa" w:w="624"/>
          </w:tcPr>
          <w:p>
            <w:r/>
            <w:r>
              <w:rPr>
                <w:sz w:val="17"/>
              </w:rPr>
              <w:t>v1</w:t>
            </w:r>
          </w:p>
        </w:tc>
        <w:tc>
          <w:tcPr>
            <w:tcW w:type="dxa" w:w="1247"/>
          </w:tcPr>
          <w:p>
            <w:r/>
            <w:r>
              <w:rPr>
                <w:sz w:val="17"/>
              </w:rPr>
              <w:t>2026-10-05</w:t>
            </w:r>
          </w:p>
        </w:tc>
        <w:tc>
          <w:tcPr>
            <w:tcW w:type="dxa" w:w="2835"/>
          </w:tcPr>
          <w:p>
            <w:r/>
            <w:r>
              <w:rPr>
                <w:sz w:val="17"/>
              </w:rPr>
              <w:t>2020-01-02 to 2026-10-02 (1697)</w:t>
            </w:r>
          </w:p>
        </w:tc>
        <w:tc>
          <w:tcPr>
            <w:tcW w:type="dxa" w:w="1077"/>
          </w:tcPr>
          <w:p>
            <w:r/>
            <w:r>
              <w:rPr>
                <w:sz w:val="17"/>
              </w:rPr>
              <w:t>55.1%</w:t>
            </w:r>
          </w:p>
        </w:tc>
        <w:tc>
          <w:tcPr>
            <w:tcW w:type="dxa" w:w="964"/>
          </w:tcPr>
          <w:p>
            <w:r/>
            <w:r>
              <w:rPr>
                <w:sz w:val="17"/>
              </w:rPr>
              <w:t>yes</w:t>
            </w:r>
          </w:p>
        </w:tc>
        <w:tc>
          <w:tcPr>
            <w:tcW w:type="dxa" w:w="1304"/>
          </w:tcPr>
          <w:p>
            <w:r/>
            <w:r>
              <w:rPr>
                <w:sz w:val="17"/>
              </w:rPr>
              <w:t>cee36e95e8</w:t>
            </w:r>
          </w:p>
        </w:tc>
      </w:tr>
      <w:tr>
        <w:tc>
          <w:tcPr>
            <w:tcW w:type="dxa" w:w="1587"/>
          </w:tcPr>
          <w:p>
            <w:r/>
            <w:r>
              <w:rPr>
                <w:sz w:val="17"/>
              </w:rPr>
              <w:t>TSLA</w:t>
            </w:r>
          </w:p>
        </w:tc>
        <w:tc>
          <w:tcPr>
            <w:tcW w:type="dxa" w:w="624"/>
          </w:tcPr>
          <w:p>
            <w:r/>
            <w:r>
              <w:rPr>
                <w:sz w:val="17"/>
              </w:rPr>
              <w:t>v1</w:t>
            </w:r>
          </w:p>
        </w:tc>
        <w:tc>
          <w:tcPr>
            <w:tcW w:type="dxa" w:w="1247"/>
          </w:tcPr>
          <w:p>
            <w:r/>
            <w:r>
              <w:rPr>
                <w:sz w:val="17"/>
              </w:rPr>
              <w:t>2026-10-05</w:t>
            </w:r>
          </w:p>
        </w:tc>
        <w:tc>
          <w:tcPr>
            <w:tcW w:type="dxa" w:w="2835"/>
          </w:tcPr>
          <w:p>
            <w:r/>
            <w:r>
              <w:rPr>
                <w:sz w:val="17"/>
              </w:rPr>
              <w:t>2020-01-02 to 2026-10-02 (1697)</w:t>
            </w:r>
          </w:p>
        </w:tc>
        <w:tc>
          <w:tcPr>
            <w:tcW w:type="dxa" w:w="1077"/>
          </w:tcPr>
          <w:p>
            <w:r/>
            <w:r>
              <w:rPr>
                <w:sz w:val="17"/>
              </w:rPr>
              <w:t>49.7%</w:t>
            </w:r>
          </w:p>
        </w:tc>
        <w:tc>
          <w:tcPr>
            <w:tcW w:type="dxa" w:w="964"/>
          </w:tcPr>
          <w:p>
            <w:r/>
            <w:r>
              <w:rPr>
                <w:sz w:val="17"/>
              </w:rPr>
              <w:t>yes</w:t>
            </w:r>
          </w:p>
        </w:tc>
        <w:tc>
          <w:tcPr>
            <w:tcW w:type="dxa" w:w="1304"/>
          </w:tcPr>
          <w:p>
            <w:r/>
            <w:r>
              <w:rPr>
                <w:sz w:val="17"/>
              </w:rPr>
              <w:t>f91a623ee9</w:t>
            </w:r>
          </w:p>
        </w:tc>
      </w:tr>
      <w:tr>
        <w:tc>
          <w:tcPr>
            <w:tcW w:type="dxa" w:w="1587"/>
          </w:tcPr>
          <w:p>
            <w:r/>
            <w:r>
              <w:rPr>
                <w:sz w:val="17"/>
              </w:rPr>
              <w:t>COST</w:t>
            </w:r>
          </w:p>
        </w:tc>
        <w:tc>
          <w:tcPr>
            <w:tcW w:type="dxa" w:w="624"/>
          </w:tcPr>
          <w:p>
            <w:r/>
            <w:r>
              <w:rPr>
                <w:sz w:val="17"/>
              </w:rPr>
              <w:t>v1</w:t>
            </w:r>
          </w:p>
        </w:tc>
        <w:tc>
          <w:tcPr>
            <w:tcW w:type="dxa" w:w="1247"/>
          </w:tcPr>
          <w:p>
            <w:r/>
            <w:r>
              <w:rPr>
                <w:sz w:val="17"/>
              </w:rPr>
              <w:t>2026-10-05</w:t>
            </w:r>
          </w:p>
        </w:tc>
        <w:tc>
          <w:tcPr>
            <w:tcW w:type="dxa" w:w="2835"/>
          </w:tcPr>
          <w:p>
            <w:r/>
            <w:r>
              <w:rPr>
                <w:sz w:val="17"/>
              </w:rPr>
              <w:t>2020-01-02 to 2026-10-02 (1697)</w:t>
            </w:r>
          </w:p>
        </w:tc>
        <w:tc>
          <w:tcPr>
            <w:tcW w:type="dxa" w:w="1077"/>
          </w:tcPr>
          <w:p>
            <w:r/>
            <w:r>
              <w:rPr>
                <w:sz w:val="17"/>
              </w:rPr>
              <w:t>52.6%</w:t>
            </w:r>
          </w:p>
        </w:tc>
        <w:tc>
          <w:tcPr>
            <w:tcW w:type="dxa" w:w="964"/>
          </w:tcPr>
          <w:p>
            <w:r/>
            <w:r>
              <w:rPr>
                <w:sz w:val="17"/>
              </w:rPr>
              <w:t>yes</w:t>
            </w:r>
          </w:p>
        </w:tc>
        <w:tc>
          <w:tcPr>
            <w:tcW w:type="dxa" w:w="1304"/>
          </w:tcPr>
          <w:p>
            <w:r/>
            <w:r>
              <w:rPr>
                <w:sz w:val="17"/>
              </w:rPr>
              <w:t>e91e7c2b4b</w:t>
            </w:r>
          </w:p>
        </w:tc>
      </w:tr>
      <w:tr>
        <w:tc>
          <w:tcPr>
            <w:tcW w:type="dxa" w:w="1587"/>
          </w:tcPr>
          <w:p>
            <w:r/>
            <w:r>
              <w:rPr>
                <w:sz w:val="17"/>
              </w:rPr>
              <w:t>NFLX</w:t>
            </w:r>
          </w:p>
        </w:tc>
        <w:tc>
          <w:tcPr>
            <w:tcW w:type="dxa" w:w="624"/>
          </w:tcPr>
          <w:p>
            <w:r/>
            <w:r>
              <w:rPr>
                <w:sz w:val="17"/>
              </w:rPr>
              <w:t>v1</w:t>
            </w:r>
          </w:p>
        </w:tc>
        <w:tc>
          <w:tcPr>
            <w:tcW w:type="dxa" w:w="1247"/>
          </w:tcPr>
          <w:p>
            <w:r/>
            <w:r>
              <w:rPr>
                <w:sz w:val="17"/>
              </w:rPr>
              <w:t>2026-10-05</w:t>
            </w:r>
          </w:p>
        </w:tc>
        <w:tc>
          <w:tcPr>
            <w:tcW w:type="dxa" w:w="2835"/>
          </w:tcPr>
          <w:p>
            <w:r/>
            <w:r>
              <w:rPr>
                <w:sz w:val="17"/>
              </w:rPr>
              <w:t>2020-01-02 to 2026-10-02 (1697)</w:t>
            </w:r>
          </w:p>
        </w:tc>
        <w:tc>
          <w:tcPr>
            <w:tcW w:type="dxa" w:w="1077"/>
          </w:tcPr>
          <w:p>
            <w:r/>
            <w:r>
              <w:rPr>
                <w:sz w:val="17"/>
              </w:rPr>
              <w:t>49.7%</w:t>
            </w:r>
          </w:p>
        </w:tc>
        <w:tc>
          <w:tcPr>
            <w:tcW w:type="dxa" w:w="964"/>
          </w:tcPr>
          <w:p>
            <w:r/>
            <w:r>
              <w:rPr>
                <w:sz w:val="17"/>
              </w:rPr>
              <w:t>yes</w:t>
            </w:r>
          </w:p>
        </w:tc>
        <w:tc>
          <w:tcPr>
            <w:tcW w:type="dxa" w:w="1304"/>
          </w:tcPr>
          <w:p>
            <w:r/>
            <w:r>
              <w:rPr>
                <w:sz w:val="17"/>
              </w:rPr>
              <w:t>66e7d99838</w:t>
            </w:r>
          </w:p>
        </w:tc>
      </w:tr>
      <w:tr>
        <w:tc>
          <w:tcPr>
            <w:tcW w:type="dxa" w:w="1587"/>
          </w:tcPr>
          <w:p>
            <w:r/>
            <w:r>
              <w:rPr>
                <w:sz w:val="17"/>
              </w:rPr>
              <w:t>RELIANCE.NS</w:t>
            </w:r>
          </w:p>
        </w:tc>
        <w:tc>
          <w:tcPr>
            <w:tcW w:type="dxa" w:w="624"/>
          </w:tcPr>
          <w:p>
            <w:r/>
            <w:r>
              <w:rPr>
                <w:sz w:val="17"/>
              </w:rPr>
              <w:t>v1</w:t>
            </w:r>
          </w:p>
        </w:tc>
        <w:tc>
          <w:tcPr>
            <w:tcW w:type="dxa" w:w="1247"/>
          </w:tcPr>
          <w:p>
            <w:r/>
            <w:r>
              <w:rPr>
                <w:sz w:val="17"/>
              </w:rPr>
              <w:t>2026-10-05</w:t>
            </w:r>
          </w:p>
        </w:tc>
        <w:tc>
          <w:tcPr>
            <w:tcW w:type="dxa" w:w="2835"/>
          </w:tcPr>
          <w:p>
            <w:r/>
            <w:r>
              <w:rPr>
                <w:sz w:val="17"/>
              </w:rPr>
              <w:t>2020-01-01 to 2026-10-01 (1677)</w:t>
            </w:r>
          </w:p>
        </w:tc>
        <w:tc>
          <w:tcPr>
            <w:tcW w:type="dxa" w:w="1077"/>
          </w:tcPr>
          <w:p>
            <w:r/>
            <w:r>
              <w:rPr>
                <w:sz w:val="17"/>
              </w:rPr>
              <w:t>48.7%</w:t>
            </w:r>
          </w:p>
        </w:tc>
        <w:tc>
          <w:tcPr>
            <w:tcW w:type="dxa" w:w="964"/>
          </w:tcPr>
          <w:p>
            <w:r/>
            <w:r>
              <w:rPr>
                <w:sz w:val="17"/>
              </w:rPr>
              <w:t>yes</w:t>
            </w:r>
          </w:p>
        </w:tc>
        <w:tc>
          <w:tcPr>
            <w:tcW w:type="dxa" w:w="1304"/>
          </w:tcPr>
          <w:p>
            <w:r/>
            <w:r>
              <w:rPr>
                <w:sz w:val="17"/>
              </w:rPr>
              <w:t>6718182f9f</w:t>
            </w:r>
          </w:p>
        </w:tc>
      </w:tr>
      <w:tr>
        <w:tc>
          <w:tcPr>
            <w:tcW w:type="dxa" w:w="1587"/>
          </w:tcPr>
          <w:p>
            <w:r/>
            <w:r>
              <w:rPr>
                <w:sz w:val="17"/>
              </w:rPr>
              <w:t>TCS.NS</w:t>
            </w:r>
          </w:p>
        </w:tc>
        <w:tc>
          <w:tcPr>
            <w:tcW w:type="dxa" w:w="624"/>
          </w:tcPr>
          <w:p>
            <w:r/>
            <w:r>
              <w:rPr>
                <w:sz w:val="17"/>
              </w:rPr>
              <w:t>v1</w:t>
            </w:r>
          </w:p>
        </w:tc>
        <w:tc>
          <w:tcPr>
            <w:tcW w:type="dxa" w:w="1247"/>
          </w:tcPr>
          <w:p>
            <w:r/>
            <w:r>
              <w:rPr>
                <w:sz w:val="17"/>
              </w:rPr>
              <w:t>2026-10-05</w:t>
            </w:r>
          </w:p>
        </w:tc>
        <w:tc>
          <w:tcPr>
            <w:tcW w:type="dxa" w:w="2835"/>
          </w:tcPr>
          <w:p>
            <w:r/>
            <w:r>
              <w:rPr>
                <w:sz w:val="17"/>
              </w:rPr>
              <w:t>2020-01-01 to 2026-10-01 (1677)</w:t>
            </w:r>
          </w:p>
        </w:tc>
        <w:tc>
          <w:tcPr>
            <w:tcW w:type="dxa" w:w="1077"/>
          </w:tcPr>
          <w:p>
            <w:r/>
            <w:r>
              <w:rPr>
                <w:sz w:val="17"/>
              </w:rPr>
              <w:t>50.0%</w:t>
            </w:r>
          </w:p>
        </w:tc>
        <w:tc>
          <w:tcPr>
            <w:tcW w:type="dxa" w:w="964"/>
          </w:tcPr>
          <w:p>
            <w:r/>
            <w:r>
              <w:rPr>
                <w:sz w:val="17"/>
              </w:rPr>
              <w:t>yes</w:t>
            </w:r>
          </w:p>
        </w:tc>
        <w:tc>
          <w:tcPr>
            <w:tcW w:type="dxa" w:w="1304"/>
          </w:tcPr>
          <w:p>
            <w:r/>
            <w:r>
              <w:rPr>
                <w:sz w:val="17"/>
              </w:rPr>
              <w:t>72434a3634</w:t>
            </w:r>
          </w:p>
        </w:tc>
      </w:tr>
      <w:tr>
        <w:tc>
          <w:tcPr>
            <w:tcW w:type="dxa" w:w="1587"/>
          </w:tcPr>
          <w:p>
            <w:r/>
            <w:r>
              <w:rPr>
                <w:sz w:val="17"/>
              </w:rPr>
              <w:t>HDFCBANK.NS</w:t>
            </w:r>
          </w:p>
        </w:tc>
        <w:tc>
          <w:tcPr>
            <w:tcW w:type="dxa" w:w="624"/>
          </w:tcPr>
          <w:p>
            <w:r/>
            <w:r>
              <w:rPr>
                <w:sz w:val="17"/>
              </w:rPr>
              <w:t>v1</w:t>
            </w:r>
          </w:p>
        </w:tc>
        <w:tc>
          <w:tcPr>
            <w:tcW w:type="dxa" w:w="1247"/>
          </w:tcPr>
          <w:p>
            <w:r/>
            <w:r>
              <w:rPr>
                <w:sz w:val="17"/>
              </w:rPr>
              <w:t>2026-10-05</w:t>
            </w:r>
          </w:p>
        </w:tc>
        <w:tc>
          <w:tcPr>
            <w:tcW w:type="dxa" w:w="2835"/>
          </w:tcPr>
          <w:p>
            <w:r/>
            <w:r>
              <w:rPr>
                <w:sz w:val="17"/>
              </w:rPr>
              <w:t>2020-01-01 to 2026-10-01 (1677)</w:t>
            </w:r>
          </w:p>
        </w:tc>
        <w:tc>
          <w:tcPr>
            <w:tcW w:type="dxa" w:w="1077"/>
          </w:tcPr>
          <w:p>
            <w:r/>
            <w:r>
              <w:rPr>
                <w:sz w:val="17"/>
              </w:rPr>
              <w:t>49.7%</w:t>
            </w:r>
          </w:p>
        </w:tc>
        <w:tc>
          <w:tcPr>
            <w:tcW w:type="dxa" w:w="964"/>
          </w:tcPr>
          <w:p>
            <w:r/>
            <w:r>
              <w:rPr>
                <w:sz w:val="17"/>
              </w:rPr>
              <w:t>yes</w:t>
            </w:r>
          </w:p>
        </w:tc>
        <w:tc>
          <w:tcPr>
            <w:tcW w:type="dxa" w:w="1304"/>
          </w:tcPr>
          <w:p>
            <w:r/>
            <w:r>
              <w:rPr>
                <w:sz w:val="17"/>
              </w:rPr>
              <w:t>ed89f67753</w:t>
            </w:r>
          </w:p>
        </w:tc>
      </w:tr>
      <w:tr>
        <w:tc>
          <w:tcPr>
            <w:tcW w:type="dxa" w:w="1587"/>
          </w:tcPr>
          <w:p>
            <w:r/>
            <w:r>
              <w:rPr>
                <w:sz w:val="17"/>
              </w:rPr>
              <w:t>ICICIBANK.NS</w:t>
            </w:r>
          </w:p>
        </w:tc>
        <w:tc>
          <w:tcPr>
            <w:tcW w:type="dxa" w:w="624"/>
          </w:tcPr>
          <w:p>
            <w:r/>
            <w:r>
              <w:rPr>
                <w:sz w:val="17"/>
              </w:rPr>
              <w:t>v1</w:t>
            </w:r>
          </w:p>
        </w:tc>
        <w:tc>
          <w:tcPr>
            <w:tcW w:type="dxa" w:w="1247"/>
          </w:tcPr>
          <w:p>
            <w:r/>
            <w:r>
              <w:rPr>
                <w:sz w:val="17"/>
              </w:rPr>
              <w:t>2026-10-05</w:t>
            </w:r>
          </w:p>
        </w:tc>
        <w:tc>
          <w:tcPr>
            <w:tcW w:type="dxa" w:w="2835"/>
          </w:tcPr>
          <w:p>
            <w:r/>
            <w:r>
              <w:rPr>
                <w:sz w:val="17"/>
              </w:rPr>
              <w:t>2020-01-01 to 2026-10-01 (1677)</w:t>
            </w:r>
          </w:p>
        </w:tc>
        <w:tc>
          <w:tcPr>
            <w:tcW w:type="dxa" w:w="1077"/>
          </w:tcPr>
          <w:p>
            <w:r/>
            <w:r>
              <w:rPr>
                <w:sz w:val="17"/>
              </w:rPr>
              <w:t>47.7%</w:t>
            </w:r>
          </w:p>
        </w:tc>
        <w:tc>
          <w:tcPr>
            <w:tcW w:type="dxa" w:w="964"/>
          </w:tcPr>
          <w:p>
            <w:r/>
            <w:r>
              <w:rPr>
                <w:sz w:val="17"/>
              </w:rPr>
              <w:t>yes</w:t>
            </w:r>
          </w:p>
        </w:tc>
        <w:tc>
          <w:tcPr>
            <w:tcW w:type="dxa" w:w="1304"/>
          </w:tcPr>
          <w:p>
            <w:r/>
            <w:r>
              <w:rPr>
                <w:sz w:val="17"/>
              </w:rPr>
              <w:t>58f48bd2a6</w:t>
            </w:r>
          </w:p>
        </w:tc>
      </w:tr>
      <w:tr>
        <w:tc>
          <w:tcPr>
            <w:tcW w:type="dxa" w:w="1587"/>
          </w:tcPr>
          <w:p>
            <w:r/>
            <w:r>
              <w:rPr>
                <w:sz w:val="17"/>
              </w:rPr>
              <w:t>BHARTIARTL.NS</w:t>
            </w:r>
          </w:p>
        </w:tc>
        <w:tc>
          <w:tcPr>
            <w:tcW w:type="dxa" w:w="624"/>
          </w:tcPr>
          <w:p>
            <w:r/>
            <w:r>
              <w:rPr>
                <w:sz w:val="17"/>
              </w:rPr>
              <w:t>v1</w:t>
            </w:r>
          </w:p>
        </w:tc>
        <w:tc>
          <w:tcPr>
            <w:tcW w:type="dxa" w:w="1247"/>
          </w:tcPr>
          <w:p>
            <w:r/>
            <w:r>
              <w:rPr>
                <w:sz w:val="17"/>
              </w:rPr>
              <w:t>2026-10-05</w:t>
            </w:r>
          </w:p>
        </w:tc>
        <w:tc>
          <w:tcPr>
            <w:tcW w:type="dxa" w:w="2835"/>
          </w:tcPr>
          <w:p>
            <w:r/>
            <w:r>
              <w:rPr>
                <w:sz w:val="17"/>
              </w:rPr>
              <w:t>2020-01-01 to 2026-10-01 (1677)</w:t>
            </w:r>
          </w:p>
        </w:tc>
        <w:tc>
          <w:tcPr>
            <w:tcW w:type="dxa" w:w="1077"/>
          </w:tcPr>
          <w:p>
            <w:r/>
            <w:r>
              <w:rPr>
                <w:sz w:val="17"/>
              </w:rPr>
              <w:t>49.0%</w:t>
            </w:r>
          </w:p>
        </w:tc>
        <w:tc>
          <w:tcPr>
            <w:tcW w:type="dxa" w:w="964"/>
          </w:tcPr>
          <w:p>
            <w:r/>
            <w:r>
              <w:rPr>
                <w:sz w:val="17"/>
              </w:rPr>
              <w:t>yes</w:t>
            </w:r>
          </w:p>
        </w:tc>
        <w:tc>
          <w:tcPr>
            <w:tcW w:type="dxa" w:w="1304"/>
          </w:tcPr>
          <w:p>
            <w:r/>
            <w:r>
              <w:rPr>
                <w:sz w:val="17"/>
              </w:rPr>
              <w:t>a1c5f0a814</w:t>
            </w:r>
          </w:p>
        </w:tc>
      </w:tr>
      <w:tr>
        <w:tc>
          <w:tcPr>
            <w:tcW w:type="dxa" w:w="1587"/>
          </w:tcPr>
          <w:p>
            <w:r/>
            <w:r>
              <w:rPr>
                <w:sz w:val="17"/>
              </w:rPr>
              <w:t>INFY.NS</w:t>
            </w:r>
          </w:p>
        </w:tc>
        <w:tc>
          <w:tcPr>
            <w:tcW w:type="dxa" w:w="624"/>
          </w:tcPr>
          <w:p>
            <w:r/>
            <w:r>
              <w:rPr>
                <w:sz w:val="17"/>
              </w:rPr>
              <w:t>v1</w:t>
            </w:r>
          </w:p>
        </w:tc>
        <w:tc>
          <w:tcPr>
            <w:tcW w:type="dxa" w:w="1247"/>
          </w:tcPr>
          <w:p>
            <w:r/>
            <w:r>
              <w:rPr>
                <w:sz w:val="17"/>
              </w:rPr>
              <w:t>2026-10-05</w:t>
            </w:r>
          </w:p>
        </w:tc>
        <w:tc>
          <w:tcPr>
            <w:tcW w:type="dxa" w:w="2835"/>
          </w:tcPr>
          <w:p>
            <w:r/>
            <w:r>
              <w:rPr>
                <w:sz w:val="17"/>
              </w:rPr>
              <w:t>2020-01-01 to 2026-10-01 (1677)</w:t>
            </w:r>
          </w:p>
        </w:tc>
        <w:tc>
          <w:tcPr>
            <w:tcW w:type="dxa" w:w="1077"/>
          </w:tcPr>
          <w:p>
            <w:r/>
            <w:r>
              <w:rPr>
                <w:sz w:val="17"/>
              </w:rPr>
              <w:t>46.8%</w:t>
            </w:r>
          </w:p>
        </w:tc>
        <w:tc>
          <w:tcPr>
            <w:tcW w:type="dxa" w:w="964"/>
          </w:tcPr>
          <w:p>
            <w:r/>
            <w:r>
              <w:rPr>
                <w:sz w:val="17"/>
              </w:rPr>
              <w:t>yes</w:t>
            </w:r>
          </w:p>
        </w:tc>
        <w:tc>
          <w:tcPr>
            <w:tcW w:type="dxa" w:w="1304"/>
          </w:tcPr>
          <w:p>
            <w:r/>
            <w:r>
              <w:rPr>
                <w:sz w:val="17"/>
              </w:rPr>
              <w:t>f779ddbabd</w:t>
            </w:r>
          </w:p>
        </w:tc>
      </w:tr>
      <w:tr>
        <w:tc>
          <w:tcPr>
            <w:tcW w:type="dxa" w:w="1587"/>
          </w:tcPr>
          <w:p>
            <w:r/>
            <w:r>
              <w:rPr>
                <w:sz w:val="17"/>
              </w:rPr>
              <w:t>SBIN.NS</w:t>
            </w:r>
          </w:p>
        </w:tc>
        <w:tc>
          <w:tcPr>
            <w:tcW w:type="dxa" w:w="624"/>
          </w:tcPr>
          <w:p>
            <w:r/>
            <w:r>
              <w:rPr>
                <w:sz w:val="17"/>
              </w:rPr>
              <w:t>v1</w:t>
            </w:r>
          </w:p>
        </w:tc>
        <w:tc>
          <w:tcPr>
            <w:tcW w:type="dxa" w:w="1247"/>
          </w:tcPr>
          <w:p>
            <w:r/>
            <w:r>
              <w:rPr>
                <w:sz w:val="17"/>
              </w:rPr>
              <w:t>2026-10-05</w:t>
            </w:r>
          </w:p>
        </w:tc>
        <w:tc>
          <w:tcPr>
            <w:tcW w:type="dxa" w:w="2835"/>
          </w:tcPr>
          <w:p>
            <w:r/>
            <w:r>
              <w:rPr>
                <w:sz w:val="17"/>
              </w:rPr>
              <w:t>2020-01-01 to 2026-10-01 (1677)</w:t>
            </w:r>
          </w:p>
        </w:tc>
        <w:tc>
          <w:tcPr>
            <w:tcW w:type="dxa" w:w="1077"/>
          </w:tcPr>
          <w:p>
            <w:r/>
            <w:r>
              <w:rPr>
                <w:sz w:val="17"/>
              </w:rPr>
              <w:t>52.3%</w:t>
            </w:r>
          </w:p>
        </w:tc>
        <w:tc>
          <w:tcPr>
            <w:tcW w:type="dxa" w:w="964"/>
          </w:tcPr>
          <w:p>
            <w:r/>
            <w:r>
              <w:rPr>
                <w:sz w:val="17"/>
              </w:rPr>
              <w:t>yes</w:t>
            </w:r>
          </w:p>
        </w:tc>
        <w:tc>
          <w:tcPr>
            <w:tcW w:type="dxa" w:w="1304"/>
          </w:tcPr>
          <w:p>
            <w:r/>
            <w:r>
              <w:rPr>
                <w:sz w:val="17"/>
              </w:rPr>
              <w:t>e4986056f1</w:t>
            </w:r>
          </w:p>
        </w:tc>
      </w:tr>
      <w:tr>
        <w:tc>
          <w:tcPr>
            <w:tcW w:type="dxa" w:w="1587"/>
          </w:tcPr>
          <w:p>
            <w:r/>
            <w:r>
              <w:rPr>
                <w:sz w:val="17"/>
              </w:rPr>
              <w:t>ITC.NS</w:t>
            </w:r>
          </w:p>
        </w:tc>
        <w:tc>
          <w:tcPr>
            <w:tcW w:type="dxa" w:w="624"/>
          </w:tcPr>
          <w:p>
            <w:r/>
            <w:r>
              <w:rPr>
                <w:sz w:val="17"/>
              </w:rPr>
              <w:t>v1</w:t>
            </w:r>
          </w:p>
        </w:tc>
        <w:tc>
          <w:tcPr>
            <w:tcW w:type="dxa" w:w="1247"/>
          </w:tcPr>
          <w:p>
            <w:r/>
            <w:r>
              <w:rPr>
                <w:sz w:val="17"/>
              </w:rPr>
              <w:t>2026-10-05</w:t>
            </w:r>
          </w:p>
        </w:tc>
        <w:tc>
          <w:tcPr>
            <w:tcW w:type="dxa" w:w="2835"/>
          </w:tcPr>
          <w:p>
            <w:r/>
            <w:r>
              <w:rPr>
                <w:sz w:val="17"/>
              </w:rPr>
              <w:t>2020-01-01 to 2026-10-01 (1677)</w:t>
            </w:r>
          </w:p>
        </w:tc>
        <w:tc>
          <w:tcPr>
            <w:tcW w:type="dxa" w:w="1077"/>
          </w:tcPr>
          <w:p>
            <w:r/>
            <w:r>
              <w:rPr>
                <w:sz w:val="17"/>
              </w:rPr>
              <w:t>50.6%</w:t>
            </w:r>
          </w:p>
        </w:tc>
        <w:tc>
          <w:tcPr>
            <w:tcW w:type="dxa" w:w="964"/>
          </w:tcPr>
          <w:p>
            <w:r/>
            <w:r>
              <w:rPr>
                <w:sz w:val="17"/>
              </w:rPr>
              <w:t>yes</w:t>
            </w:r>
          </w:p>
        </w:tc>
        <w:tc>
          <w:tcPr>
            <w:tcW w:type="dxa" w:w="1304"/>
          </w:tcPr>
          <w:p>
            <w:r/>
            <w:r>
              <w:rPr>
                <w:sz w:val="17"/>
              </w:rPr>
              <w:t>a4b142c5da</w:t>
            </w:r>
          </w:p>
        </w:tc>
      </w:tr>
      <w:tr>
        <w:tc>
          <w:tcPr>
            <w:tcW w:type="dxa" w:w="1587"/>
          </w:tcPr>
          <w:p>
            <w:r/>
            <w:r>
              <w:rPr>
                <w:sz w:val="17"/>
              </w:rPr>
              <w:t>HINDUNILVR.NS</w:t>
            </w:r>
          </w:p>
        </w:tc>
        <w:tc>
          <w:tcPr>
            <w:tcW w:type="dxa" w:w="624"/>
          </w:tcPr>
          <w:p>
            <w:r/>
            <w:r>
              <w:rPr>
                <w:sz w:val="17"/>
              </w:rPr>
              <w:t>v1</w:t>
            </w:r>
          </w:p>
        </w:tc>
        <w:tc>
          <w:tcPr>
            <w:tcW w:type="dxa" w:w="1247"/>
          </w:tcPr>
          <w:p>
            <w:r/>
            <w:r>
              <w:rPr>
                <w:sz w:val="17"/>
              </w:rPr>
              <w:t>2026-10-05</w:t>
            </w:r>
          </w:p>
        </w:tc>
        <w:tc>
          <w:tcPr>
            <w:tcW w:type="dxa" w:w="2835"/>
          </w:tcPr>
          <w:p>
            <w:r/>
            <w:r>
              <w:rPr>
                <w:sz w:val="17"/>
              </w:rPr>
              <w:t>2020-01-01 to 2026-10-01 (1677)</w:t>
            </w:r>
          </w:p>
        </w:tc>
        <w:tc>
          <w:tcPr>
            <w:tcW w:type="dxa" w:w="1077"/>
          </w:tcPr>
          <w:p>
            <w:r/>
            <w:r>
              <w:rPr>
                <w:sz w:val="17"/>
              </w:rPr>
              <w:t>49.4%</w:t>
            </w:r>
          </w:p>
        </w:tc>
        <w:tc>
          <w:tcPr>
            <w:tcW w:type="dxa" w:w="964"/>
          </w:tcPr>
          <w:p>
            <w:r/>
            <w:r>
              <w:rPr>
                <w:sz w:val="17"/>
              </w:rPr>
              <w:t>yes</w:t>
            </w:r>
          </w:p>
        </w:tc>
        <w:tc>
          <w:tcPr>
            <w:tcW w:type="dxa" w:w="1304"/>
          </w:tcPr>
          <w:p>
            <w:r/>
            <w:r>
              <w:rPr>
                <w:sz w:val="17"/>
              </w:rPr>
              <w:t>bedb4004aa</w:t>
            </w:r>
          </w:p>
        </w:tc>
      </w:tr>
      <w:tr>
        <w:tc>
          <w:tcPr>
            <w:tcW w:type="dxa" w:w="1587"/>
          </w:tcPr>
          <w:p>
            <w:r/>
            <w:r>
              <w:rPr>
                <w:sz w:val="17"/>
              </w:rPr>
              <w:t>LT.NS</w:t>
            </w:r>
          </w:p>
        </w:tc>
        <w:tc>
          <w:tcPr>
            <w:tcW w:type="dxa" w:w="624"/>
          </w:tcPr>
          <w:p>
            <w:r/>
            <w:r>
              <w:rPr>
                <w:sz w:val="17"/>
              </w:rPr>
              <w:t>v1</w:t>
            </w:r>
          </w:p>
        </w:tc>
        <w:tc>
          <w:tcPr>
            <w:tcW w:type="dxa" w:w="1247"/>
          </w:tcPr>
          <w:p>
            <w:r/>
            <w:r>
              <w:rPr>
                <w:sz w:val="17"/>
              </w:rPr>
              <w:t>2026-10-05</w:t>
            </w:r>
          </w:p>
        </w:tc>
        <w:tc>
          <w:tcPr>
            <w:tcW w:type="dxa" w:w="2835"/>
          </w:tcPr>
          <w:p>
            <w:r/>
            <w:r>
              <w:rPr>
                <w:sz w:val="17"/>
              </w:rPr>
              <w:t>2020-01-01 to 2026-10-01 (1677)</w:t>
            </w:r>
          </w:p>
        </w:tc>
        <w:tc>
          <w:tcPr>
            <w:tcW w:type="dxa" w:w="1077"/>
          </w:tcPr>
          <w:p>
            <w:r/>
            <w:r>
              <w:rPr>
                <w:sz w:val="17"/>
              </w:rPr>
              <w:t>49.0%</w:t>
            </w:r>
          </w:p>
        </w:tc>
        <w:tc>
          <w:tcPr>
            <w:tcW w:type="dxa" w:w="964"/>
          </w:tcPr>
          <w:p>
            <w:r/>
            <w:r>
              <w:rPr>
                <w:sz w:val="17"/>
              </w:rPr>
              <w:t>yes</w:t>
            </w:r>
          </w:p>
        </w:tc>
        <w:tc>
          <w:tcPr>
            <w:tcW w:type="dxa" w:w="1304"/>
          </w:tcPr>
          <w:p>
            <w:r/>
            <w:r>
              <w:rPr>
                <w:sz w:val="17"/>
              </w:rPr>
              <w:t>566186e0ae</w:t>
            </w:r>
          </w:p>
        </w:tc>
      </w:tr>
    </w:tbl>
    <w:p>
      <w:pPr>
        <w:spacing w:after="40"/>
      </w:pPr>
    </w:p>
    <w:p>
      <w:r>
        <w:br w:type="page"/>
      </w:r>
    </w:p>
    <w:p>
      <w:pPr>
        <w:pStyle w:val="Heading1"/>
      </w:pPr>
      <w:r>
        <w:t>Appendix 8.4  Screen Mockups</w:t>
      </w:r>
    </w:p>
    <w:p>
      <w:pPr>
        <w:spacing w:after="120"/>
      </w:pPr>
      <w:r>
        <w:rPr>
          <w:b w:val="0"/>
          <w:i w:val="0"/>
        </w:rPr>
        <w:t>These are screenshots of the finished dashboard and Simulation Engine (the finalised wireframe), captured from the running application.</w:t>
      </w:r>
    </w:p>
    <w:p>
      <w:pPr>
        <w:jc w:val="center"/>
      </w:pPr>
      <w:r>
        <w:drawing>
          <wp:inline xmlns:a="http://schemas.openxmlformats.org/drawingml/2006/main" xmlns:pic="http://schemas.openxmlformats.org/drawingml/2006/picture">
            <wp:extent cx="5832000" cy="10497600"/>
            <wp:docPr id="1" name="Picture 1"/>
            <wp:cNvGraphicFramePr>
              <a:graphicFrameLocks noChangeAspect="1"/>
            </wp:cNvGraphicFramePr>
            <a:graphic>
              <a:graphicData uri="http://schemas.openxmlformats.org/drawingml/2006/picture">
                <pic:pic>
                  <pic:nvPicPr>
                    <pic:cNvPr id="0" name="dashboard_full.png"/>
                    <pic:cNvPicPr/>
                  </pic:nvPicPr>
                  <pic:blipFill>
                    <a:blip r:embed="rId9"/>
                    <a:stretch>
                      <a:fillRect/>
                    </a:stretch>
                  </pic:blipFill>
                  <pic:spPr>
                    <a:xfrm>
                      <a:off x="0" y="0"/>
                      <a:ext cx="5832000" cy="10497600"/>
                    </a:xfrm>
                    <a:prstGeom prst="rect"/>
                  </pic:spPr>
                </pic:pic>
              </a:graphicData>
            </a:graphic>
          </wp:inline>
        </w:drawing>
      </w:r>
    </w:p>
    <w:p>
      <w:pPr>
        <w:spacing w:after="200"/>
        <w:jc w:val="center"/>
      </w:pPr>
      <w:r>
        <w:rPr>
          <w:b w:val="0"/>
          <w:i/>
          <w:sz w:val="18"/>
        </w:rPr>
        <w:t>Figure 8.4.1  Monitoring dashboard (META): watchlist of 20 stocks with each stock's latest call, price chart with the next-day call, confidence, drift score, backtest evidence, drift events and retraining history.</w:t>
      </w:r>
    </w:p>
    <w:p>
      <w:pPr>
        <w:jc w:val="center"/>
      </w:pPr>
      <w:r>
        <w:drawing>
          <wp:inline xmlns:a="http://schemas.openxmlformats.org/drawingml/2006/main" xmlns:pic="http://schemas.openxmlformats.org/drawingml/2006/picture">
            <wp:extent cx="5832000" cy="2954880"/>
            <wp:docPr id="2" name="Picture 2"/>
            <wp:cNvGraphicFramePr>
              <a:graphicFrameLocks noChangeAspect="1"/>
            </wp:cNvGraphicFramePr>
            <a:graphic>
              <a:graphicData uri="http://schemas.openxmlformats.org/drawingml/2006/picture">
                <pic:pic>
                  <pic:nvPicPr>
                    <pic:cNvPr id="0" name="dashboard_abstained.png"/>
                    <pic:cNvPicPr/>
                  </pic:nvPicPr>
                  <pic:blipFill>
                    <a:blip r:embed="rId10"/>
                    <a:stretch>
                      <a:fillRect/>
                    </a:stretch>
                  </pic:blipFill>
                  <pic:spPr>
                    <a:xfrm>
                      <a:off x="0" y="0"/>
                      <a:ext cx="5832000" cy="2954880"/>
                    </a:xfrm>
                    <a:prstGeom prst="rect"/>
                  </pic:spPr>
                </pic:pic>
              </a:graphicData>
            </a:graphic>
          </wp:inline>
        </w:drawing>
      </w:r>
    </w:p>
    <w:p>
      <w:pPr>
        <w:spacing w:after="200"/>
        <w:jc w:val="center"/>
      </w:pPr>
      <w:r>
        <w:rPr>
          <w:b w:val="0"/>
          <w:i/>
          <w:sz w:val="18"/>
        </w:rPr>
        <w:t>Figure 8.4.2  Confidence-aware abstention (AAPL): the watchlist marks Abstained and the call tile shows the low-confidence state (SRS FR-11).</w:t>
      </w:r>
    </w:p>
    <w:p>
      <w:pPr>
        <w:jc w:val="center"/>
      </w:pPr>
      <w:r>
        <w:drawing>
          <wp:inline xmlns:a="http://schemas.openxmlformats.org/drawingml/2006/main" xmlns:pic="http://schemas.openxmlformats.org/drawingml/2006/picture">
            <wp:extent cx="5832000" cy="5832000"/>
            <wp:docPr id="3" name="Picture 3"/>
            <wp:cNvGraphicFramePr>
              <a:graphicFrameLocks noChangeAspect="1"/>
            </wp:cNvGraphicFramePr>
            <a:graphic>
              <a:graphicData uri="http://schemas.openxmlformats.org/drawingml/2006/picture">
                <pic:pic>
                  <pic:nvPicPr>
                    <pic:cNvPr id="0" name="simulator.png"/>
                    <pic:cNvPicPr/>
                  </pic:nvPicPr>
                  <pic:blipFill>
                    <a:blip r:embed="rId11"/>
                    <a:stretch>
                      <a:fillRect/>
                    </a:stretch>
                  </pic:blipFill>
                  <pic:spPr>
                    <a:xfrm>
                      <a:off x="0" y="0"/>
                      <a:ext cx="5832000" cy="5832000"/>
                    </a:xfrm>
                    <a:prstGeom prst="rect"/>
                  </pic:spPr>
                </pic:pic>
              </a:graphicData>
            </a:graphic>
          </wp:inline>
        </w:drawing>
      </w:r>
    </w:p>
    <w:p>
      <w:pPr>
        <w:spacing w:after="200"/>
        <w:jc w:val="center"/>
      </w:pPr>
      <w:r>
        <w:rPr>
          <w:b w:val="0"/>
          <w:i/>
          <w:sz w:val="18"/>
        </w:rPr>
        <w:t>Figure 8.4.3  Simulation Engine: choose a stock, design the false data, preview it, then run it through the real drift pipeline in a sandbox.</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