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Cahier des charges – Coach Trail</w:t>
      </w:r>
    </w:p>
    <w:p>
      <w:pPr/>
      <w:r>
        <w:t xml:space="preserve">Oct 26, 2026</w:t>
      </w:r>
      <w:r>
        <w:t xml:space="preserve"> · </w:t>
      </w:r>
      <w:r>
        <w:t xml:space="preserve">@Antoine Gautier</w:t>
      </w:r>
    </w:p>
    <w:p>
      <w:pPr>
        <w:pStyle w:val="Heading2"/>
      </w:pPr>
      <w:r>
        <w:t xml:space="preserve">1. Contexte et objectifs</w:t>
      </w:r>
    </w:p>
    <w:p>
      <w:pPr/>
      <w:r>
        <w:t xml:space="preserve">Coach Trail est une application web personnelle, pour un seul utilisateur, hébergée sur ton homelab Proxmox et joignable uniquement par Tailscale sur coach.himitris.fr. Elle centralise toutes tes données d'entraînement et de récupération, les affiche dans un tableau de bord modulaire et les exporte facilement vers Claude.</w:t>
      </w:r>
    </w:p>
    <w:p>
      <w:pPr/>
      <w:r>
        <w:rPr>
          <w:b/>
        </w:rPr>
        <w:t xml:space="preserve">Contexte athlète (données déjà connues)</w:t>
      </w:r>
    </w:p>
    <w:p>
      <w:pPr>
        <w:pStyle w:val="ListParagraph"/>
        <w:numPr>
          <w:ilvl w:val="0"/>
          <w:numId w:val="2"/>
        </w:numPr>
      </w:pPr>
      <w:r>
        <w:t xml:space="preserve">Objectifs : Trail des 3 Rocs (31 km, ~1600 m D+, 8 nov. 2026), puis Trail de Bruniquel mi-février 2027 (39 km envisagé), ultras plus tard.</w:t>
      </w:r>
    </w:p>
    <w:p>
      <w:pPr>
        <w:pStyle w:val="ListParagraph"/>
        <w:numPr>
          <w:ilvl w:val="0"/>
          <w:numId w:val="2"/>
        </w:numPr>
      </w:pPr>
      <w:r>
        <w:t xml:space="preserve">Méthode : 80/20, 6 jours de course par semaine, FC max 195 bpm.</w:t>
      </w:r>
    </w:p>
    <w:p>
      <w:pPr>
        <w:pStyle w:val="ListParagraph"/>
        <w:numPr>
          <w:ilvl w:val="0"/>
          <w:numId w:val="2"/>
        </w:numPr>
      </w:pPr>
      <w:r>
        <w:t xml:space="preserve">Matériel : Garmin FR955 + Polar H10, compte Intervals.icu alimenté par la montre.</w:t>
      </w:r>
    </w:p>
    <w:p>
      <w:pPr/>
      <w:r>
        <w:rPr>
          <w:b/>
        </w:rPr>
        <w:t xml:space="preserve">Objectifs de l'application</w:t>
      </w:r>
    </w:p>
    <w:p>
      <w:pPr>
        <w:pStyle w:val="ListParagraph"/>
        <w:numPr>
          <w:ilvl w:val="0"/>
          <w:numId w:val="3"/>
        </w:numPr>
      </w:pPr>
      <w:r>
        <w:t xml:space="preserve">Récupérer automatiquement activités, sommeil, HRV, FC repos et charge, sans saisie manuelle.</w:t>
      </w:r>
    </w:p>
    <w:p>
      <w:pPr>
        <w:pStyle w:val="ListParagraph"/>
        <w:numPr>
          <w:ilvl w:val="0"/>
          <w:numId w:val="3"/>
        </w:numPr>
      </w:pPr>
      <w:r>
        <w:t xml:space="preserve">Offrir un tableau de bord où tu choisis, places et redimensionnes des cadres, avec plusieurs pages accessibles en un clic.</w:t>
      </w:r>
    </w:p>
    <w:p>
      <w:pPr>
        <w:pStyle w:val="ListParagraph"/>
        <w:numPr>
          <w:ilvl w:val="0"/>
          <w:numId w:val="3"/>
        </w:numPr>
      </w:pPr>
      <w:r>
        <w:t xml:space="preserve">Afficher le programme de la semaine et le comparer au réalisé.</w:t>
      </w:r>
    </w:p>
    <w:p>
      <w:pPr>
        <w:pStyle w:val="ListParagraph"/>
        <w:numPr>
          <w:ilvl w:val="0"/>
          <w:numId w:val="3"/>
        </w:numPr>
      </w:pPr>
      <w:r>
        <w:t xml:space="preserve">Exporter n'importe quelle vue ou période en un format directement exploitable par Claude.</w:t>
      </w:r>
    </w:p>
    <w:p>
      <w:pPr>
        <w:pStyle w:val="ListParagraph"/>
        <w:numPr>
          <w:ilvl w:val="0"/>
          <w:numId w:val="3"/>
        </w:numPr>
      </w:pPr>
      <w:r>
        <w:t xml:space="preserve">Continuer à fonctionner si une source de données tombe (mode dégradé).</w:t>
      </w:r>
    </w:p>
    <w:p>
      <w:pPr/>
      <w:r>
        <w:rPr>
          <w:b/>
        </w:rPr>
        <w:t xml:space="preserve">Hors périmètre</w:t>
      </w:r>
      <w:r>
        <w:t xml:space="preserve"> : comptes et multi-utilisateurs, partage social, prédiction de blessure, accès depuis Internet public.</w:t>
      </w:r>
    </w:p>
    <w:p>
      <w:pPr>
        <w:pStyle w:val="Heading2"/>
      </w:pPr>
      <w:r>
        <w:t xml:space="preserve">2. Ce que la recherche change</w:t>
      </w:r>
    </w:p>
    <w:p>
      <w:pPr/>
      <w:r>
        <w:t xml:space="preserve">Six constats modifient le projet par rapport à l'idée de départ : Garmin reste la source principale mais fragile, donc Intervals.icu sert de repli, et plusieurs indicateurs populaires ne seront pas présentés comme des alertes.</w:t>
      </w:r>
    </w:p>
    <w:tbl>
      <w:tblPr>
        <w:tblStyle w:val="TableGrid"/>
        <w:tblW w:w="0" w:type="auto"/>
        <w:tblLayout w:type="fixed"/>
        <w:tblLook w:val="04A0" w:firstRow="1" w:lastRow="0" w:firstColumn="0" w:lastColumn="0" w:noHBand="0" w:noVBand="1"/>
      </w:tblPr>
      <w:tblGrid>
        <w:gridCol w:w="4442"/>
        <w:gridCol w:w="3170"/>
        <w:gridCol w:w="1748"/>
      </w:tblGrid>
      <w:tr>
        <w:trPr>
          <w:tblHeader/>
        </w:trPr>
        <w:tc>
          <w:tcPr>
            <w:tcW w:w="4442" w:type="dxa"/>
            <w:shd w:val="clear" w:color="auto" w:fill="F2F2F2"/>
          </w:tcPr>
          <w:p>
            <w:pPr/>
            <w:r>
              <w:t xml:space="preserve">Constat</w:t>
            </w:r>
          </w:p>
        </w:tc>
        <w:tc>
          <w:tcPr>
            <w:tcW w:w="3170" w:type="dxa"/>
            <w:shd w:val="clear" w:color="auto" w:fill="F2F2F2"/>
          </w:tcPr>
          <w:p>
            <w:pPr/>
            <w:r>
              <w:t xml:space="preserve">Conséquence pour l'appli</w:t>
            </w:r>
          </w:p>
        </w:tc>
        <w:tc>
          <w:tcPr>
            <w:tcW w:w="1748" w:type="dxa"/>
            <w:shd w:val="clear" w:color="auto" w:fill="F2F2F2"/>
          </w:tcPr>
          <w:p>
            <w:pPr/>
            <w:r>
              <w:t xml:space="preserve">Source</w:t>
            </w:r>
          </w:p>
        </w:tc>
      </w:tr>
      <w:tr>
        <w:tc>
          <w:tcPr>
            <w:tcW w:w="4442" w:type="dxa"/>
          </w:tcPr>
          <w:p>
            <w:pPr/>
            <w:r>
              <w:t xml:space="preserve">Aucune preuve ne soutient l'usage du ratio charge aiguë/chronique (ACWR) pour réduire le risque de blessure</w:t>
            </w:r>
          </w:p>
        </w:tc>
        <w:tc>
          <w:tcPr>
            <w:tcW w:w="3170" w:type="dxa"/>
          </w:tcPr>
          <w:p>
            <w:pPr/>
            <w:r>
              <w:t xml:space="preserve">Pas de « zone verte 0,8–1,3 » ni d'alerte rouge à 1,5. Garmin l'expose, on peut l'afficher en information seulement</w:t>
            </w:r>
          </w:p>
        </w:tc>
        <w:tc>
          <w:tcPr>
            <w:tcW w:w="1748" w:type="dxa"/>
          </w:tcPr>
          <w:p>
            <w:pPr/>
            <w:hyperlink r:id="rId3" w:history="1">
              <w:r>
                <w:rPr>
                  <w:rStyle w:val="Hyperlink"/>
                </w:rPr>
                <w:t xml:space="preserve">Impellizzeri 2020</w:t>
              </w:r>
            </w:hyperlink>
          </w:p>
        </w:tc>
      </w:tr>
      <w:tr>
        <w:tc>
          <w:tcPr>
            <w:tcW w:w="4442" w:type="dxa"/>
          </w:tcPr>
          <w:p>
            <w:pPr/>
            <w:r>
              <w:t xml:space="preserve">Les preuves liant hausse brutale de charge et blessure sont très limitées : environ +30 % de kilométrage hebdo ≈ 1,6× plus de blessures vs moins de +10 %, sans différence entre +10 et +24 %</w:t>
            </w:r>
          </w:p>
        </w:tc>
        <w:tc>
          <w:tcPr>
            <w:tcW w:w="3170" w:type="dxa"/>
          </w:tcPr>
          <w:p>
            <w:pPr/>
            <w:r>
              <w:t xml:space="preserve">Suivre la progression hebdo (temps, D+) comme repère de bon sens, jamais comme prédicteur</w:t>
            </w:r>
          </w:p>
        </w:tc>
        <w:tc>
          <w:tcPr>
            <w:tcW w:w="1748" w:type="dxa"/>
          </w:tcPr>
          <w:p>
            <w:pPr/>
            <w:hyperlink r:id="rId4" w:history="1">
              <w:r>
                <w:rPr>
                  <w:rStyle w:val="Hyperlink"/>
                </w:rPr>
                <w:t xml:space="preserve">Damsted 2018</w:t>
              </w:r>
            </w:hyperlink>
            <w:r>
              <w:t xml:space="preserve">, </w:t>
            </w:r>
            <w:hyperlink r:id="rId5" w:history="1">
              <w:r>
                <w:rPr>
                  <w:rStyle w:val="Hyperlink"/>
                </w:rPr>
                <w:t xml:space="preserve">résumé RUNSAFE</w:t>
              </w:r>
            </w:hyperlink>
          </w:p>
        </w:tc>
      </w:tr>
      <w:tr>
        <w:tc>
          <w:tcPr>
            <w:tcW w:w="4442" w:type="dxa"/>
          </w:tcPr>
          <w:p>
            <w:pPr/>
            <w:r>
              <w:t xml:space="preserve">L'entraînement guidé par la HRV améliore surtout la HRV elle-même ; l'effet sur la performance est au mieux petit</w:t>
            </w:r>
          </w:p>
        </w:tc>
        <w:tc>
          <w:tcPr>
            <w:tcW w:w="3170" w:type="dxa"/>
          </w:tcPr>
          <w:p>
            <w:pPr/>
            <w:r>
              <w:t xml:space="preserve">HRV en tendance (moyenne 7 jours vs base 30–60 jours), pas en feu vert/rouge quotidien</w:t>
            </w:r>
          </w:p>
        </w:tc>
        <w:tc>
          <w:tcPr>
            <w:tcW w:w="1748" w:type="dxa"/>
          </w:tcPr>
          <w:p>
            <w:pPr/>
            <w:hyperlink r:id="rId6" w:history="1">
              <w:r>
                <w:rPr>
                  <w:rStyle w:val="Hyperlink"/>
                </w:rPr>
                <w:t xml:space="preserve">Manresa-Rocamora 2021</w:t>
              </w:r>
            </w:hyperlink>
          </w:p>
        </w:tc>
      </w:tr>
      <w:tr>
        <w:tc>
          <w:tcPr>
            <w:tcW w:w="4442" w:type="dxa"/>
          </w:tcPr>
          <w:p>
            <w:pPr/>
            <w:r>
              <w:t xml:space="preserve">Strava ne fournit ni HRV, ni sommeil, ni FC repos ; ses quotas par défaut sont 200 requêtes/15 min et 2 000/jour</w:t>
            </w:r>
          </w:p>
        </w:tc>
        <w:tc>
          <w:tcPr>
            <w:tcW w:w="3170" w:type="dxa"/>
          </w:tcPr>
          <w:p>
            <w:pPr/>
            <w:r>
              <w:t xml:space="preserve">Strava seul est insuffisant pour ton besoin « toutes les données »</w:t>
            </w:r>
          </w:p>
        </w:tc>
        <w:tc>
          <w:tcPr>
            <w:tcW w:w="1748" w:type="dxa"/>
          </w:tcPr>
          <w:p>
            <w:pPr/>
            <w:hyperlink r:id="rId7" w:history="1">
              <w:r>
                <w:rPr>
                  <w:rStyle w:val="Hyperlink"/>
                </w:rPr>
                <w:t xml:space="preserve">Quotas Strava</w:t>
              </w:r>
            </w:hyperlink>
            <w:r>
              <w:t xml:space="preserve">, </w:t>
            </w:r>
            <w:hyperlink r:id="rId8" w:history="1">
              <w:r>
                <w:rPr>
                  <w:rStyle w:val="Hyperlink"/>
                </w:rPr>
                <w:t xml:space="preserve">Open Wearables</w:t>
              </w:r>
            </w:hyperlink>
          </w:p>
        </w:tc>
      </w:tr>
      <w:tr>
        <w:tc>
          <w:tcPr>
            <w:tcW w:w="4442" w:type="dxa"/>
          </w:tcPr>
          <w:p>
            <w:pPr/>
            <w:r>
              <w:t xml:space="preserve">L'API Garmin officielle est réservée aux partenaires ; la bibliothèque non officielle a cassé en mars 2026 quand Garmin a renforcé sa protection anti-bot</w:t>
            </w:r>
          </w:p>
        </w:tc>
        <w:tc>
          <w:tcPr>
            <w:tcW w:w="3170" w:type="dxa"/>
          </w:tcPr>
          <w:p>
            <w:pPr/>
            <w:r>
              <w:t xml:space="preserve">Garmin = source principale, avec repli automatique sur Intervals.icu</w:t>
            </w:r>
          </w:p>
        </w:tc>
        <w:tc>
          <w:tcPr>
            <w:tcW w:w="1748" w:type="dxa"/>
          </w:tcPr>
          <w:p>
            <w:pPr/>
            <w:hyperlink r:id="rId9" w:history="1">
              <w:r>
                <w:rPr>
                  <w:rStyle w:val="Hyperlink"/>
                </w:rPr>
                <w:t xml:space="preserve">garmin-mcp</w:t>
              </w:r>
            </w:hyperlink>
            <w:r>
              <w:t xml:space="preserve">, </w:t>
            </w:r>
            <w:hyperlink r:id="rId10" w:history="1">
              <w:r>
                <w:rPr>
                  <w:rStyle w:val="Hyperlink"/>
                </w:rPr>
                <w:t xml:space="preserve">python-garminconnect</w:t>
              </w:r>
            </w:hyperlink>
          </w:p>
        </w:tc>
      </w:tr>
      <w:tr>
        <w:tc>
          <w:tcPr>
            <w:tcW w:w="4442" w:type="dxa"/>
          </w:tcPr>
          <w:p>
            <w:pPr/>
            <w:r>
              <w:t xml:space="preserve">Intervals.icu expose une API avec activités, flux seconde par seconde, bien-être (HRV, sommeil, FC repos), CTL/ATL et calendrier</w:t>
            </w:r>
          </w:p>
        </w:tc>
        <w:tc>
          <w:tcPr>
            <w:tcW w:w="3170" w:type="dxa"/>
          </w:tcPr>
          <w:p>
            <w:pPr/>
            <w:r>
              <w:t xml:space="preserve">Copie de tes données Garmin, plus stable : repli si la bibliothèque Garmin casse, invisible au quotidien dans l'appli</w:t>
            </w:r>
          </w:p>
        </w:tc>
        <w:tc>
          <w:tcPr>
            <w:tcW w:w="1748" w:type="dxa"/>
          </w:tcPr>
          <w:p>
            <w:pPr/>
            <w:hyperlink r:id="rId11" w:history="1">
              <w:r>
                <w:rPr>
                  <w:rStyle w:val="Hyperlink"/>
                </w:rPr>
                <w:t xml:space="preserve">intervals-icu-tools</w:t>
              </w:r>
            </w:hyperlink>
            <w:r>
              <w:t xml:space="preserve">, </w:t>
            </w:r>
            <w:hyperlink r:id="rId12" w:history="1">
              <w:r>
                <w:rPr>
                  <w:rStyle w:val="Hyperlink"/>
                </w:rPr>
                <w:t xml:space="preserve">outils icu</w:t>
              </w:r>
            </w:hyperlink>
          </w:p>
        </w:tc>
      </w:tr>
    </w:tbl>
    <w:p>
      <w:pPr/>
      <w:r>
        <w:t xml:space="preserve">Ton Intervals.icu étant alimenté par Garmin, il ne contient rien que Garmin n'ait pas : Garmin devient la source principale, comme tu le souhaites. Le risque est sa fragilité, d'où Intervals.icu gardé en arrière-plan comme repli, sans que tu aies à l'ouvrir.</w:t>
      </w:r>
    </w:p>
    <w:p>
      <w:pPr/>
      <w:r>
        <w:rPr>
          <w:b/>
        </w:rPr>
        <w:t xml:space="preserve">À vérifier</w:t>
      </w:r>
      <w:r>
        <w:t xml:space="preserve"> : les conditions de l'API Strava (version du 1er juin 2026) interdisent l'entraînement d'IA avec ses données. Envoyer tes propres séances à Claude pour analyse n'est pas de l'entraînement, mais lis le </w:t>
      </w:r>
      <w:hyperlink r:id="rId13" w:history="1">
        <w:r>
          <w:rPr>
            <w:rStyle w:val="Hyperlink"/>
          </w:rPr>
          <w:t xml:space="preserve">texte officiel</w:t>
        </w:r>
      </w:hyperlink>
      <w:r>
        <w:t xml:space="preserve"> avant d'activer Strava.</w:t>
      </w:r>
    </w:p>
    <w:p>
      <w:pPr>
        <w:pStyle w:val="Heading2"/>
      </w:pPr>
      <w:r>
        <w:t xml:space="preserve">3. Sources de données</w:t>
      </w:r>
    </w:p>
    <w:p>
      <w:pPr/>
      <w:r>
        <w:t xml:space="preserve">Le plan retenu : Garmin Connect comme source principale (la plus à jour, tous les indicateurs), Intervals.icu en repli silencieux, Strava en option.</w:t>
      </w:r>
    </w:p>
    <w:tbl>
      <w:tblPr>
        <w:tblStyle w:val="TableGrid"/>
        <w:tblW w:w="0" w:type="auto"/>
        <w:tblLayout w:type="fixed"/>
        <w:tblLook w:val="04A0" w:firstRow="1" w:lastRow="0" w:firstColumn="0" w:lastColumn="0" w:noHBand="0" w:noVBand="1"/>
      </w:tblPr>
      <w:tblGrid>
        <w:gridCol w:w="1596"/>
        <w:gridCol w:w="2840"/>
        <w:gridCol w:w="1477"/>
        <w:gridCol w:w="1904"/>
        <w:gridCol w:w="1543"/>
      </w:tblGrid>
      <w:tr>
        <w:trPr>
          <w:tblHeader/>
        </w:trPr>
        <w:tc>
          <w:tcPr>
            <w:tcW w:w="1596" w:type="dxa"/>
            <w:shd w:val="clear" w:color="auto" w:fill="F2F2F2"/>
          </w:tcPr>
          <w:p>
            <w:pPr/>
            <w:r>
              <w:t xml:space="preserve">Source</w:t>
            </w:r>
          </w:p>
        </w:tc>
        <w:tc>
          <w:tcPr>
            <w:tcW w:w="2840" w:type="dxa"/>
            <w:shd w:val="clear" w:color="auto" w:fill="F2F2F2"/>
          </w:tcPr>
          <w:p>
            <w:pPr/>
            <w:r>
              <w:t xml:space="preserve">Données utiles</w:t>
            </w:r>
          </w:p>
        </w:tc>
        <w:tc>
          <w:tcPr>
            <w:tcW w:w="1477" w:type="dxa"/>
            <w:shd w:val="clear" w:color="auto" w:fill="F2F2F2"/>
          </w:tcPr>
          <w:p>
            <w:pPr/>
            <w:r>
              <w:t xml:space="preserve">Accès</w:t>
            </w:r>
          </w:p>
        </w:tc>
        <w:tc>
          <w:tcPr>
            <w:tcW w:w="1904" w:type="dxa"/>
            <w:shd w:val="clear" w:color="auto" w:fill="F2F2F2"/>
          </w:tcPr>
          <w:p>
            <w:pPr/>
            <w:r>
              <w:t xml:space="preserve">Risque</w:t>
            </w:r>
          </w:p>
        </w:tc>
        <w:tc>
          <w:tcPr>
            <w:tcW w:w="1543" w:type="dxa"/>
            <w:shd w:val="clear" w:color="auto" w:fill="F2F2F2"/>
          </w:tcPr>
          <w:p>
            <w:pPr/>
            <w:r>
              <w:t xml:space="preserve">Rôle</w:t>
            </w:r>
          </w:p>
        </w:tc>
      </w:tr>
      <w:tr>
        <w:tc>
          <w:tcPr>
            <w:tcW w:w="1596" w:type="dxa"/>
          </w:tcPr>
          <w:p>
            <w:pPr/>
            <w:r>
              <w:t xml:space="preserve">Intervals.icu</w:t>
            </w:r>
          </w:p>
        </w:tc>
        <w:tc>
          <w:tcPr>
            <w:tcW w:w="2840" w:type="dxa"/>
          </w:tcPr>
          <w:p>
            <w:pPr/>
            <w:r>
              <w:t xml:space="preserve">Activités et flux (FC, allure, altitude), HRV, sommeil, FC repos, poids, CTL/ATL, calendrier d'entraînement</w:t>
            </w:r>
          </w:p>
        </w:tc>
        <w:tc>
          <w:tcPr>
            <w:tcW w:w="1477" w:type="dxa"/>
          </w:tcPr>
          <w:p>
            <w:pPr/>
            <w:r>
              <w:t xml:space="preserve">Clé API personnelle ou OAuth2</w:t>
            </w:r>
          </w:p>
        </w:tc>
        <w:tc>
          <w:tcPr>
            <w:tcW w:w="1904" w:type="dxa"/>
          </w:tcPr>
          <w:p>
            <w:pPr/>
            <w:r>
              <w:t xml:space="preserve">Faible : API documentée, ton compte existe</w:t>
            </w:r>
          </w:p>
        </w:tc>
        <w:tc>
          <w:tcPr>
            <w:tcW w:w="1543" w:type="dxa"/>
          </w:tcPr>
          <w:p>
            <w:pPr/>
            <w:r>
              <w:t xml:space="preserve">Repli silencieux</w:t>
            </w:r>
          </w:p>
        </w:tc>
      </w:tr>
      <w:tr>
        <w:tc>
          <w:tcPr>
            <w:tcW w:w="1596" w:type="dxa"/>
          </w:tcPr>
          <w:p>
            <w:pPr/>
            <w:r>
              <w:t xml:space="preserve">Garmin Connect (bibliothèque non officielle)</w:t>
            </w:r>
          </w:p>
        </w:tc>
        <w:tc>
          <w:tcPr>
            <w:tcW w:w="2840" w:type="dxa"/>
          </w:tcPr>
          <w:p>
            <w:pPr/>
            <w:r>
              <w:t xml:space="preserve">Training Readiness, Body Battery, statut HRV et plage de référence, statut d'entraînement, stress, SpO2, prédictions de course</w:t>
            </w:r>
          </w:p>
        </w:tc>
        <w:tc>
          <w:tcPr>
            <w:tcW w:w="1477" w:type="dxa"/>
          </w:tcPr>
          <w:p>
            <w:pPr/>
            <w:r>
              <w:t xml:space="preserve">Jetons de session, connexion unique avec MFA</w:t>
            </w:r>
          </w:p>
        </w:tc>
        <w:tc>
          <w:tcPr>
            <w:tcW w:w="1904" w:type="dxa"/>
          </w:tcPr>
          <w:p>
            <w:pPr/>
            <w:r>
              <w:t xml:space="preserve">Élevé : peut casser sans préavis, contraire aux conditions Garmin</w:t>
            </w:r>
          </w:p>
        </w:tc>
        <w:tc>
          <w:tcPr>
            <w:tcW w:w="1543" w:type="dxa"/>
          </w:tcPr>
          <w:p>
            <w:pPr/>
            <w:r>
              <w:t xml:space="preserve">Principale, avec repli sur Intervals.icu</w:t>
            </w:r>
          </w:p>
        </w:tc>
      </w:tr>
      <w:tr>
        <w:tc>
          <w:tcPr>
            <w:tcW w:w="1596" w:type="dxa"/>
          </w:tcPr>
          <w:p>
            <w:pPr/>
            <w:r>
              <w:t xml:space="preserve">Strava</w:t>
            </w:r>
          </w:p>
        </w:tc>
        <w:tc>
          <w:tcPr>
            <w:tcW w:w="2840" w:type="dxa"/>
          </w:tcPr>
          <w:p>
            <w:pPr/>
            <w:r>
              <w:t xml:space="preserve">Activités, flux, segments</w:t>
            </w:r>
          </w:p>
        </w:tc>
        <w:tc>
          <w:tcPr>
            <w:tcW w:w="1477" w:type="dxa"/>
          </w:tcPr>
          <w:p>
            <w:pPr/>
            <w:r>
              <w:t xml:space="preserve">OAuth2, 200 requêtes/15 min</w:t>
            </w:r>
          </w:p>
        </w:tc>
        <w:tc>
          <w:tcPr>
            <w:tcW w:w="1904" w:type="dxa"/>
          </w:tcPr>
          <w:p>
            <w:pPr/>
            <w:r>
              <w:t xml:space="preserve">Moyen : conditions API durcies au 1er juin 2026, rien sur la récupération</w:t>
            </w:r>
          </w:p>
        </w:tc>
        <w:tc>
          <w:tcPr>
            <w:tcW w:w="1543" w:type="dxa"/>
          </w:tcPr>
          <w:p>
            <w:pPr/>
            <w:r>
              <w:t xml:space="preserve">Optionnelle (phase 3)</w:t>
            </w:r>
          </w:p>
        </w:tc>
      </w:tr>
      <w:tr>
        <w:tc>
          <w:tcPr>
            <w:tcW w:w="1596" w:type="dxa"/>
          </w:tcPr>
          <w:p>
            <w:pPr/>
            <w:r>
              <w:t xml:space="preserve">Fichiers FIT/GPX</w:t>
            </w:r>
          </w:p>
        </w:tc>
        <w:tc>
          <w:tcPr>
            <w:tcW w:w="2840" w:type="dxa"/>
          </w:tcPr>
          <w:p>
            <w:pPr/>
            <w:r>
              <w:t xml:space="preserve">Séance brute complète</w:t>
            </w:r>
          </w:p>
        </w:tc>
        <w:tc>
          <w:tcPr>
            <w:tcW w:w="1477" w:type="dxa"/>
          </w:tcPr>
          <w:p>
            <w:pPr/>
            <w:r>
              <w:t xml:space="preserve">Import manuel dans l'appli</w:t>
            </w:r>
          </w:p>
        </w:tc>
        <w:tc>
          <w:tcPr>
            <w:tcW w:w="1904" w:type="dxa"/>
          </w:tcPr>
          <w:p>
            <w:pPr/>
            <w:r>
              <w:t xml:space="preserve">Nul</w:t>
            </w:r>
          </w:p>
        </w:tc>
        <w:tc>
          <w:tcPr>
            <w:tcW w:w="1543" w:type="dxa"/>
          </w:tcPr>
          <w:p>
            <w:pPr/>
            <w:r>
              <w:t xml:space="preserve">Secours et rattrapage</w:t>
            </w:r>
          </w:p>
        </w:tc>
      </w:tr>
    </w:tbl>
    <w:p>
      <w:pPr/>
      <w:r>
        <w:rPr>
          <w:b/>
        </w:rPr>
        <w:t xml:space="preserve">Règles de synchronisation</w:t>
      </w:r>
    </w:p>
    <w:p>
      <w:pPr>
        <w:pStyle w:val="ListParagraph"/>
        <w:numPr>
          <w:ilvl w:val="0"/>
          <w:numId w:val="4"/>
        </w:numPr>
      </w:pPr>
      <w:r>
        <w:t xml:space="preserve">Planification : synchronisation automatique chaque nuit, plus un bouton « synchroniser maintenant ». Pas de scrutation fréquente.</w:t>
      </w:r>
    </w:p>
    <w:p>
      <w:pPr>
        <w:pStyle w:val="ListParagraph"/>
        <w:numPr>
          <w:ilvl w:val="0"/>
          <w:numId w:val="4"/>
        </w:numPr>
      </w:pPr>
      <w:r>
        <w:t xml:space="preserve">Stockage en deux couches : réponses brutes JSON conservées telles quelles, puis tables normalisées reconstruites à volonté. Cela permet de corriger un calcul sans rappeler les API.</w:t>
      </w:r>
    </w:p>
    <w:p>
      <w:pPr>
        <w:pStyle w:val="ListParagraph"/>
        <w:numPr>
          <w:ilvl w:val="0"/>
          <w:numId w:val="4"/>
        </w:numPr>
      </w:pPr>
      <w:r>
        <w:t xml:space="preserve">Idempotence : relancer une synchronisation ne crée jamais de doublon.</w:t>
      </w:r>
    </w:p>
    <w:p>
      <w:pPr>
        <w:pStyle w:val="ListParagraph"/>
        <w:numPr>
          <w:ilvl w:val="0"/>
          <w:numId w:val="4"/>
        </w:numPr>
      </w:pPr>
      <w:r>
        <w:t xml:space="preserve">Déduplication des séances entre sources : même heure de départ à ±60 s et durée voisine.</w:t>
      </w:r>
    </w:p>
    <w:p>
      <w:pPr>
        <w:pStyle w:val="ListParagraph"/>
        <w:numPr>
          <w:ilvl w:val="0"/>
          <w:numId w:val="4"/>
        </w:numPr>
      </w:pPr>
      <w:r>
        <w:t xml:space="preserve">Quotas : lire les en-têtes de limite renvoyés par Strava et ralentir avant le blocage.</w:t>
      </w:r>
    </w:p>
    <w:p>
      <w:pPr>
        <w:pStyle w:val="ListParagraph"/>
        <w:numPr>
          <w:ilvl w:val="0"/>
          <w:numId w:val="4"/>
        </w:numPr>
      </w:pPr>
      <w:r>
        <w:t xml:space="preserve">Repli : si Garmin échoue, l'appli bascule sur Intervals.icu pour les séances et le bien-être, et affiche un badge « Garmin indisponible depuis le … » et garde les dernières valeurs, sans erreur bloquante.</w:t>
      </w:r>
    </w:p>
    <w:p>
      <w:pPr>
        <w:pStyle w:val="ListParagraph"/>
        <w:numPr>
          <w:ilvl w:val="0"/>
          <w:numId w:val="4"/>
        </w:numPr>
      </w:pPr>
      <w:r>
        <w:t xml:space="preserve">Renouvellement : les jetons Garmin durent environ un an selon la bibliothèque ; prévoir un écran de reconnexion.</w:t>
      </w:r>
    </w:p>
    <w:p>
      <w:pPr>
        <w:pStyle w:val="Heading2"/>
      </w:pPr>
      <w:r>
        <w:t xml:space="preserve">4. Métriques à mettre en avant</w:t>
      </w:r>
    </w:p>
    <w:p>
      <w:pPr/>
      <w:r>
        <w:t xml:space="preserve">La règle : afficher les composantes (volume, intensité, récupération) avec leur tendance, et ne jamais fabriquer un score unique opaque. Le niveau de preuve est indiqué pour que tu saches quoi croire.</w:t>
      </w:r>
    </w:p>
    <w:tbl>
      <w:tblPr>
        <w:tblStyle w:val="TableGrid"/>
        <w:tblW w:w="0" w:type="auto"/>
        <w:tblLayout w:type="fixed"/>
        <w:tblLook w:val="04A0" w:firstRow="1" w:lastRow="0" w:firstColumn="0" w:lastColumn="0" w:noHBand="0" w:noVBand="1"/>
      </w:tblPr>
      <w:tblGrid>
        <w:gridCol w:w="1608"/>
        <w:gridCol w:w="2073"/>
        <w:gridCol w:w="2448"/>
        <w:gridCol w:w="2362"/>
        <w:gridCol w:w="869"/>
      </w:tblGrid>
      <w:tr>
        <w:trPr>
          <w:tblHeader/>
        </w:trPr>
        <w:tc>
          <w:tcPr>
            <w:tcW w:w="1608" w:type="dxa"/>
            <w:shd w:val="clear" w:color="auto" w:fill="F2F2F2"/>
          </w:tcPr>
          <w:p>
            <w:pPr/>
            <w:r>
              <w:t xml:space="preserve">Famille</w:t>
            </w:r>
          </w:p>
        </w:tc>
        <w:tc>
          <w:tcPr>
            <w:tcW w:w="2073" w:type="dxa"/>
            <w:shd w:val="clear" w:color="auto" w:fill="F2F2F2"/>
          </w:tcPr>
          <w:p>
            <w:pPr/>
            <w:r>
              <w:t xml:space="preserve">Métrique</w:t>
            </w:r>
          </w:p>
        </w:tc>
        <w:tc>
          <w:tcPr>
            <w:tcW w:w="2448" w:type="dxa"/>
            <w:shd w:val="clear" w:color="auto" w:fill="F2F2F2"/>
          </w:tcPr>
          <w:p>
            <w:pPr/>
            <w:r>
              <w:t xml:space="preserve">Preuve</w:t>
            </w:r>
          </w:p>
        </w:tc>
        <w:tc>
          <w:tcPr>
            <w:tcW w:w="2362" w:type="dxa"/>
            <w:shd w:val="clear" w:color="auto" w:fill="F2F2F2"/>
          </w:tcPr>
          <w:p>
            <w:pPr/>
            <w:r>
              <w:t xml:space="preserve">Usage et repères</w:t>
            </w:r>
          </w:p>
        </w:tc>
        <w:tc>
          <w:tcPr>
            <w:tcW w:w="869" w:type="dxa"/>
            <w:shd w:val="clear" w:color="auto" w:fill="F2F2F2"/>
          </w:tcPr>
          <w:p>
            <w:pPr/>
            <w:r>
              <w:t xml:space="preserve">Phase</w:t>
            </w:r>
          </w:p>
        </w:tc>
      </w:tr>
      <w:tr>
        <w:tc>
          <w:tcPr>
            <w:tcW w:w="1608" w:type="dxa"/>
          </w:tcPr>
          <w:p>
            <w:pPr/>
            <w:r>
              <w:t xml:space="preserve">Volume</w:t>
            </w:r>
          </w:p>
        </w:tc>
        <w:tc>
          <w:tcPr>
            <w:tcW w:w="2073" w:type="dxa"/>
          </w:tcPr>
          <w:p>
            <w:pPr/>
            <w:r>
              <w:t xml:space="preserve">Temps hebdo, distance, D+, D+/km, D-</w:t>
            </w:r>
          </w:p>
        </w:tc>
        <w:tc>
          <w:tcPr>
            <w:tcW w:w="2448" w:type="dxa"/>
          </w:tcPr>
          <w:p>
            <w:pPr/>
            <w:r>
              <w:t xml:space="preserve">Pratique d'entraîneurs ; D+ est moins précis que la distance (altimètre)</w:t>
            </w:r>
          </w:p>
        </w:tc>
        <w:tc>
          <w:tcPr>
            <w:tcW w:w="2362" w:type="dxa"/>
          </w:tcPr>
          <w:p>
            <w:pPr/>
            <w:r>
              <w:t xml:space="preserve">Le temps est la base : garder la hausse hebdo autour de +10 % (repère </w:t>
            </w:r>
            <w:hyperlink r:id="rId14" w:history="1">
              <w:r>
                <w:rPr>
                  <w:rStyle w:val="Hyperlink"/>
                </w:rPr>
                <w:t xml:space="preserve">Koop</w:t>
              </w:r>
            </w:hyperlink>
            <w:r>
              <w:t xml:space="preserve">). Suivre aussi D+ par km pour coller au profil de course</w:t>
            </w:r>
          </w:p>
        </w:tc>
        <w:tc>
          <w:tcPr>
            <w:tcW w:w="869" w:type="dxa"/>
          </w:tcPr>
          <w:p>
            <w:pPr/>
            <w:r>
              <w:t xml:space="preserve">1</w:t>
            </w:r>
          </w:p>
        </w:tc>
      </w:tr>
      <w:tr>
        <w:tc>
          <w:tcPr>
            <w:tcW w:w="1608" w:type="dxa"/>
          </w:tcPr>
          <w:p>
            <w:pPr/>
            <w:r>
              <w:t xml:space="preserve">Intensité</w:t>
            </w:r>
          </w:p>
        </w:tc>
        <w:tc>
          <w:tcPr>
            <w:tcW w:w="2073" w:type="dxa"/>
          </w:tcPr>
          <w:p>
            <w:pPr/>
            <w:r>
              <w:t xml:space="preserve">Temps par zone de FC (5 zones Garmin, seuil lactique Garmin comme repère haut), recalculé depuis les flux. Le seuil aérobie (SL1) n'existe pas sur la montre : les zones 1–2 servent de « bas d'intensité »</w:t>
            </w:r>
          </w:p>
        </w:tc>
        <w:tc>
          <w:tcPr>
            <w:tcW w:w="2448" w:type="dxa"/>
          </w:tcPr>
          <w:p>
            <w:pPr/>
            <w:r>
              <w:t xml:space="preserve">Rosenblat 2019 : léger avantage du polarisé sur le seuil ; Filipas 2022 : pas de différence polarisé/pyramidal chez coureurs entraînés</w:t>
            </w:r>
          </w:p>
        </w:tc>
        <w:tc>
          <w:tcPr>
            <w:tcW w:w="2362" w:type="dxa"/>
          </w:tcPr>
          <w:p>
            <w:pPr/>
            <w:r>
              <w:t xml:space="preserve">Cible 75–80 % du temps en bas d'intensité, observé chez les élites (</w:t>
            </w:r>
            <w:hyperlink r:id="rId15" w:history="1">
              <w:r>
                <w:rPr>
                  <w:rStyle w:val="Hyperlink"/>
                </w:rPr>
                <w:t xml:space="preserve">revue</w:t>
              </w:r>
            </w:hyperlink>
            <w:r>
              <w:t xml:space="preserve">). Afficher le réalisé vs cible, sans jugement à la séance</w:t>
            </w:r>
          </w:p>
        </w:tc>
        <w:tc>
          <w:tcPr>
            <w:tcW w:w="869" w:type="dxa"/>
          </w:tcPr>
          <w:p>
            <w:pPr/>
            <w:r>
              <w:t xml:space="preserve">1</w:t>
            </w:r>
          </w:p>
        </w:tc>
      </w:tr>
      <w:tr>
        <w:tc>
          <w:tcPr>
            <w:tcW w:w="1608" w:type="dxa"/>
          </w:tcPr>
          <w:p>
            <w:pPr/>
            <w:r>
              <w:t xml:space="preserve">Intensité trail</w:t>
            </w:r>
          </w:p>
        </w:tc>
        <w:tc>
          <w:tcPr>
            <w:tcW w:w="2073" w:type="dxa"/>
          </w:tcPr>
          <w:p>
            <w:pPr/>
            <w:r>
              <w:t xml:space="preserve">Allure ajustée à la pente (GAP/NGP), vitesse ascensionnelle</w:t>
            </w:r>
          </w:p>
        </w:tc>
        <w:tc>
          <w:tcPr>
            <w:tcW w:w="2448" w:type="dxa"/>
          </w:tcPr>
          <w:p>
            <w:pPr/>
            <w:r>
              <w:t xml:space="preserve">Modèle de coût énergétique, validé en pratique</w:t>
            </w:r>
          </w:p>
        </w:tc>
        <w:tc>
          <w:tcPr>
            <w:tcW w:w="2362" w:type="dxa"/>
          </w:tcPr>
          <w:p>
            <w:pPr/>
            <w:r>
              <w:t xml:space="preserve">L'allure brute est trompeuse en trail ; comparer les séances en GAP</w:t>
            </w:r>
          </w:p>
        </w:tc>
        <w:tc>
          <w:tcPr>
            <w:tcW w:w="869" w:type="dxa"/>
          </w:tcPr>
          <w:p>
            <w:pPr/>
            <w:r>
              <w:t xml:space="preserve">2</w:t>
            </w:r>
          </w:p>
        </w:tc>
      </w:tr>
      <w:tr>
        <w:tc>
          <w:tcPr>
            <w:tcW w:w="1608" w:type="dxa"/>
          </w:tcPr>
          <w:p>
            <w:pPr/>
            <w:r>
              <w:t xml:space="preserve">Charge</w:t>
            </w:r>
          </w:p>
        </w:tc>
        <w:tc>
          <w:tcPr>
            <w:tcW w:w="2073" w:type="dxa"/>
          </w:tcPr>
          <w:p>
            <w:pPr/>
            <w:r>
              <w:t xml:space="preserve">Charge séance RPE × durée (sRPE), saisie en 5 secondes après la sortie</w:t>
            </w:r>
          </w:p>
        </w:tc>
        <w:tc>
          <w:tcPr>
            <w:tcW w:w="2448" w:type="dxa"/>
          </w:tcPr>
          <w:p>
            <w:pPr/>
            <w:r>
              <w:t xml:space="preserve">Validé (</w:t>
            </w:r>
            <w:hyperlink r:id="rId16" w:history="1">
              <w:r>
                <w:rPr>
                  <w:rStyle w:val="Hyperlink"/>
                </w:rPr>
                <w:t xml:space="preserve">Foster 1998</w:t>
              </w:r>
            </w:hyperlink>
            <w:r>
              <w:t xml:space="preserve">)</w:t>
            </w:r>
          </w:p>
        </w:tc>
        <w:tc>
          <w:tcPr>
            <w:tcW w:w="2362" w:type="dxa"/>
          </w:tcPr>
          <w:p>
            <w:pPr/>
            <w:r>
              <w:t xml:space="preserve">Donnée subjective qui complète la FC, surtout en côte</w:t>
            </w:r>
          </w:p>
        </w:tc>
        <w:tc>
          <w:tcPr>
            <w:tcW w:w="869" w:type="dxa"/>
          </w:tcPr>
          <w:p>
            <w:pPr/>
            <w:r>
              <w:t xml:space="preserve">1</w:t>
            </w:r>
          </w:p>
        </w:tc>
      </w:tr>
      <w:tr>
        <w:tc>
          <w:tcPr>
            <w:tcW w:w="1608" w:type="dxa"/>
          </w:tcPr>
          <w:p>
            <w:pPr/>
            <w:r>
              <w:t xml:space="preserve">Charge</w:t>
            </w:r>
          </w:p>
        </w:tc>
        <w:tc>
          <w:tcPr>
            <w:tcW w:w="2073" w:type="dxa"/>
          </w:tcPr>
          <w:p>
            <w:pPr/>
            <w:r>
              <w:t xml:space="preserve">CTL / ATL / TSB et rampe de CTL (calculés par l'appli à partir des séances Garmin)</w:t>
            </w:r>
          </w:p>
        </w:tc>
        <w:tc>
          <w:tcPr>
            <w:tcW w:w="2448" w:type="dxa"/>
          </w:tcPr>
          <w:p>
            <w:pPr/>
            <w:r>
              <w:t xml:space="preserve">Modèle de Banister, simplifié ; constantes de 42 et 7 jours non individualisées, ignore sommeil et stress</w:t>
            </w:r>
          </w:p>
        </w:tc>
        <w:tc>
          <w:tcPr>
            <w:tcW w:w="2362" w:type="dxa"/>
          </w:tcPr>
          <w:p>
            <w:pPr/>
            <w:r>
              <w:t xml:space="preserve">Courbe de tendance et préparation de course (TSB positif avant l'objectif), pas un verdict. Exige des seuils (FC LT) à jour</w:t>
            </w:r>
          </w:p>
        </w:tc>
        <w:tc>
          <w:tcPr>
            <w:tcW w:w="869" w:type="dxa"/>
          </w:tcPr>
          <w:p>
            <w:pPr/>
            <w:r>
              <w:t xml:space="preserve">1</w:t>
            </w:r>
          </w:p>
        </w:tc>
      </w:tr>
      <w:tr>
        <w:tc>
          <w:tcPr>
            <w:tcW w:w="1608" w:type="dxa"/>
          </w:tcPr>
          <w:p>
            <w:pPr/>
            <w:r>
              <w:t xml:space="preserve">Charge</w:t>
            </w:r>
          </w:p>
        </w:tc>
        <w:tc>
          <w:tcPr>
            <w:tcW w:w="2073" w:type="dxa"/>
          </w:tcPr>
          <w:p>
            <w:pPr/>
            <w:r>
              <w:t xml:space="preserve">Monotonie (moyenne ÷ écart-type des charges quotidiennes) et tension (charge × monotonie)</w:t>
            </w:r>
          </w:p>
        </w:tc>
        <w:tc>
          <w:tcPr>
            <w:tcW w:w="2448" w:type="dxa"/>
          </w:tcPr>
          <w:p>
            <w:pPr/>
            <w:r>
              <w:t xml:space="preserve">Observationnel, petit échantillon (25 athlètes) ; monotonie &gt; 2 avec charge élevée associée à maladies</w:t>
            </w:r>
          </w:p>
        </w:tc>
        <w:tc>
          <w:tcPr>
            <w:tcW w:w="2362" w:type="dxa"/>
          </w:tcPr>
          <w:p>
            <w:pPr/>
            <w:r>
              <w:t xml:space="preserve">Information et alerte douce, jamais prédiction de blessure</w:t>
            </w:r>
          </w:p>
        </w:tc>
        <w:tc>
          <w:tcPr>
            <w:tcW w:w="869" w:type="dxa"/>
          </w:tcPr>
          <w:p>
            <w:pPr/>
            <w:r>
              <w:t xml:space="preserve">2</w:t>
            </w:r>
          </w:p>
        </w:tc>
      </w:tr>
      <w:tr>
        <w:tc>
          <w:tcPr>
            <w:tcW w:w="1608" w:type="dxa"/>
          </w:tcPr>
          <w:p>
            <w:pPr/>
            <w:r>
              <w:t xml:space="preserve">Récupération</w:t>
            </w:r>
          </w:p>
        </w:tc>
        <w:tc>
          <w:tcPr>
            <w:tcW w:w="2073" w:type="dxa"/>
          </w:tcPr>
          <w:p>
            <w:pPr/>
            <w:r>
              <w:t xml:space="preserve">HRV nocturne : moyenne 7 jours vs base personnelle 30–60 jours</w:t>
            </w:r>
          </w:p>
        </w:tc>
        <w:tc>
          <w:tcPr>
            <w:tcW w:w="2448" w:type="dxa"/>
          </w:tcPr>
          <w:p>
            <w:pPr/>
            <w:r>
              <w:t xml:space="preserve">Méta-analyse : effet sur la HRV, gain de performance faible</w:t>
            </w:r>
          </w:p>
        </w:tc>
        <w:tc>
          <w:tcPr>
            <w:tcW w:w="2362" w:type="dxa"/>
          </w:tcPr>
          <w:p>
            <w:pPr/>
            <w:r>
              <w:t xml:space="preserve">Regarder la tendance sur 1–2 semaines. Une valeur isolée est du bruit. Aucun seuil universel : calibrer sur ton historique</w:t>
            </w:r>
          </w:p>
        </w:tc>
        <w:tc>
          <w:tcPr>
            <w:tcW w:w="869" w:type="dxa"/>
          </w:tcPr>
          <w:p>
            <w:pPr/>
            <w:r>
              <w:t xml:space="preserve">1</w:t>
            </w:r>
          </w:p>
        </w:tc>
      </w:tr>
      <w:tr>
        <w:tc>
          <w:tcPr>
            <w:tcW w:w="1608" w:type="dxa"/>
          </w:tcPr>
          <w:p>
            <w:pPr/>
            <w:r>
              <w:t xml:space="preserve">Récupération</w:t>
            </w:r>
          </w:p>
        </w:tc>
        <w:tc>
          <w:tcPr>
            <w:tcW w:w="2073" w:type="dxa"/>
          </w:tcPr>
          <w:p>
            <w:pPr/>
            <w:r>
              <w:t xml:space="preserve">FC de repos</w:t>
            </w:r>
          </w:p>
        </w:tc>
        <w:tc>
          <w:tcPr>
            <w:tcW w:w="2448" w:type="dxa"/>
          </w:tcPr>
          <w:p>
            <w:pPr/>
            <w:r>
              <w:t xml:space="preserve">Revue systématique : variations modérées, dans la variabilité quotidienne (</w:t>
            </w:r>
            <w:hyperlink r:id="rId17" w:history="1">
              <w:r>
                <w:rPr>
                  <w:rStyle w:val="Hyperlink"/>
                </w:rPr>
                <w:t xml:space="preserve">Bosquet 2008</w:t>
              </w:r>
            </w:hyperlink>
            <w:r>
              <w:t xml:space="preserve">)</w:t>
            </w:r>
          </w:p>
        </w:tc>
        <w:tc>
          <w:tcPr>
            <w:tcW w:w="2362" w:type="dxa"/>
          </w:tcPr>
          <w:p>
            <w:pPr/>
            <w:r>
              <w:t xml:space="preserve">Signal secondaire, à lire avec la HRV</w:t>
            </w:r>
          </w:p>
        </w:tc>
        <w:tc>
          <w:tcPr>
            <w:tcW w:w="869" w:type="dxa"/>
          </w:tcPr>
          <w:p>
            <w:pPr/>
            <w:r>
              <w:t xml:space="preserve">1</w:t>
            </w:r>
          </w:p>
        </w:tc>
      </w:tr>
      <w:tr>
        <w:tc>
          <w:tcPr>
            <w:tcW w:w="1608" w:type="dxa"/>
          </w:tcPr>
          <w:p>
            <w:pPr/>
            <w:r>
              <w:t xml:space="preserve">Récupération</w:t>
            </w:r>
          </w:p>
        </w:tc>
        <w:tc>
          <w:tcPr>
            <w:tcW w:w="2073" w:type="dxa"/>
          </w:tcPr>
          <w:p>
            <w:pPr/>
            <w:r>
              <w:t xml:space="preserve">Durée et efficacité du sommeil (moyenne 7 jours)</w:t>
            </w:r>
          </w:p>
        </w:tc>
        <w:tc>
          <w:tcPr>
            <w:tcW w:w="2448" w:type="dxa"/>
          </w:tcPr>
          <w:p>
            <w:pPr/>
            <w:r>
              <w:t xml:space="preserve">Athlètes en surmenage fonctionnel : sommeil −7,9 %, infections respiratoires 67 % vs 11 % (</w:t>
            </w:r>
            <w:hyperlink r:id="rId18" w:history="1">
              <w:r>
                <w:rPr>
                  <w:rStyle w:val="Hyperlink"/>
                </w:rPr>
                <w:t xml:space="preserve">Hausswirth 2014</w:t>
              </w:r>
            </w:hyperlink>
            <w:r>
              <w:t xml:space="preserve">)</w:t>
            </w:r>
          </w:p>
        </w:tc>
        <w:tc>
          <w:tcPr>
            <w:tcW w:w="2362" w:type="dxa"/>
          </w:tcPr>
          <w:p>
            <w:pPr/>
            <w:r>
              <w:t xml:space="preserve">Tendance de sommeil + case « malade » à cocher</w:t>
            </w:r>
          </w:p>
        </w:tc>
        <w:tc>
          <w:tcPr>
            <w:tcW w:w="869" w:type="dxa"/>
          </w:tcPr>
          <w:p>
            <w:pPr/>
            <w:r>
              <w:t xml:space="preserve">1</w:t>
            </w:r>
          </w:p>
        </w:tc>
      </w:tr>
      <w:tr>
        <w:tc>
          <w:tcPr>
            <w:tcW w:w="1608" w:type="dxa"/>
          </w:tcPr>
          <w:p>
            <w:pPr/>
            <w:r>
              <w:t xml:space="preserve">Récupération</w:t>
            </w:r>
          </w:p>
        </w:tc>
        <w:tc>
          <w:tcPr>
            <w:tcW w:w="2073" w:type="dxa"/>
          </w:tcPr>
          <w:p>
            <w:pPr/>
            <w:r>
              <w:t xml:space="preserve">Training Readiness, Body Battery (Garmin)</w:t>
            </w:r>
          </w:p>
        </w:tc>
        <w:tc>
          <w:tcPr>
            <w:tcW w:w="2448" w:type="dxa"/>
          </w:tcPr>
          <w:p>
            <w:pPr/>
            <w:r>
              <w:t xml:space="preserve">Algorithmes propriétaires, non validés indépendamment</w:t>
            </w:r>
          </w:p>
        </w:tc>
        <w:tc>
          <w:tcPr>
            <w:tcW w:w="2362" w:type="dxa"/>
          </w:tcPr>
          <w:p>
            <w:pPr/>
            <w:r>
              <w:t xml:space="preserve">Affichés comme avis de la montre, à côté de tes propres données</w:t>
            </w:r>
          </w:p>
        </w:tc>
        <w:tc>
          <w:tcPr>
            <w:tcW w:w="869" w:type="dxa"/>
          </w:tcPr>
          <w:p>
            <w:pPr/>
            <w:r>
              <w:t xml:space="preserve">2</w:t>
            </w:r>
          </w:p>
        </w:tc>
      </w:tr>
      <w:tr>
        <w:tc>
          <w:tcPr>
            <w:tcW w:w="1608" w:type="dxa"/>
          </w:tcPr>
          <w:p>
            <w:pPr/>
            <w:r>
              <w:t xml:space="preserve">Fatigue musculaire</w:t>
            </w:r>
          </w:p>
        </w:tc>
        <w:tc>
          <w:tcPr>
            <w:tcW w:w="2073" w:type="dxa"/>
          </w:tcPr>
          <w:p>
            <w:pPr/>
            <w:r>
              <w:t xml:space="preserve">Courbatures à 48 h (0–10, saisie), D- hebdo, séances à fort D-</w:t>
            </w:r>
          </w:p>
        </w:tc>
        <w:tc>
          <w:tcPr>
            <w:tcW w:w="2448" w:type="dxa"/>
          </w:tcPr>
          <w:p>
            <w:pPr/>
            <w:r>
              <w:t xml:space="preserve">Revue systématique : la descente induit l'essentiel du dommage musculaire en trail ; l'effet de répétition protège (</w:t>
            </w:r>
            <w:hyperlink r:id="rId19" w:history="1">
              <w:r>
                <w:rPr>
                  <w:rStyle w:val="Hyperlink"/>
                </w:rPr>
                <w:t xml:space="preserve">revue</w:t>
              </w:r>
            </w:hyperlink>
            <w:r>
              <w:t xml:space="preserve">)</w:t>
            </w:r>
          </w:p>
        </w:tc>
        <w:tc>
          <w:tcPr>
            <w:tcW w:w="2362" w:type="dxa"/>
          </w:tcPr>
          <w:p>
            <w:pPr/>
            <w:r>
              <w:t xml:space="preserve">Prévoir 2–3 jours faciles après une descente intense (</w:t>
            </w:r>
            <w:hyperlink r:id="rId20" w:history="1">
              <w:r>
                <w:rPr>
                  <w:rStyle w:val="Hyperlink"/>
                </w:rPr>
                <w:t xml:space="preserve">Koop</w:t>
              </w:r>
            </w:hyperlink>
            <w:r>
              <w:t xml:space="preserve">)</w:t>
            </w:r>
          </w:p>
        </w:tc>
        <w:tc>
          <w:tcPr>
            <w:tcW w:w="869" w:type="dxa"/>
          </w:tcPr>
          <w:p>
            <w:pPr/>
            <w:r>
              <w:t xml:space="preserve">2</w:t>
            </w:r>
          </w:p>
        </w:tc>
      </w:tr>
      <w:tr>
        <w:tc>
          <w:tcPr>
            <w:tcW w:w="1608" w:type="dxa"/>
          </w:tcPr>
          <w:p>
            <w:pPr/>
            <w:r>
              <w:t xml:space="preserve">Nutrition</w:t>
            </w:r>
          </w:p>
        </w:tc>
        <w:tc>
          <w:tcPr>
            <w:tcW w:w="2073" w:type="dxa"/>
          </w:tcPr>
          <w:p>
            <w:pPr/>
            <w:r>
              <w:t xml:space="preserve">Glucides par heure réellement consommés, score digestif 0–5, par sortie longue</w:t>
            </w:r>
          </w:p>
        </w:tc>
        <w:tc>
          <w:tcPr>
            <w:tcW w:w="2448" w:type="dxa"/>
          </w:tcPr>
          <w:p>
            <w:pPr/>
            <w:r>
              <w:t xml:space="preserve">90 g/h recommandé au-delà de 2,5–3 h ; 120 g/h testé chez des élites ; troubles digestifs fréquents (</w:t>
            </w:r>
            <w:hyperlink r:id="rId21" w:history="1">
              <w:r>
                <w:rPr>
                  <w:rStyle w:val="Hyperlink"/>
                </w:rPr>
                <w:t xml:space="preserve">revue</w:t>
              </w:r>
            </w:hyperlink>
            <w:r>
              <w:t xml:space="preserve">)</w:t>
            </w:r>
          </w:p>
        </w:tc>
        <w:tc>
          <w:tcPr>
            <w:tcW w:w="2362" w:type="dxa"/>
          </w:tcPr>
          <w:p>
            <w:pPr/>
            <w:r>
              <w:t xml:space="preserve">Suivre la montée progressive (gut training) ; l'appli enregistre, elle ne prescrit pas</w:t>
            </w:r>
          </w:p>
        </w:tc>
        <w:tc>
          <w:tcPr>
            <w:tcW w:w="869" w:type="dxa"/>
          </w:tcPr>
          <w:p>
            <w:pPr/>
            <w:r>
              <w:t xml:space="preserve">2</w:t>
            </w:r>
          </w:p>
        </w:tc>
      </w:tr>
      <w:tr>
        <w:tc>
          <w:tcPr>
            <w:tcW w:w="1608" w:type="dxa"/>
          </w:tcPr>
          <w:p>
            <w:pPr/>
            <w:r>
              <w:t xml:space="preserve">Prévention</w:t>
            </w:r>
          </w:p>
        </w:tc>
        <w:tc>
          <w:tcPr>
            <w:tcW w:w="2073" w:type="dxa"/>
          </w:tcPr>
          <w:p>
            <w:pPr/>
            <w:r>
              <w:t xml:space="preserve">Séances de renforcement par semaine</w:t>
            </w:r>
          </w:p>
        </w:tc>
        <w:tc>
          <w:tcPr>
            <w:tcW w:w="2448" w:type="dxa"/>
          </w:tcPr>
          <w:p>
            <w:pPr/>
            <w:r>
              <w:t xml:space="preserve">Méta-analyse citée par </w:t>
            </w:r>
            <w:hyperlink r:id="rId22" w:history="1">
              <w:r>
                <w:rPr>
                  <w:rStyle w:val="Hyperlink"/>
                </w:rPr>
                <w:t xml:space="preserve">RunnersConnect</w:t>
              </w:r>
            </w:hyperlink>
            <w:r>
              <w:t xml:space="preserve"> : environ −50 % de blessures de surcharge ; source secondaire</w:t>
            </w:r>
          </w:p>
        </w:tc>
        <w:tc>
          <w:tcPr>
            <w:tcW w:w="2362" w:type="dxa"/>
          </w:tcPr>
          <w:p>
            <w:pPr/>
            <w:r>
              <w:t xml:space="preserve">Compteur simple, objectif fixé par toi</w:t>
            </w:r>
          </w:p>
        </w:tc>
        <w:tc>
          <w:tcPr>
            <w:tcW w:w="869" w:type="dxa"/>
          </w:tcPr>
          <w:p>
            <w:pPr/>
            <w:r>
              <w:t xml:space="preserve">2</w:t>
            </w:r>
          </w:p>
        </w:tc>
      </w:tr>
      <w:tr>
        <w:tc>
          <w:tcPr>
            <w:tcW w:w="1608" w:type="dxa"/>
          </w:tcPr>
          <w:p>
            <w:pPr/>
            <w:r>
              <w:t xml:space="preserve">Course</w:t>
            </w:r>
          </w:p>
        </w:tc>
        <w:tc>
          <w:tcPr>
            <w:tcW w:w="2073" w:type="dxa"/>
          </w:tcPr>
          <w:p>
            <w:pPr/>
            <w:r>
              <w:t xml:space="preserve">Compte à rebours, profil D+, prédictions Garmin</w:t>
            </w:r>
          </w:p>
        </w:tc>
        <w:tc>
          <w:tcPr>
            <w:tcW w:w="2448" w:type="dxa"/>
          </w:tcPr>
          <w:p>
            <w:pPr/>
            <w:r>
              <w:t xml:space="preserve">Estimations de la montre</w:t>
            </w:r>
          </w:p>
        </w:tc>
        <w:tc>
          <w:tcPr>
            <w:tcW w:w="2362" w:type="dxa"/>
          </w:tcPr>
          <w:p>
            <w:pPr/>
            <w:r>
              <w:t xml:space="preserve">Bloc « objectif » : jours restants, volume des 4 dernières semaines vs profil</w:t>
            </w:r>
          </w:p>
        </w:tc>
        <w:tc>
          <w:tcPr>
            <w:tcW w:w="869" w:type="dxa"/>
          </w:tcPr>
          <w:p>
            <w:pPr/>
            <w:r>
              <w:t xml:space="preserve">3</w:t>
            </w:r>
          </w:p>
        </w:tc>
      </w:tr>
    </w:tbl>
    <w:p>
      <w:pPr/>
      <w:r>
        <w:rPr>
          <w:b/>
        </w:rPr>
        <w:t xml:space="preserve">Affiché avec avertissement ou écarté</w:t>
      </w:r>
    </w:p>
    <w:p>
      <w:pPr>
        <w:pStyle w:val="ListParagraph"/>
        <w:numPr>
          <w:ilvl w:val="0"/>
          <w:numId w:val="5"/>
        </w:numPr>
      </w:pPr>
      <w:r>
        <w:t xml:space="preserve">ACWR : écarté comme alerte de blessure (voir section 2). Garmin le fournit déjà ; l'appli peut l'afficher en gris avec la mention « non validé ».</w:t>
      </w:r>
    </w:p>
    <w:p>
      <w:pPr>
        <w:pStyle w:val="ListParagraph"/>
        <w:numPr>
          <w:ilvl w:val="0"/>
          <w:numId w:val="5"/>
        </w:numPr>
      </w:pPr>
      <w:r>
        <w:t xml:space="preserve">Score de forme unique maison : écarté. Chaque composante est montrée séparément.</w:t>
      </w:r>
    </w:p>
    <w:p>
      <w:pPr>
        <w:pStyle w:val="ListParagraph"/>
        <w:numPr>
          <w:ilvl w:val="0"/>
          <w:numId w:val="5"/>
        </w:numPr>
      </w:pPr>
      <w:r>
        <w:t xml:space="preserve">Course du jour : la FC en compétition est biaisée à la hausse par l'excitation ; ne pas la comparer aux séances.</w:t>
      </w:r>
    </w:p>
    <w:p>
      <w:pPr/>
      <w:r>
        <w:rPr>
          <w:b/>
        </w:rPr>
        <w:t xml:space="preserve">Saisies manuelles (30 secondes le soir)</w:t>
      </w:r>
      <w:r>
        <w:t xml:space="preserve"> : RPE de la séance, courbatures, malade oui/non, notes libres. Ce sont les données que les montres ne mesurent pas et qui calibrent les autres.</w:t>
      </w:r>
    </w:p>
    <w:p>
      <w:pPr>
        <w:pStyle w:val="Heading2"/>
      </w:pPr>
      <w:r>
        <w:t xml:space="preserve">5. Fonctionnalités et pages</w:t>
      </w:r>
    </w:p>
    <w:p>
      <w:pPr/>
      <w:r>
        <w:t xml:space="preserve">L'interface repose sur des widgets que tu déplaces, redimensionnes, ajoutes et retires, répartis sur autant de pages que tu veux. La disposition est enregistrée côté serveur, donc identique sur ton téléphone et ton PC.</w:t>
      </w:r>
    </w:p>
    <w:p>
      <w:pPr/>
      <w:r>
        <w:rPr>
          <w:b/>
        </w:rPr>
        <w:t xml:space="preserve">Tableau de bord modulaire</w:t>
      </w:r>
    </w:p>
    <w:p>
      <w:pPr>
        <w:pStyle w:val="ListParagraph"/>
        <w:numPr>
          <w:ilvl w:val="0"/>
          <w:numId w:val="6"/>
        </w:numPr>
      </w:pPr>
      <w:r>
        <w:t xml:space="preserve">Mode édition : glisser-déposer et redimensionnement des cadres sur une grille, bouton « + widget » ouvrant le catalogue, suppression d'un cadre en un clic. Mode lecture : disposition verrouillée.</w:t>
      </w:r>
    </w:p>
    <w:p>
      <w:pPr>
        <w:pStyle w:val="ListParagraph"/>
        <w:numPr>
          <w:ilvl w:val="0"/>
          <w:numId w:val="6"/>
        </w:numPr>
      </w:pPr>
      <w:r>
        <w:t xml:space="preserve">Plusieurs pages : barre d'onglets fixe, création, renommage, duplication et réorganisation des pages, raccourcis clavier (1 à 9) pour y accéder. Une page est désignée comme accueil.</w:t>
      </w:r>
    </w:p>
    <w:p>
      <w:pPr>
        <w:pStyle w:val="ListParagraph"/>
        <w:numPr>
          <w:ilvl w:val="0"/>
          <w:numId w:val="6"/>
        </w:numPr>
      </w:pPr>
      <w:r>
        <w:t xml:space="preserve">Disposition distincte par taille d'écran (ordinateur, tablette, téléphone), avec retour à la disposition par défaut en un bouton.</w:t>
      </w:r>
    </w:p>
    <w:p>
      <w:pPr>
        <w:pStyle w:val="ListParagraph"/>
        <w:numPr>
          <w:ilvl w:val="0"/>
          <w:numId w:val="6"/>
        </w:numPr>
      </w:pPr>
      <w:r>
        <w:t xml:space="preserve">Chaque widget a ses réglages (période, sport, métrique) et un bouton d'export de ses données.</w:t>
      </w:r>
    </w:p>
    <w:p>
      <w:pPr>
        <w:pStyle w:val="ListParagraph"/>
        <w:numPr>
          <w:ilvl w:val="0"/>
          <w:numId w:val="6"/>
        </w:numPr>
      </w:pPr>
      <w:r>
        <w:t xml:space="preserve">Technique : la bibliothèque </w:t>
      </w:r>
      <w:hyperlink r:id="rId23" w:history="1">
        <w:r>
          <w:rPr>
            <w:rStyle w:val="Hyperlink"/>
          </w:rPr>
          <w:t xml:space="preserve">react-grid-layout</w:t>
        </w:r>
      </w:hyperlink>
      <w:r>
        <w:t xml:space="preserve"> (licence MIT, grille déplaçable et redimensionnable, dispositions par point de rupture, sérialisables) couvre ce besoin.</w:t>
      </w:r>
    </w:p>
    <w:p>
      <w:pPr/>
      <w:r>
        <w:rPr>
          <w:b/>
        </w:rPr>
        <w:t xml:space="preserve">Catalogue de widgets</w:t>
      </w:r>
    </w:p>
    <w:tbl>
      <w:tblPr>
        <w:tblStyle w:val="TableGrid"/>
        <w:tblW w:w="0" w:type="auto"/>
        <w:tblLayout w:type="fixed"/>
        <w:tblLook w:val="04A0" w:firstRow="1" w:lastRow="0" w:firstColumn="0" w:lastColumn="0" w:noHBand="0" w:noVBand="1"/>
      </w:tblPr>
      <w:tblGrid>
        <w:gridCol w:w="2048"/>
        <w:gridCol w:w="4821"/>
        <w:gridCol w:w="1622"/>
        <w:gridCol w:w="869"/>
      </w:tblGrid>
      <w:tr>
        <w:trPr>
          <w:tblHeader/>
        </w:trPr>
        <w:tc>
          <w:tcPr>
            <w:tcW w:w="2048" w:type="dxa"/>
            <w:shd w:val="clear" w:color="auto" w:fill="F2F2F2"/>
          </w:tcPr>
          <w:p>
            <w:pPr/>
            <w:r>
              <w:t xml:space="preserve">Widget</w:t>
            </w:r>
          </w:p>
        </w:tc>
        <w:tc>
          <w:tcPr>
            <w:tcW w:w="4821" w:type="dxa"/>
            <w:shd w:val="clear" w:color="auto" w:fill="F2F2F2"/>
          </w:tcPr>
          <w:p>
            <w:pPr/>
            <w:r>
              <w:t xml:space="preserve">Contenu</w:t>
            </w:r>
          </w:p>
        </w:tc>
        <w:tc>
          <w:tcPr>
            <w:tcW w:w="1622" w:type="dxa"/>
            <w:shd w:val="clear" w:color="auto" w:fill="F2F2F2"/>
          </w:tcPr>
          <w:p>
            <w:pPr/>
            <w:r>
              <w:t xml:space="preserve">Source</w:t>
            </w:r>
          </w:p>
        </w:tc>
        <w:tc>
          <w:tcPr>
            <w:tcW w:w="869" w:type="dxa"/>
            <w:shd w:val="clear" w:color="auto" w:fill="F2F2F2"/>
          </w:tcPr>
          <w:p>
            <w:pPr/>
            <w:r>
              <w:t xml:space="preserve">Phase</w:t>
            </w:r>
          </w:p>
        </w:tc>
      </w:tr>
      <w:tr>
        <w:tc>
          <w:tcPr>
            <w:tcW w:w="2048" w:type="dxa"/>
          </w:tcPr>
          <w:p>
            <w:pPr/>
            <w:r>
              <w:t xml:space="preserve">Programme de la semaine</w:t>
            </w:r>
          </w:p>
        </w:tc>
        <w:tc>
          <w:tcPr>
            <w:tcW w:w="4821" w:type="dxa"/>
          </w:tcPr>
          <w:p>
            <w:pPr/>
            <w:r>
              <w:t xml:space="preserve">Description de la séance du jour et de la semaine, statut fait / manqué, réalisé affiché à côté</w:t>
            </w:r>
          </w:p>
        </w:tc>
        <w:tc>
          <w:tcPr>
            <w:tcW w:w="1622" w:type="dxa"/>
          </w:tcPr>
          <w:p>
            <w:pPr/>
            <w:r>
              <w:t xml:space="preserve">Plan enregistré dans l'appli</w:t>
            </w:r>
          </w:p>
        </w:tc>
        <w:tc>
          <w:tcPr>
            <w:tcW w:w="869" w:type="dxa"/>
          </w:tcPr>
          <w:p>
            <w:pPr/>
            <w:r>
              <w:t xml:space="preserve">1</w:t>
            </w:r>
          </w:p>
        </w:tc>
      </w:tr>
      <w:tr>
        <w:tc>
          <w:tcPr>
            <w:tcW w:w="2048" w:type="dxa"/>
          </w:tcPr>
          <w:p>
            <w:pPr/>
            <w:r>
              <w:t xml:space="preserve">Charge de la semaine</w:t>
            </w:r>
          </w:p>
        </w:tc>
        <w:tc>
          <w:tcPr>
            <w:tcW w:w="4821" w:type="dxa"/>
          </w:tcPr>
          <w:p>
            <w:pPr/>
            <w:r>
              <w:t xml:space="preserve">Temps, distance, D+, D- vs semaine précédente et vs moyenne 4 semaines</w:t>
            </w:r>
          </w:p>
        </w:tc>
        <w:tc>
          <w:tcPr>
            <w:tcW w:w="1622" w:type="dxa"/>
          </w:tcPr>
          <w:p>
            <w:pPr/>
            <w:r>
              <w:t xml:space="preserve">Activités</w:t>
            </w:r>
          </w:p>
        </w:tc>
        <w:tc>
          <w:tcPr>
            <w:tcW w:w="869" w:type="dxa"/>
          </w:tcPr>
          <w:p>
            <w:pPr/>
            <w:r>
              <w:t xml:space="preserve">1</w:t>
            </w:r>
          </w:p>
        </w:tc>
      </w:tr>
      <w:tr>
        <w:tc>
          <w:tcPr>
            <w:tcW w:w="2048" w:type="dxa"/>
          </w:tcPr>
          <w:p>
            <w:pPr/>
            <w:r>
              <w:t xml:space="preserve">Dernières sorties</w:t>
            </w:r>
          </w:p>
        </w:tc>
        <w:tc>
          <w:tcPr>
            <w:tcW w:w="4821" w:type="dxa"/>
          </w:tcPr>
          <w:p>
            <w:pPr/>
            <w:r>
              <w:t xml:space="preserve">Liste des 5–10 séances : durée, distance, D+, FC moyenne, GAP, RPE</w:t>
            </w:r>
          </w:p>
        </w:tc>
        <w:tc>
          <w:tcPr>
            <w:tcW w:w="1622" w:type="dxa"/>
          </w:tcPr>
          <w:p>
            <w:pPr/>
            <w:r>
              <w:t xml:space="preserve">Activités</w:t>
            </w:r>
          </w:p>
        </w:tc>
        <w:tc>
          <w:tcPr>
            <w:tcW w:w="869" w:type="dxa"/>
          </w:tcPr>
          <w:p>
            <w:pPr/>
            <w:r>
              <w:t xml:space="preserve">1</w:t>
            </w:r>
          </w:p>
        </w:tc>
      </w:tr>
      <w:tr>
        <w:tc>
          <w:tcPr>
            <w:tcW w:w="2048" w:type="dxa"/>
          </w:tcPr>
          <w:p>
            <w:pPr/>
            <w:r>
              <w:t xml:space="preserve">Détail de séance</w:t>
            </w:r>
          </w:p>
        </w:tc>
        <w:tc>
          <w:tcPr>
            <w:tcW w:w="4821" w:type="dxa"/>
          </w:tcPr>
          <w:p>
            <w:pPr/>
            <w:r>
              <w:t xml:space="preserve">Profil altimétrique, FC, allure ajustée, temps par zone, découpage par côte</w:t>
            </w:r>
          </w:p>
        </w:tc>
        <w:tc>
          <w:tcPr>
            <w:tcW w:w="1622" w:type="dxa"/>
          </w:tcPr>
          <w:p>
            <w:pPr/>
            <w:r>
              <w:t xml:space="preserve">Flux de l'activité</w:t>
            </w:r>
          </w:p>
        </w:tc>
        <w:tc>
          <w:tcPr>
            <w:tcW w:w="869" w:type="dxa"/>
          </w:tcPr>
          <w:p>
            <w:pPr/>
            <w:r>
              <w:t xml:space="preserve">1</w:t>
            </w:r>
          </w:p>
        </w:tc>
      </w:tr>
      <w:tr>
        <w:tc>
          <w:tcPr>
            <w:tcW w:w="2048" w:type="dxa"/>
          </w:tcPr>
          <w:p>
            <w:pPr/>
            <w:r>
              <w:t xml:space="preserve">Répartition des intensités</w:t>
            </w:r>
          </w:p>
        </w:tc>
        <w:tc>
          <w:tcPr>
            <w:tcW w:w="4821" w:type="dxa"/>
          </w:tcPr>
          <w:p>
            <w:pPr/>
            <w:r>
              <w:t xml:space="preserve">Barres empilées par semaine, ligne de cible</w:t>
            </w:r>
          </w:p>
        </w:tc>
        <w:tc>
          <w:tcPr>
            <w:tcW w:w="1622" w:type="dxa"/>
          </w:tcPr>
          <w:p>
            <w:pPr/>
            <w:r>
              <w:t xml:space="preserve">Flux</w:t>
            </w:r>
          </w:p>
        </w:tc>
        <w:tc>
          <w:tcPr>
            <w:tcW w:w="869" w:type="dxa"/>
          </w:tcPr>
          <w:p>
            <w:pPr/>
            <w:r>
              <w:t xml:space="preserve">1</w:t>
            </w:r>
          </w:p>
        </w:tc>
      </w:tr>
      <w:tr>
        <w:tc>
          <w:tcPr>
            <w:tcW w:w="2048" w:type="dxa"/>
          </w:tcPr>
          <w:p>
            <w:pPr/>
            <w:r>
              <w:t xml:space="preserve">Forme (CTL/ATL/TSB)</w:t>
            </w:r>
          </w:p>
        </w:tc>
        <w:tc>
          <w:tcPr>
            <w:tcW w:w="4821" w:type="dxa"/>
          </w:tcPr>
          <w:p>
            <w:pPr/>
            <w:r>
              <w:t xml:space="preserve">Courbe sur 6 mois, rampe de CTL</w:t>
            </w:r>
          </w:p>
        </w:tc>
        <w:tc>
          <w:tcPr>
            <w:tcW w:w="1622" w:type="dxa"/>
          </w:tcPr>
          <w:p>
            <w:pPr/>
            <w:r>
              <w:t xml:space="preserve">Calculé depuis Garmin</w:t>
            </w:r>
          </w:p>
        </w:tc>
        <w:tc>
          <w:tcPr>
            <w:tcW w:w="869" w:type="dxa"/>
          </w:tcPr>
          <w:p>
            <w:pPr/>
            <w:r>
              <w:t xml:space="preserve">1</w:t>
            </w:r>
          </w:p>
        </w:tc>
      </w:tr>
      <w:tr>
        <w:tc>
          <w:tcPr>
            <w:tcW w:w="2048" w:type="dxa"/>
          </w:tcPr>
          <w:p>
            <w:pPr/>
            <w:r>
              <w:t xml:space="preserve">Récupération</w:t>
            </w:r>
          </w:p>
        </w:tc>
        <w:tc>
          <w:tcPr>
            <w:tcW w:w="4821" w:type="dxa"/>
          </w:tcPr>
          <w:p>
            <w:pPr/>
            <w:r>
              <w:t xml:space="preserve">HRV 7 jours vs base, FC repos, sommeil, Training Readiness</w:t>
            </w:r>
          </w:p>
        </w:tc>
        <w:tc>
          <w:tcPr>
            <w:tcW w:w="1622" w:type="dxa"/>
          </w:tcPr>
          <w:p>
            <w:pPr/>
            <w:r>
              <w:t xml:space="preserve">Garmin (repli Intervals.icu)</w:t>
            </w:r>
          </w:p>
        </w:tc>
        <w:tc>
          <w:tcPr>
            <w:tcW w:w="869" w:type="dxa"/>
          </w:tcPr>
          <w:p>
            <w:pPr/>
            <w:r>
              <w:t xml:space="preserve">1</w:t>
            </w:r>
          </w:p>
        </w:tc>
      </w:tr>
      <w:tr>
        <w:tc>
          <w:tcPr>
            <w:tcW w:w="2048" w:type="dxa"/>
          </w:tcPr>
          <w:p>
            <w:pPr/>
            <w:r>
              <w:t xml:space="preserve">Saisie du soir</w:t>
            </w:r>
          </w:p>
        </w:tc>
        <w:tc>
          <w:tcPr>
            <w:tcW w:w="4821" w:type="dxa"/>
          </w:tcPr>
          <w:p>
            <w:pPr/>
            <w:r>
              <w:t xml:space="preserve">RPE, courbatures, malade, note</w:t>
            </w:r>
          </w:p>
        </w:tc>
        <w:tc>
          <w:tcPr>
            <w:tcW w:w="1622" w:type="dxa"/>
          </w:tcPr>
          <w:p>
            <w:pPr/>
            <w:r>
              <w:t xml:space="preserve">Saisie</w:t>
            </w:r>
          </w:p>
        </w:tc>
        <w:tc>
          <w:tcPr>
            <w:tcW w:w="869" w:type="dxa"/>
          </w:tcPr>
          <w:p>
            <w:pPr/>
            <w:r>
              <w:t xml:space="preserve">1</w:t>
            </w:r>
          </w:p>
        </w:tc>
      </w:tr>
      <w:tr>
        <w:tc>
          <w:tcPr>
            <w:tcW w:w="2048" w:type="dxa"/>
          </w:tcPr>
          <w:p>
            <w:pPr/>
            <w:r>
              <w:t xml:space="preserve">Objectif de course</w:t>
            </w:r>
          </w:p>
        </w:tc>
        <w:tc>
          <w:tcPr>
            <w:tcW w:w="4821" w:type="dxa"/>
          </w:tcPr>
          <w:p>
            <w:pPr/>
            <w:r>
              <w:t xml:space="preserve">Compte à rebours, volume des 4 dernières semaines, profil D+ de la course</w:t>
            </w:r>
          </w:p>
        </w:tc>
        <w:tc>
          <w:tcPr>
            <w:tcW w:w="1622" w:type="dxa"/>
          </w:tcPr>
          <w:p>
            <w:pPr/>
            <w:r>
              <w:t xml:space="preserve">Saisie + activités</w:t>
            </w:r>
          </w:p>
        </w:tc>
        <w:tc>
          <w:tcPr>
            <w:tcW w:w="869" w:type="dxa"/>
          </w:tcPr>
          <w:p>
            <w:pPr/>
            <w:r>
              <w:t xml:space="preserve">2</w:t>
            </w:r>
          </w:p>
        </w:tc>
      </w:tr>
      <w:tr>
        <w:tc>
          <w:tcPr>
            <w:tcW w:w="2048" w:type="dxa"/>
          </w:tcPr>
          <w:p>
            <w:pPr/>
            <w:r>
              <w:t xml:space="preserve">Nutrition en course</w:t>
            </w:r>
          </w:p>
        </w:tc>
        <w:tc>
          <w:tcPr>
            <w:tcW w:w="4821" w:type="dxa"/>
          </w:tcPr>
          <w:p>
            <w:pPr/>
            <w:r>
              <w:t xml:space="preserve">g/h et score digestif des longues sorties</w:t>
            </w:r>
          </w:p>
        </w:tc>
        <w:tc>
          <w:tcPr>
            <w:tcW w:w="1622" w:type="dxa"/>
          </w:tcPr>
          <w:p>
            <w:pPr/>
            <w:r>
              <w:t xml:space="preserve">Saisie</w:t>
            </w:r>
          </w:p>
        </w:tc>
        <w:tc>
          <w:tcPr>
            <w:tcW w:w="869" w:type="dxa"/>
          </w:tcPr>
          <w:p>
            <w:pPr/>
            <w:r>
              <w:t xml:space="preserve">2</w:t>
            </w:r>
          </w:p>
        </w:tc>
      </w:tr>
      <w:tr>
        <w:tc>
          <w:tcPr>
            <w:tcW w:w="2048" w:type="dxa"/>
          </w:tcPr>
          <w:p>
            <w:pPr/>
            <w:r>
              <w:t xml:space="preserve">Monotonie et tension</w:t>
            </w:r>
          </w:p>
        </w:tc>
        <w:tc>
          <w:tcPr>
            <w:tcW w:w="4821" w:type="dxa"/>
          </w:tcPr>
          <w:p>
            <w:pPr/>
            <w:r>
              <w:t xml:space="preserve">Courbe hebdo, repère à 2</w:t>
            </w:r>
          </w:p>
        </w:tc>
        <w:tc>
          <w:tcPr>
            <w:tcW w:w="1622" w:type="dxa"/>
          </w:tcPr>
          <w:p>
            <w:pPr/>
            <w:r>
              <w:t xml:space="preserve">Calculé</w:t>
            </w:r>
          </w:p>
        </w:tc>
        <w:tc>
          <w:tcPr>
            <w:tcW w:w="869" w:type="dxa"/>
          </w:tcPr>
          <w:p>
            <w:pPr/>
            <w:r>
              <w:t xml:space="preserve">2</w:t>
            </w:r>
          </w:p>
        </w:tc>
      </w:tr>
      <w:tr>
        <w:tc>
          <w:tcPr>
            <w:tcW w:w="2048" w:type="dxa"/>
          </w:tcPr>
          <w:p>
            <w:pPr/>
            <w:r>
              <w:t xml:space="preserve">Matériel</w:t>
            </w:r>
          </w:p>
        </w:tc>
        <w:tc>
          <w:tcPr>
            <w:tcW w:w="4821" w:type="dxa"/>
          </w:tcPr>
          <w:p>
            <w:pPr/>
            <w:r>
              <w:t xml:space="preserve">Kilométrage des chaussures et alerte d'usure</w:t>
            </w:r>
          </w:p>
        </w:tc>
        <w:tc>
          <w:tcPr>
            <w:tcW w:w="1622" w:type="dxa"/>
          </w:tcPr>
          <w:p>
            <w:pPr/>
            <w:r>
              <w:t xml:space="preserve">Activités / Garmin</w:t>
            </w:r>
          </w:p>
        </w:tc>
        <w:tc>
          <w:tcPr>
            <w:tcW w:w="869" w:type="dxa"/>
          </w:tcPr>
          <w:p>
            <w:pPr/>
            <w:r>
              <w:t xml:space="preserve">3</w:t>
            </w:r>
          </w:p>
        </w:tc>
      </w:tr>
      <w:tr>
        <w:tc>
          <w:tcPr>
            <w:tcW w:w="2048" w:type="dxa"/>
          </w:tcPr>
          <w:p>
            <w:pPr/>
            <w:r>
              <w:t xml:space="preserve">Météo du jour de sortie</w:t>
            </w:r>
          </w:p>
        </w:tc>
        <w:tc>
          <w:tcPr>
            <w:tcW w:w="4821" w:type="dxa"/>
          </w:tcPr>
          <w:p>
            <w:pPr/>
            <w:r>
              <w:t xml:space="preserve">Prévisions pour la sortie prévue</w:t>
            </w:r>
          </w:p>
        </w:tc>
        <w:tc>
          <w:tcPr>
            <w:tcW w:w="1622" w:type="dxa"/>
          </w:tcPr>
          <w:p>
            <w:pPr/>
            <w:r>
              <w:t xml:space="preserve">Service météo</w:t>
            </w:r>
          </w:p>
        </w:tc>
        <w:tc>
          <w:tcPr>
            <w:tcW w:w="869" w:type="dxa"/>
          </w:tcPr>
          <w:p>
            <w:pPr/>
            <w:r>
              <w:t xml:space="preserve">3</w:t>
            </w:r>
          </w:p>
        </w:tc>
      </w:tr>
      <w:tr>
        <w:tc>
          <w:tcPr>
            <w:tcW w:w="2048" w:type="dxa"/>
          </w:tcPr>
          <w:p>
            <w:pPr/>
            <w:r>
              <w:t xml:space="preserve">Note libre / lien</w:t>
            </w:r>
          </w:p>
        </w:tc>
        <w:tc>
          <w:tcPr>
            <w:tcW w:w="4821" w:type="dxa"/>
          </w:tcPr>
          <w:p>
            <w:pPr/>
            <w:r>
              <w:t xml:space="preserve">Bloc texte pour tes consignes</w:t>
            </w:r>
          </w:p>
        </w:tc>
        <w:tc>
          <w:tcPr>
            <w:tcW w:w="1622" w:type="dxa"/>
          </w:tcPr>
          <w:p>
            <w:pPr/>
            <w:r>
              <w:t xml:space="preserve">Saisie</w:t>
            </w:r>
          </w:p>
        </w:tc>
        <w:tc>
          <w:tcPr>
            <w:tcW w:w="869" w:type="dxa"/>
          </w:tcPr>
          <w:p>
            <w:pPr/>
            <w:r>
              <w:t xml:space="preserve">2</w:t>
            </w:r>
          </w:p>
        </w:tc>
      </w:tr>
    </w:tbl>
    <w:p>
      <w:pPr/>
      <w:r>
        <w:rPr>
          <w:b/>
        </w:rPr>
        <w:t xml:space="preserve">Programme de la semaine</w:t>
      </w:r>
      <w:r>
        <w:t xml:space="preserve"> : le plan vit dans l'appli, qui est la seule interface que tu consultes. Tu peux y importer un plan produit par Claude (fichier JSON). Ce sont des descriptions de séance (objectif, durée, zone cible, D+ visé, consignes), sans séance structurée envoyée à la montre.</w:t>
      </w:r>
    </w:p>
    <w:p>
      <w:pPr>
        <w:pStyle w:val="Heading2"/>
      </w:pPr>
      <w:r>
        <w:t xml:space="preserve">6. Export vers Claude</w:t>
      </w:r>
    </w:p>
    <w:p>
      <w:pPr/>
      <w:r>
        <w:t xml:space="preserve">L'export principal est un bouton « Copier pour Claude » qui produit en un clic un résumé Markdown compact, avec le JSON complet en téléchargement. Rien n'est envoyé automatiquement : tu colles ou tu joins le résultat toi-même.</w:t>
      </w:r>
    </w:p>
    <w:p>
      <w:pPr/>
      <w:r>
        <w:rPr>
          <w:b/>
        </w:rPr>
        <w:t xml:space="preserve">Contenu du paquet d'export</w:t>
      </w:r>
    </w:p>
    <w:p>
      <w:pPr>
        <w:pStyle w:val="ListParagraph"/>
        <w:numPr>
          <w:ilvl w:val="0"/>
          <w:numId w:val="7"/>
        </w:numPr>
      </w:pPr>
      <w:r>
        <w:t xml:space="preserve">Profil athlète : FC max, zones, seuils, objectifs et dates de course.</w:t>
      </w:r>
    </w:p>
    <w:p>
      <w:pPr>
        <w:pStyle w:val="ListParagraph"/>
        <w:numPr>
          <w:ilvl w:val="0"/>
          <w:numId w:val="7"/>
        </w:numPr>
      </w:pPr>
      <w:r>
        <w:t xml:space="preserve">Période choisie (7 jours, 4 semaines, 12 semaines ou plage libre) : volume, intensités, séances avec leurs indicateurs, plan prévu vs réalisé.</w:t>
      </w:r>
    </w:p>
    <w:p>
      <w:pPr>
        <w:pStyle w:val="ListParagraph"/>
        <w:numPr>
          <w:ilvl w:val="0"/>
          <w:numId w:val="7"/>
        </w:numPr>
      </w:pPr>
      <w:r>
        <w:t xml:space="preserve">Récupération : HRV, FC repos, sommeil, saisies du soir, notes.</w:t>
      </w:r>
    </w:p>
    <w:p>
      <w:pPr>
        <w:pStyle w:val="ListParagraph"/>
        <w:numPr>
          <w:ilvl w:val="0"/>
          <w:numId w:val="7"/>
        </w:numPr>
      </w:pPr>
      <w:r>
        <w:t xml:space="preserve">Un court glossaire des métriques avec leur niveau de preuve, pour que Claude n'interprète pas l'ACWR ou un score de montre comme une vérité.</w:t>
      </w:r>
    </w:p>
    <w:p>
      <w:pPr>
        <w:pStyle w:val="ListParagraph"/>
        <w:numPr>
          <w:ilvl w:val="0"/>
          <w:numId w:val="7"/>
        </w:numPr>
      </w:pPr>
      <w:r>
        <w:t xml:space="preserve">Taille maîtrisée : résumé de quelques milliers de mots, flux de séance sous-échantillonnés (un point toutes les 30 à 60 secondes) et fournis en pièce jointe à part.</w:t>
      </w:r>
    </w:p>
    <w:p>
      <w:pPr/>
      <w:r>
        <w:rPr>
          <w:b/>
        </w:rPr>
        <w:t xml:space="preserve">Formats</w:t>
      </w:r>
    </w:p>
    <w:p>
      <w:pPr>
        <w:pStyle w:val="ListParagraph"/>
        <w:numPr>
          <w:ilvl w:val="0"/>
          <w:numId w:val="8"/>
        </w:numPr>
      </w:pPr>
      <w:r>
        <w:t xml:space="preserve">Markdown pour la lecture et la conversation.</w:t>
      </w:r>
    </w:p>
    <w:p>
      <w:pPr>
        <w:pStyle w:val="ListParagraph"/>
        <w:numPr>
          <w:ilvl w:val="0"/>
          <w:numId w:val="8"/>
        </w:numPr>
      </w:pPr>
      <w:r>
        <w:t xml:space="preserve">JSON avec schéma versionné pour les analyses fines.</w:t>
      </w:r>
    </w:p>
    <w:p>
      <w:pPr>
        <w:pStyle w:val="ListParagraph"/>
        <w:numPr>
          <w:ilvl w:val="0"/>
          <w:numId w:val="8"/>
        </w:numPr>
      </w:pPr>
      <w:r>
        <w:t xml:space="preserve">CSV pour les séries (HRV quotidienne, charge, séances).</w:t>
      </w:r>
    </w:p>
    <w:p>
      <w:pPr>
        <w:pStyle w:val="ListParagraph"/>
        <w:numPr>
          <w:ilvl w:val="0"/>
          <w:numId w:val="8"/>
        </w:numPr>
      </w:pPr>
      <w:r>
        <w:t xml:space="preserve">Chaque widget et chaque séance a son propre bouton d'export.</w:t>
      </w:r>
    </w:p>
    <w:p>
      <w:pPr/>
      <w:r>
        <w:rPr>
          <w:b/>
        </w:rPr>
        <w:t xml:space="preserve">Accès direct par Claude (phase 3)</w:t>
      </w:r>
    </w:p>
    <w:p>
      <w:pPr>
        <w:pStyle w:val="ListParagraph"/>
        <w:numPr>
          <w:ilvl w:val="0"/>
          <w:numId w:val="9"/>
        </w:numPr>
      </w:pPr>
      <w:r>
        <w:t xml:space="preserve">API de lecture seule sur le réseau Tailscale : </w:t>
      </w:r>
      <w:r>
        <w:rPr>
          <w:rStyle w:val="CodeChar"/>
        </w:rPr>
        <w:t xml:space="preserve">GET /export?from=…&amp;to=…&amp;format=md|json|csv</w:t>
      </w:r>
      <w:r>
        <w:t xml:space="preserve">.</w:t>
      </w:r>
    </w:p>
    <w:p>
      <w:pPr>
        <w:pStyle w:val="ListParagraph"/>
        <w:numPr>
          <w:ilvl w:val="0"/>
          <w:numId w:val="9"/>
        </w:numPr>
      </w:pPr>
      <w:r>
        <w:t xml:space="preserve">Serveur MCP en lecture seule, utilisable par Claude Desktop sur ton PC connecté à Tailscale. Un connecteur distant hébergé chez Anthropic ne pourrait pas joindre ton appli, puisqu'elle n'est pas exposée sur Internet : c'est la contrepartie du choix « Tailscale uniquement ».</w:t>
      </w:r>
    </w:p>
    <w:p>
      <w:pPr/>
      <w:r>
        <w:rPr>
          <w:b/>
        </w:rPr>
        <w:t xml:space="preserve">Import d'un plan produit par Claude</w:t>
      </w:r>
      <w:r>
        <w:t xml:space="preserve"> : fichier JSON de séances (date, type, durée, zone cible, D+ visé, consignes), validé avant enregistrement dans l'appli.</w:t>
      </w:r>
    </w:p>
    <w:p>
      <w:pPr>
        <w:pStyle w:val="Heading2"/>
      </w:pPr>
      <w:r>
        <w:t xml:space="preserve">7. Architecture et hébergement</w:t>
      </w:r>
    </w:p>
    <w:p>
      <w:pPr/>
      <w:r>
        <w:t xml:space="preserve">L'appli tient dans un seul conteneur dédié sur Proxmox, joignable uniquement par Tailscale à l'adresse coach.himitris.fr.</w:t>
      </w:r>
    </w:p>
    <w:p>
      <w:pPr/>
      <w:r>
        <w:drawing>
          <wp:inline distT="0" distB="0" distL="0" distR="0">
            <wp:extent cx="5486400" cy="3575957"/>
            <wp:docPr id="1" name="image1" descr="architecture · 4 composants dans un conteneur, 3 sources"/>
            <a:graphic xmlns:a="http://schemas.openxmlformats.org/drawingml/2006/main">
              <a:graphicData uri="http://schemas.openxmlformats.org/drawingml/2006/picture">
                <pic:pic xmlns:pic="http://schemas.openxmlformats.org/drawingml/2006/picture">
                  <pic:nvPicPr>
                    <pic:cNvPr id="1" name="image1" descr="architecture · 4 composants dans un conteneur, 3 sources"/>
                    <pic:cNvPicPr/>
                  </pic:nvPicPr>
                  <pic:blipFill>
                    <a:blip r:embed="rId24"/>
                    <a:stretch>
                      <a:fillRect/>
                    </a:stretch>
                  </pic:blipFill>
                  <pic:spPr>
                    <a:xfrm>
                      <a:off x="0" y="0"/>
                      <a:ext cx="5486400" cy="3575957"/>
                    </a:xfrm>
                    <a:prstGeom prst="rect">
                      <a:avLst/>
                    </a:prstGeom>
                  </pic:spPr>
                </pic:pic>
              </a:graphicData>
            </a:graphic>
          </wp:inline>
        </w:drawing>
      </w:r>
    </w:p>
    <w:p>
      <w:pPr/>
      <w:r>
        <w:t xml:space="preserve">architecture · 4 composants dans un conteneur, 3 sources</w:t>
      </w:r>
    </w:p>
    <w:p>
      <w:pPr/>
      <w:r>
        <w:t xml:space="preserve">Les sources alimentent la synchronisation nocturne (Garmin d'abord, Intervals.icu en repli) ; l'interface lit seulement la base locale, donc elle reste rapide et utilisable même si une source est indisponible.</w:t>
      </w:r>
    </w:p>
    <w:p>
      <w:pPr/>
      <w:r>
        <w:rPr>
          <w:b/>
        </w:rPr>
        <w:t xml:space="preserve">Choix techniques</w:t>
      </w:r>
    </w:p>
    <w:tbl>
      <w:tblPr>
        <w:tblStyle w:val="TableGrid"/>
        <w:tblW w:w="0" w:type="auto"/>
        <w:tblLayout w:type="fixed"/>
        <w:tblLook w:val="04A0" w:firstRow="1" w:lastRow="0" w:firstColumn="0" w:lastColumn="0" w:noHBand="0" w:noVBand="1"/>
      </w:tblPr>
      <w:tblGrid>
        <w:gridCol w:w="2123"/>
        <w:gridCol w:w="2317"/>
        <w:gridCol w:w="4920"/>
      </w:tblGrid>
      <w:tr>
        <w:trPr>
          <w:tblHeader/>
        </w:trPr>
        <w:tc>
          <w:tcPr>
            <w:tcW w:w="2123" w:type="dxa"/>
            <w:shd w:val="clear" w:color="auto" w:fill="F2F2F2"/>
          </w:tcPr>
          <w:p>
            <w:pPr/>
            <w:r>
              <w:t xml:space="preserve">Brique</w:t>
            </w:r>
          </w:p>
        </w:tc>
        <w:tc>
          <w:tcPr>
            <w:tcW w:w="2317" w:type="dxa"/>
            <w:shd w:val="clear" w:color="auto" w:fill="F2F2F2"/>
          </w:tcPr>
          <w:p>
            <w:pPr/>
            <w:r>
              <w:t xml:space="preserve">Choix</w:t>
            </w:r>
          </w:p>
        </w:tc>
        <w:tc>
          <w:tcPr>
            <w:tcW w:w="4920" w:type="dxa"/>
            <w:shd w:val="clear" w:color="auto" w:fill="F2F2F2"/>
          </w:tcPr>
          <w:p>
            <w:pPr/>
            <w:r>
              <w:t xml:space="preserve">Pourquoi</w:t>
            </w:r>
          </w:p>
        </w:tc>
      </w:tr>
      <w:tr>
        <w:tc>
          <w:tcPr>
            <w:tcW w:w="2123" w:type="dxa"/>
          </w:tcPr>
          <w:p>
            <w:pPr/>
            <w:r>
              <w:t xml:space="preserve">Serveur</w:t>
            </w:r>
          </w:p>
        </w:tc>
        <w:tc>
          <w:tcPr>
            <w:tcW w:w="2317" w:type="dxa"/>
          </w:tcPr>
          <w:p>
            <w:pPr/>
            <w:r>
              <w:t xml:space="preserve">Python + FastAPI</w:t>
            </w:r>
          </w:p>
        </w:tc>
        <w:tc>
          <w:tcPr>
            <w:tcW w:w="4920" w:type="dxa"/>
          </w:tcPr>
          <w:p>
            <w:pPr/>
            <w:r>
              <w:t xml:space="preserve">La bibliothèque Garmin de référence est en Python (3.12 minimum) ; Intervals.icu et Strava sont de simples API web</w:t>
            </w:r>
          </w:p>
        </w:tc>
      </w:tr>
      <w:tr>
        <w:tc>
          <w:tcPr>
            <w:tcW w:w="2123" w:type="dxa"/>
          </w:tcPr>
          <w:p>
            <w:pPr/>
            <w:r>
              <w:t xml:space="preserve">Base de données</w:t>
            </w:r>
          </w:p>
        </w:tc>
        <w:tc>
          <w:tcPr>
            <w:tcW w:w="2317" w:type="dxa"/>
          </w:tcPr>
          <w:p>
            <w:pPr/>
            <w:r>
              <w:t xml:space="preserve">SQLite</w:t>
            </w:r>
          </w:p>
        </w:tc>
        <w:tc>
          <w:tcPr>
            <w:tcW w:w="4920" w:type="dxa"/>
          </w:tcPr>
          <w:p>
            <w:pPr/>
            <w:r>
              <w:t xml:space="preserve">Un seul utilisateur : un fichier, une sauvegarde triviale, aucun serveur de base à maintenir</w:t>
            </w:r>
          </w:p>
        </w:tc>
      </w:tr>
      <w:tr>
        <w:tc>
          <w:tcPr>
            <w:tcW w:w="2123" w:type="dxa"/>
          </w:tcPr>
          <w:p>
            <w:pPr/>
            <w:r>
              <w:t xml:space="preserve">Interface</w:t>
            </w:r>
          </w:p>
        </w:tc>
        <w:tc>
          <w:tcPr>
            <w:tcW w:w="2317" w:type="dxa"/>
          </w:tcPr>
          <w:p>
            <w:pPr/>
            <w:r>
              <w:t xml:space="preserve">React + Vite, react-grid-layout</w:t>
            </w:r>
          </w:p>
        </w:tc>
        <w:tc>
          <w:tcPr>
            <w:tcW w:w="4920" w:type="dxa"/>
          </w:tcPr>
          <w:p>
            <w:pPr/>
            <w:r>
              <w:t xml:space="preserve">Tu connais déjà React ; la grille de widgets existe déjà</w:t>
            </w:r>
          </w:p>
        </w:tc>
      </w:tr>
      <w:tr>
        <w:tc>
          <w:tcPr>
            <w:tcW w:w="2123" w:type="dxa"/>
          </w:tcPr>
          <w:p>
            <w:pPr/>
            <w:r>
              <w:t xml:space="preserve">Tâches planifiées</w:t>
            </w:r>
          </w:p>
        </w:tc>
        <w:tc>
          <w:tcPr>
            <w:tcW w:w="2317" w:type="dxa"/>
          </w:tcPr>
          <w:p>
            <w:pPr/>
            <w:r>
              <w:t xml:space="preserve">Planificateur intégré à l'application</w:t>
            </w:r>
          </w:p>
        </w:tc>
        <w:tc>
          <w:tcPr>
            <w:tcW w:w="4920" w:type="dxa"/>
          </w:tcPr>
          <w:p>
            <w:pPr/>
            <w:r>
              <w:t xml:space="preserve">Pas de service supplémentaire à surveiller</w:t>
            </w:r>
          </w:p>
        </w:tc>
      </w:tr>
      <w:tr>
        <w:tc>
          <w:tcPr>
            <w:tcW w:w="2123" w:type="dxa"/>
          </w:tcPr>
          <w:p>
            <w:pPr/>
            <w:r>
              <w:t xml:space="preserve">HTTPS et accès</w:t>
            </w:r>
          </w:p>
        </w:tc>
        <w:tc>
          <w:tcPr>
            <w:tcW w:w="2317" w:type="dxa"/>
          </w:tcPr>
          <w:p>
            <w:pPr/>
            <w:r>
              <w:t xml:space="preserve">Caddy</w:t>
            </w:r>
          </w:p>
        </w:tc>
        <w:tc>
          <w:tcPr>
            <w:tcW w:w="4920" w:type="dxa"/>
          </w:tcPr>
          <w:p>
            <w:pPr/>
            <w:r>
              <w:t xml:space="preserve">Certificat automatique et renouvelé</w:t>
            </w:r>
          </w:p>
        </w:tc>
      </w:tr>
      <w:tr>
        <w:tc>
          <w:tcPr>
            <w:tcW w:w="2123" w:type="dxa"/>
          </w:tcPr>
          <w:p>
            <w:pPr/>
            <w:r>
              <w:t xml:space="preserve">Déploiement</w:t>
            </w:r>
          </w:p>
        </w:tc>
        <w:tc>
          <w:tcPr>
            <w:tcW w:w="2317" w:type="dxa"/>
          </w:tcPr>
          <w:p>
            <w:pPr/>
            <w:r>
              <w:t xml:space="preserve">Docker Compose</w:t>
            </w:r>
          </w:p>
        </w:tc>
        <w:tc>
          <w:tcPr>
            <w:tcW w:w="4920" w:type="dxa"/>
          </w:tcPr>
          <w:p>
            <w:pPr/>
            <w:r>
              <w:t xml:space="preserve">Redémarrage et mises à jour simples</w:t>
            </w:r>
          </w:p>
        </w:tc>
      </w:tr>
    </w:tbl>
    <w:p>
      <w:pPr/>
      <w:r>
        <w:rPr>
          <w:b/>
        </w:rPr>
        <w:t xml:space="preserve">Rust écarté pour ce projet</w:t>
      </w:r>
      <w:r>
        <w:t xml:space="preserve"> : il conviendrait pour l'API, mais la bibliothèque Garmin est en Python, donc il faudrait relier deux langages pour aucun gain ici. Rust reste possible plus tard pour un service isolé si tu y tiens.</w:t>
      </w:r>
    </w:p>
    <w:p>
      <w:pPr/>
      <w:r>
        <w:rPr>
          <w:b/>
        </w:rPr>
        <w:t xml:space="preserve">Accès par coach.himitris.fr, uniquement via Tailscale : oui, c'est possible.</w:t>
      </w:r>
    </w:p>
    <w:p>
      <w:pPr>
        <w:pStyle w:val="ListParagraph"/>
        <w:numPr>
          <w:ilvl w:val="0"/>
          <w:numId w:val="10"/>
        </w:numPr>
      </w:pPr>
      <w:r>
        <w:t xml:space="preserve">Créer chez OVH un enregistrement A pour coach.himitris.fr qui pointe vers l'adresse Tailscale (100.x) du conteneur. Hors de ton tailnet, le nom mène à une adresse injoignable.</w:t>
      </w:r>
    </w:p>
    <w:p>
      <w:pPr>
        <w:pStyle w:val="ListParagraph"/>
        <w:numPr>
          <w:ilvl w:val="0"/>
          <w:numId w:val="10"/>
        </w:numPr>
      </w:pPr>
      <w:r>
        <w:t xml:space="preserve">Compiler Caddy avec le module DNS d'OVH : il obtient le certificat Let's Encrypt par défi DNS-01, sans ouvrir aucun port (</w:t>
      </w:r>
      <w:hyperlink r:id="rId25" w:history="1">
        <w:r>
          <w:rPr>
            <w:rStyle w:val="Hyperlink"/>
          </w:rPr>
          <w:t xml:space="preserve">principe</w:t>
        </w:r>
      </w:hyperlink>
      <w:r>
        <w:t xml:space="preserve">).</w:t>
      </w:r>
    </w:p>
    <w:p>
      <w:pPr>
        <w:pStyle w:val="ListParagraph"/>
        <w:numPr>
          <w:ilvl w:val="0"/>
          <w:numId w:val="10"/>
        </w:numPr>
      </w:pPr>
      <w:r>
        <w:t xml:space="preserve">Si le nom ne se résout pas sur un résolveur local qui bloque les réponses vers des adresses privées (protection anti-rebind), l'alternative est le DNS partagé de Tailscale (</w:t>
      </w:r>
      <w:hyperlink r:id="rId26" w:history="1">
        <w:r>
          <w:rPr>
            <w:rStyle w:val="Hyperlink"/>
          </w:rPr>
          <w:t xml:space="preserve">documentation</w:t>
        </w:r>
      </w:hyperlink>
      <w:r>
        <w:t xml:space="preserve">).</w:t>
      </w:r>
    </w:p>
    <w:p>
      <w:pPr/>
      <w:r>
        <w:rPr>
          <w:b/>
        </w:rPr>
        <w:t xml:space="preserve">Exigences non fonctionnelles</w:t>
      </w:r>
    </w:p>
    <w:p>
      <w:pPr>
        <w:pStyle w:val="ListParagraph"/>
        <w:numPr>
          <w:ilvl w:val="0"/>
          <w:numId w:val="11"/>
        </w:numPr>
      </w:pPr>
      <w:r>
        <w:t xml:space="preserve">Redémarrage automatique des conteneurs après une coupure.</w:t>
      </w:r>
    </w:p>
    <w:p>
      <w:pPr>
        <w:pStyle w:val="ListParagraph"/>
        <w:numPr>
          <w:ilvl w:val="0"/>
          <w:numId w:val="11"/>
        </w:numPr>
      </w:pPr>
      <w:r>
        <w:t xml:space="preserve">Page « Santé des sources » : dernière synchronisation réussie et dernière erreur pour chaque source.</w:t>
      </w:r>
    </w:p>
    <w:p>
      <w:pPr>
        <w:pStyle w:val="ListParagraph"/>
        <w:numPr>
          <w:ilvl w:val="0"/>
          <w:numId w:val="11"/>
        </w:numPr>
      </w:pPr>
      <w:r>
        <w:t xml:space="preserve">Journaux sans aucun secret ; schéma de base versionné avec migrations pour pouvoir faire évoluer les calculs.</w:t>
      </w:r>
    </w:p>
    <w:p>
      <w:pPr>
        <w:pStyle w:val="Heading2"/>
      </w:pPr>
      <w:r>
        <w:t xml:space="preserve">8. Sécurité et sauvegardes</w:t>
      </w:r>
    </w:p>
    <w:p>
      <w:pPr/>
      <w:r>
        <w:t xml:space="preserve">L'application n'a pas de compte, donc la sécurité repose entièrement sur le réseau : seuls les appareils de ton tailnet peuvent l'atteindre.</w:t>
      </w:r>
    </w:p>
    <w:p>
      <w:pPr>
        <w:pStyle w:val="ListParagraph"/>
        <w:numPr>
          <w:ilvl w:val="0"/>
          <w:numId w:val="12"/>
        </w:numPr>
      </w:pPr>
      <w:r>
        <w:t xml:space="preserve">Réseau : aucun port ouvert sur Internet ; règles d'accès Tailscale (ACL) limitées à tes appareils.</w:t>
      </w:r>
    </w:p>
    <w:p>
      <w:pPr>
        <w:pStyle w:val="ListParagraph"/>
        <w:numPr>
          <w:ilvl w:val="0"/>
          <w:numId w:val="12"/>
        </w:numPr>
      </w:pPr>
      <w:r>
        <w:t xml:space="preserve">Compromis assumé : sans connexion, toute personne ayant accès à un de tes appareils Tailscale voit tes données. Prévoir en option un verrouillage simple (code ou en-tête) en phase 3.</w:t>
      </w:r>
    </w:p>
    <w:p>
      <w:pPr>
        <w:pStyle w:val="ListParagraph"/>
        <w:numPr>
          <w:ilvl w:val="0"/>
          <w:numId w:val="12"/>
        </w:numPr>
      </w:pPr>
      <w:r>
        <w:t xml:space="preserve">Secrets : clé API Intervals.icu, jetons Garmin et Strava dans des variables d'environnement ou fichiers à droits restreints, jamais dans le dépôt Git ni dans les journaux. Ton mot de passe Garmin n'est utilisé qu'une fois pour obtenir les jetons et n'est pas conservé.</w:t>
      </w:r>
    </w:p>
    <w:p>
      <w:pPr>
        <w:pStyle w:val="ListParagraph"/>
        <w:numPr>
          <w:ilvl w:val="0"/>
          <w:numId w:val="12"/>
        </w:numPr>
      </w:pPr>
      <w:r>
        <w:t xml:space="preserve">Données de santé (HRV, sommeil) : usage strictement personnel, aucun partage avec un tiers, export uniquement à ta demande.</w:t>
      </w:r>
    </w:p>
    <w:p>
      <w:pPr>
        <w:pStyle w:val="ListParagraph"/>
        <w:numPr>
          <w:ilvl w:val="0"/>
          <w:numId w:val="12"/>
        </w:numPr>
      </w:pPr>
      <w:r>
        <w:t xml:space="preserve">Sauvegardes : copie quotidienne de la base et des JSON bruts vers un disque physiquement distinct de celui qui héberge l'appli, avec un test de restauration avant la mise en service.</w:t>
      </w:r>
    </w:p>
    <w:p>
      <w:pPr>
        <w:pStyle w:val="ListParagraph"/>
        <w:numPr>
          <w:ilvl w:val="0"/>
          <w:numId w:val="12"/>
        </w:numPr>
      </w:pPr>
      <w:r>
        <w:t xml:space="preserve">Mises à jour : image Docker reconstruite régulièrement ; surveiller les versions de la bibliothèque Garmin, la plus exposée aux changements.</w:t>
      </w:r>
    </w:p>
    <w:p>
      <w:pPr>
        <w:pStyle w:val="Heading2"/>
      </w:pPr>
      <w:r>
        <w:t xml:space="preserve">9. Roadmap par phases</w:t>
      </w:r>
    </w:p>
    <w:p>
      <w:pPr/>
      <w:r>
        <w:t xml:space="preserve">Le MVP (phase 1) suffit à t'être utile pour la préparation de Bruniquel ; les durées sont des estimations pour un projet mené sur ton temps libre.</w:t>
      </w:r>
    </w:p>
    <w:p>
      <w:pPr>
        <w:pStyle w:val="ListParagraph"/>
        <w:numPr>
          <w:ilvl w:val="0"/>
          <w:numId w:val="13"/>
        </w:numPr>
      </w:pPr>
      <w:r>
        <w:rPr>
          <w:b/>
        </w:rPr>
        <w:t xml:space="preserve">Phase 0 – Socle (un week-end).</w:t>
      </w:r>
      <w:r>
        <w:t xml:space="preserve"> Conteneur ou VM dédié, Docker, Caddy, certificat pour coach.himitris.fr, page de test. </w:t>
      </w:r>
      <w:r>
        <w:rPr>
          <w:i/>
        </w:rPr>
        <w:t xml:space="preserve">Critère : la page s'ouvre en HTTPS sur ton téléphone via Tailscale, et ne répond pas hors Tailscale.</w:t>
      </w:r>
    </w:p>
    <w:p>
      <w:pPr>
        <w:pStyle w:val="ListParagraph"/>
        <w:numPr>
          <w:ilvl w:val="0"/>
          <w:numId w:val="13"/>
        </w:numPr>
      </w:pPr>
      <w:r>
        <w:rPr>
          <w:b/>
        </w:rPr>
        <w:t xml:space="preserve">Phase 1 – MVP (2 à 3 semaines).</w:t>
      </w:r>
      <w:r>
        <w:t xml:space="preserve"> Synchronisation Garmin (activités, flux, HRV, sommeil, FC repos, Training Readiness, Body Battery), calcul de CTL/ATL par l'appli, stockage brut + normalisé, tableau de bord modulaire à plusieurs pages, widgets de phase 1, saisie du soir, export Markdown. </w:t>
      </w:r>
      <w:r>
        <w:rPr>
          <w:i/>
        </w:rPr>
        <w:t xml:space="preserve">Critère : tu ouvres l'accueil et vois semaine, charge, dernières sorties et récupération ; l'export tient en deux clics ; relancer la synchronisation ne crée aucun doublon.</w:t>
      </w:r>
    </w:p>
    <w:p>
      <w:pPr>
        <w:pStyle w:val="ListParagraph"/>
        <w:numPr>
          <w:ilvl w:val="0"/>
          <w:numId w:val="13"/>
        </w:numPr>
      </w:pPr>
      <w:r>
        <w:rPr>
          <w:b/>
        </w:rPr>
        <w:t xml:space="preserve">Phase 2 – Compléments (2 à 3 semaines).</w:t>
      </w:r>
      <w:r>
        <w:t xml:space="preserve"> Repli automatique sur Intervals.icu, monotonie et tension, objectif de course, suivi nutrition et courbatures, import d'un plan JSON, exports JSON et CSV. </w:t>
      </w:r>
      <w:r>
        <w:rPr>
          <w:i/>
        </w:rPr>
        <w:t xml:space="preserve">Critère : en coupant l'accès Garmin, l'appli reste utilisable et signale l'indisponibilité.</w:t>
      </w:r>
    </w:p>
    <w:p>
      <w:pPr>
        <w:pStyle w:val="ListParagraph"/>
        <w:numPr>
          <w:ilvl w:val="0"/>
          <w:numId w:val="13"/>
        </w:numPr>
      </w:pPr>
      <w:r>
        <w:rPr>
          <w:b/>
        </w:rPr>
        <w:t xml:space="preserve">Phase 3 – Confort (à la demande).</w:t>
      </w:r>
      <w:r>
        <w:t xml:space="preserve"> API de lecture et serveur MCP pour Claude Desktop, Strava optionnel, matériel, météo, installation sur l'écran d'accueil du téléphone, verrouillage simple.</w:t>
      </w:r>
    </w:p>
    <w:p>
      <w:pPr>
        <w:pStyle w:val="Heading2"/>
      </w:pPr>
      <w:r>
        <w:t xml:space="preserve">10. Questions ouvertes et sources</w:t>
      </w:r>
    </w:p>
    <w:p>
      <w:pPr/>
      <w:r>
        <w:t xml:space="preserve">Toutes les questions sont tranchées.</w:t>
      </w:r>
    </w:p>
    <w:p>
      <w:pPr/>
      <w:r>
        <w:rPr>
          <w:b/>
        </w:rPr>
        <w:t xml:space="preserve">Décisions prises</w:t>
      </w:r>
      <w:r>
        <w:t xml:space="preserve"> : Intervals.icu est alimenté par Garmin (repli, pas source principale) ; conteneur dédié ; zones et seuils pris sur Garmin ; plans sous forme de simples descriptions de séance dans l'appli, rien n'est envoyé à la montre ; seul le seuil lactique est disponible sur la montre, donc les zones 1–2 de Garmin comptent comme « bas d'intensité » ; tout se consulte dans l'appli.</w:t>
      </w:r>
    </w:p>
    <w:p>
      <w:pPr/>
      <w:r>
        <w:t xml:space="preserve">Prochaine étape : valider ce document, puis démarrer la phase 0 (socle : conteneur, Caddy, certificat, page de test).</w:t>
      </w:r>
    </w:p>
    <w:p>
      <w:pPr/>
      <w:r>
        <w:rPr>
          <w:b/>
        </w:rPr>
        <w:t xml:space="preserve">Sources consultées</w:t>
      </w:r>
      <w:r>
        <w:t xml:space="preserve"> (recherche du 26 oct. 2026)</w:t>
      </w:r>
    </w:p>
    <w:p>
      <w:pPr>
        <w:pStyle w:val="ListParagraph"/>
        <w:numPr>
          <w:ilvl w:val="0"/>
          <w:numId w:val="14"/>
        </w:numPr>
      </w:pPr>
      <w:r>
        <w:t xml:space="preserve">Strava : </w:t>
      </w:r>
      <w:hyperlink r:id="rId13" w:history="1">
        <w:r>
          <w:rPr>
            <w:rStyle w:val="Hyperlink"/>
          </w:rPr>
          <w:t xml:space="preserve">conditions API (1er juin 2026)</w:t>
        </w:r>
      </w:hyperlink>
      <w:r>
        <w:t xml:space="preserve">, </w:t>
      </w:r>
      <w:hyperlink r:id="rId7" w:history="1">
        <w:r>
          <w:rPr>
            <w:rStyle w:val="Hyperlink"/>
          </w:rPr>
          <w:t xml:space="preserve">quotas</w:t>
        </w:r>
      </w:hyperlink>
      <w:r>
        <w:t xml:space="preserve">, </w:t>
      </w:r>
      <w:hyperlink r:id="rId8" w:history="1">
        <w:r>
          <w:rPr>
            <w:rStyle w:val="Hyperlink"/>
          </w:rPr>
          <w:t xml:space="preserve">guide développeur</w:t>
        </w:r>
      </w:hyperlink>
    </w:p>
    <w:p>
      <w:pPr>
        <w:pStyle w:val="ListParagraph"/>
        <w:numPr>
          <w:ilvl w:val="0"/>
          <w:numId w:val="14"/>
        </w:numPr>
      </w:pPr>
      <w:r>
        <w:t xml:space="preserve">Garmin : </w:t>
      </w:r>
      <w:hyperlink r:id="rId10" w:history="1">
        <w:r>
          <w:rPr>
            <w:rStyle w:val="Hyperlink"/>
          </w:rPr>
          <w:t xml:space="preserve">python-garminconnect</w:t>
        </w:r>
      </w:hyperlink>
      <w:r>
        <w:t xml:space="preserve">, </w:t>
      </w:r>
      <w:hyperlink r:id="rId9" w:history="1">
        <w:r>
          <w:rPr>
            <w:rStyle w:val="Hyperlink"/>
          </w:rPr>
          <w:t xml:space="preserve">garmin-mcp et cassure de mars 2026</w:t>
        </w:r>
      </w:hyperlink>
      <w:r>
        <w:t xml:space="preserve">, </w:t>
      </w:r>
      <w:hyperlink r:id="rId27" w:history="1">
        <w:r>
          <w:rPr>
            <w:rStyle w:val="Hyperlink"/>
          </w:rPr>
          <w:t xml:space="preserve">garmin-py</w:t>
        </w:r>
      </w:hyperlink>
    </w:p>
    <w:p>
      <w:pPr>
        <w:pStyle w:val="ListParagraph"/>
        <w:numPr>
          <w:ilvl w:val="0"/>
          <w:numId w:val="14"/>
        </w:numPr>
      </w:pPr>
      <w:r>
        <w:t xml:space="preserve">Intervals.icu : </w:t>
      </w:r>
      <w:hyperlink r:id="rId11" w:history="1">
        <w:r>
          <w:rPr>
            <w:rStyle w:val="Hyperlink"/>
          </w:rPr>
          <w:t xml:space="preserve">client API</w:t>
        </w:r>
      </w:hyperlink>
      <w:r>
        <w:t xml:space="preserve">, </w:t>
      </w:r>
      <w:hyperlink r:id="rId12" w:history="1">
        <w:r>
          <w:rPr>
            <w:rStyle w:val="Hyperlink"/>
          </w:rPr>
          <w:t xml:space="preserve">outil en ligne de commande</w:t>
        </w:r>
      </w:hyperlink>
    </w:p>
    <w:p>
      <w:pPr>
        <w:pStyle w:val="ListParagraph"/>
        <w:numPr>
          <w:ilvl w:val="0"/>
          <w:numId w:val="14"/>
        </w:numPr>
      </w:pPr>
      <w:r>
        <w:t xml:space="preserve">Charge et blessure : </w:t>
      </w:r>
      <w:hyperlink r:id="rId3" w:history="1">
        <w:r>
          <w:rPr>
            <w:rStyle w:val="Hyperlink"/>
          </w:rPr>
          <w:t xml:space="preserve">Impellizzeri 2020</w:t>
        </w:r>
      </w:hyperlink>
      <w:r>
        <w:t xml:space="preserve">, </w:t>
      </w:r>
      <w:hyperlink r:id="rId28" w:history="1">
        <w:r>
          <w:rPr>
            <w:rStyle w:val="Hyperlink"/>
          </w:rPr>
          <w:t xml:space="preserve">Impellizzeri 2021</w:t>
        </w:r>
      </w:hyperlink>
      <w:r>
        <w:t xml:space="preserve">, </w:t>
      </w:r>
      <w:hyperlink r:id="rId4" w:history="1">
        <w:r>
          <w:rPr>
            <w:rStyle w:val="Hyperlink"/>
          </w:rPr>
          <w:t xml:space="preserve">Damsted 2018</w:t>
        </w:r>
      </w:hyperlink>
      <w:r>
        <w:t xml:space="preserve">, </w:t>
      </w:r>
      <w:hyperlink r:id="rId16" w:history="1">
        <w:r>
          <w:rPr>
            <w:rStyle w:val="Hyperlink"/>
          </w:rPr>
          <w:t xml:space="preserve">Foster 1998</w:t>
        </w:r>
      </w:hyperlink>
    </w:p>
    <w:p>
      <w:pPr>
        <w:pStyle w:val="ListParagraph"/>
        <w:numPr>
          <w:ilvl w:val="0"/>
          <w:numId w:val="14"/>
        </w:numPr>
      </w:pPr>
      <w:r>
        <w:t xml:space="preserve">HRV, repos et sommeil : </w:t>
      </w:r>
      <w:hyperlink r:id="rId6" w:history="1">
        <w:r>
          <w:rPr>
            <w:rStyle w:val="Hyperlink"/>
          </w:rPr>
          <w:t xml:space="preserve">Manresa-Rocamora 2021</w:t>
        </w:r>
      </w:hyperlink>
      <w:r>
        <w:t xml:space="preserve">, </w:t>
      </w:r>
      <w:hyperlink r:id="rId17" w:history="1">
        <w:r>
          <w:rPr>
            <w:rStyle w:val="Hyperlink"/>
          </w:rPr>
          <w:t xml:space="preserve">Bosquet 2008</w:t>
        </w:r>
      </w:hyperlink>
      <w:r>
        <w:t xml:space="preserve">, </w:t>
      </w:r>
      <w:hyperlink r:id="rId18" w:history="1">
        <w:r>
          <w:rPr>
            <w:rStyle w:val="Hyperlink"/>
          </w:rPr>
          <w:t xml:space="preserve">Hausswirth 2014</w:t>
        </w:r>
      </w:hyperlink>
      <w:r>
        <w:t xml:space="preserve">, </w:t>
      </w:r>
      <w:hyperlink r:id="rId29" w:history="1">
        <w:r>
          <w:rPr>
            <w:rStyle w:val="Hyperlink"/>
          </w:rPr>
          <w:t xml:space="preserve">sommeil et surmenage</w:t>
        </w:r>
      </w:hyperlink>
    </w:p>
    <w:p>
      <w:pPr>
        <w:pStyle w:val="ListParagraph"/>
        <w:numPr>
          <w:ilvl w:val="0"/>
          <w:numId w:val="14"/>
        </w:numPr>
      </w:pPr>
      <w:r>
        <w:t xml:space="preserve">Intensité : </w:t>
      </w:r>
      <w:hyperlink r:id="rId30" w:history="1">
        <w:r>
          <w:rPr>
            <w:rStyle w:val="Hyperlink"/>
          </w:rPr>
          <w:t xml:space="preserve">Filipas 2022 et synthèse 2024–2026</w:t>
        </w:r>
      </w:hyperlink>
      <w:r>
        <w:t xml:space="preserve">, </w:t>
      </w:r>
      <w:hyperlink r:id="rId15" w:history="1">
        <w:r>
          <w:rPr>
            <w:rStyle w:val="Hyperlink"/>
          </w:rPr>
          <w:t xml:space="preserve">revue de distribution chez les coureurs</w:t>
        </w:r>
      </w:hyperlink>
    </w:p>
    <w:p>
      <w:pPr>
        <w:pStyle w:val="ListParagraph"/>
        <w:numPr>
          <w:ilvl w:val="0"/>
          <w:numId w:val="14"/>
        </w:numPr>
      </w:pPr>
      <w:r>
        <w:t xml:space="preserve">Trail : </w:t>
      </w:r>
      <w:hyperlink r:id="rId14" w:history="1">
        <w:r>
          <w:rPr>
            <w:rStyle w:val="Hyperlink"/>
          </w:rPr>
          <w:t xml:space="preserve">suivi de l'entraînement ultra</w:t>
        </w:r>
      </w:hyperlink>
      <w:r>
        <w:t xml:space="preserve">, </w:t>
      </w:r>
      <w:hyperlink r:id="rId19" w:history="1">
        <w:r>
          <w:rPr>
            <w:rStyle w:val="Hyperlink"/>
          </w:rPr>
          <w:t xml:space="preserve">dommage musculaire en trail</w:t>
        </w:r>
      </w:hyperlink>
      <w:r>
        <w:t xml:space="preserve">, </w:t>
      </w:r>
      <w:hyperlink r:id="rId20" w:history="1">
        <w:r>
          <w:rPr>
            <w:rStyle w:val="Hyperlink"/>
          </w:rPr>
          <w:t xml:space="preserve">course en descente</w:t>
        </w:r>
      </w:hyperlink>
    </w:p>
    <w:p>
      <w:pPr>
        <w:pStyle w:val="ListParagraph"/>
        <w:numPr>
          <w:ilvl w:val="0"/>
          <w:numId w:val="14"/>
        </w:numPr>
      </w:pPr>
      <w:r>
        <w:t xml:space="preserve">Nutrition : </w:t>
      </w:r>
      <w:hyperlink r:id="rId21" w:history="1">
        <w:r>
          <w:rPr>
            <w:rStyle w:val="Hyperlink"/>
          </w:rPr>
          <w:t xml:space="preserve">glucides en ultra-trail</w:t>
        </w:r>
      </w:hyperlink>
    </w:p>
    <w:p>
      <w:pPr>
        <w:pStyle w:val="ListParagraph"/>
        <w:numPr>
          <w:ilvl w:val="0"/>
          <w:numId w:val="14"/>
        </w:numPr>
      </w:pPr>
      <w:r>
        <w:t xml:space="preserve">Hébergement : </w:t>
      </w:r>
      <w:hyperlink r:id="rId25" w:history="1">
        <w:r>
          <w:rPr>
            <w:rStyle w:val="Hyperlink"/>
          </w:rPr>
          <w:t xml:space="preserve">Caddy et DNS-01 sur réseau privé</w:t>
        </w:r>
      </w:hyperlink>
      <w:r>
        <w:t xml:space="preserve">, </w:t>
      </w:r>
      <w:hyperlink r:id="rId31" w:history="1">
        <w:r>
          <w:rPr>
            <w:rStyle w:val="Hyperlink"/>
          </w:rPr>
          <w:t xml:space="preserve">domaine personnalisé et Tailscale</w:t>
        </w:r>
      </w:hyperlink>
      <w:r>
        <w:t xml:space="preserve">, </w:t>
      </w:r>
      <w:hyperlink r:id="rId26" w:history="1">
        <w:r>
          <w:rPr>
            <w:rStyle w:val="Hyperlink"/>
          </w:rPr>
          <w:t xml:space="preserve">DNS partagé Tailscale</w:t>
        </w:r>
      </w:hyperlink>
    </w:p>
    <w:p>
      <w:pPr>
        <w:pStyle w:val="ListParagraph"/>
        <w:numPr>
          <w:ilvl w:val="0"/>
          <w:numId w:val="14"/>
        </w:numPr>
      </w:pPr>
      <w:r>
        <w:t xml:space="preserve">Interface : </w:t>
      </w:r>
      <w:hyperlink r:id="rId23" w:history="1">
        <w:r>
          <w:rPr>
            <w:rStyle w:val="Hyperlink"/>
          </w:rPr>
          <w:t xml:space="preserve">react-grid-layout</w:t>
        </w:r>
      </w:hyperlink>
    </w:p>
    <w:p>
      <w:pPr/>
      <w:r>
        <w:t xml:space="preserve">Les pages de blogs et de synthèses (RunnersConnect, Open Wearables, newsletters) sont des sources secondaires : les chiffres qu'elles rapportent sont à confirmer dans l'étude d'origine avant d'en faire un seuil codé en dur.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1"/>
    <w:lvlOverride w:ilvl="0">
      <w:startOverride w:val="1"/>
    </w:lvlOverride>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opus.lib.uts.edu.au/citation/handle/10453/141898" TargetMode="External"/><Relationship Id="rId4" Type="http://schemas.openxmlformats.org/officeDocument/2006/relationships/hyperlink" Target="https://pubmed.ncbi.nlm.nih.gov/30534459/" TargetMode="External"/><Relationship Id="rId5" Type="http://schemas.openxmlformats.org/officeDocument/2006/relationships/hyperlink" Target="https://runsafe.au.dk/display/artikel/limited-evidence-on-changes-in-training-load-and-running-related-injury" TargetMode="External"/><Relationship Id="rId6" Type="http://schemas.openxmlformats.org/officeDocument/2006/relationships/hyperlink" Target="https://doi.org/10.3390/ijerph181910299" TargetMode="External"/><Relationship Id="rId7" Type="http://schemas.openxmlformats.org/officeDocument/2006/relationships/hyperlink" Target="https://developers.strava.com/docs/rate-limits/" TargetMode="External"/><Relationship Id="rId8" Type="http://schemas.openxmlformats.org/officeDocument/2006/relationships/hyperlink" Target="https://openwearables.io/blog/strava-api-developer-guide-activities-heart-rate-gps-data" TargetMode="External"/><Relationship Id="rId9" Type="http://schemas.openxmlformats.org/officeDocument/2006/relationships/hyperlink" Target="https://glama.ai/mcp/servers/af1o1pyi9g" TargetMode="External"/><Relationship Id="rId10" Type="http://schemas.openxmlformats.org/officeDocument/2006/relationships/hyperlink" Target="https://github.com/cyberjunky/python-garminconnect" TargetMode="External"/><Relationship Id="rId11" Type="http://schemas.openxmlformats.org/officeDocument/2006/relationships/hyperlink" Target="https://github.com/kuranov/intervals-icu-tools" TargetMode="External"/><Relationship Id="rId12" Type="http://schemas.openxmlformats.org/officeDocument/2006/relationships/hyperlink" Target="https://pkg.go.dev/github.com/tomdiekmann/icu" TargetMode="External"/><Relationship Id="rId13" Type="http://schemas.openxmlformats.org/officeDocument/2006/relationships/hyperlink" Target="https://www.strava.com/legal/api_policy" TargetMode="External"/><Relationship Id="rId14" Type="http://schemas.openxmlformats.org/officeDocument/2006/relationships/hyperlink" Target="https://trainright.com/ultramarathon-runner-toolkit-monitoring-training/" TargetMode="External"/><Relationship Id="rId15" Type="http://schemas.openxmlformats.org/officeDocument/2006/relationships/hyperlink" Target="https://real.mtak.hu/200939/1/015-40-49.pdf" TargetMode="External"/><Relationship Id="rId16" Type="http://schemas.openxmlformats.org/officeDocument/2006/relationships/hyperlink" Target="https://sponet.de/sponet/Record/4001707" TargetMode="External"/><Relationship Id="rId17" Type="http://schemas.openxmlformats.org/officeDocument/2006/relationships/hyperlink" Target="https://pubmed.ncbi.nlm.nih.gov/18308872/" TargetMode="External"/><Relationship Id="rId18" Type="http://schemas.openxmlformats.org/officeDocument/2006/relationships/hyperlink" Target="https://opus.lib.uts.edu.au/handle/10453/34282" TargetMode="External"/><Relationship Id="rId19" Type="http://schemas.openxmlformats.org/officeDocument/2006/relationships/hyperlink" Target="https://zaguan.unizar.es/record/170428/files/texto_completo.pdf" TargetMode="External"/><Relationship Id="rId20" Type="http://schemas.openxmlformats.org/officeDocument/2006/relationships/hyperlink" Target="https://trainright.com/downhill-running-training-go-faster-hurt-less/" TargetMode="External"/><Relationship Id="rId21" Type="http://schemas.openxmlformats.org/officeDocument/2006/relationships/hyperlink" Target="https://pmc.ncbi.nlm.nih.gov/articles/PMC8197833" TargetMode="External"/><Relationship Id="rId22" Type="http://schemas.openxmlformats.org/officeDocument/2006/relationships/hyperlink" Target="https://runnersconnect.net/running-injury-prevention-guide/" TargetMode="External"/><Relationship Id="rId23" Type="http://schemas.openxmlformats.org/officeDocument/2006/relationships/hyperlink" Target="https://openapps.pro/packages/react-grid-layout" TargetMode="External"/><Relationship Id="rId24" Type="http://schemas.openxmlformats.org/officeDocument/2006/relationships/image" Target="media/image1.png"/><Relationship Id="rId25" Type="http://schemas.openxmlformats.org/officeDocument/2006/relationships/hyperlink" Target="https://michaelvivirito.com/articles/internal-https-caddy-wildcard" TargetMode="External"/><Relationship Id="rId26" Type="http://schemas.openxmlformats.org/officeDocument/2006/relationships/hyperlink" Target="https://tailscale.com/docs/solutions/kubernetes-operator-byod-gateway-api.md" TargetMode="External"/><Relationship Id="rId27" Type="http://schemas.openxmlformats.org/officeDocument/2006/relationships/hyperlink" Target="https://pypi.org/project/garmin-py/2.9.0/" TargetMode="External"/><Relationship Id="rId28" Type="http://schemas.openxmlformats.org/officeDocument/2006/relationships/hyperlink" Target="https://iris.univr.it/handle/11562/1139126" TargetMode="External"/><Relationship Id="rId29" Type="http://schemas.openxmlformats.org/officeDocument/2006/relationships/hyperlink" Target="https://www.ncbi.nlm.nih.gov/pmc/articles/PMC5928142/" TargetMode="External"/><Relationship Id="rId30" Type="http://schemas.openxmlformats.org/officeDocument/2006/relationships/hyperlink" Target="https://www.sensai.fit/blog/polarized-vs-threshold-vs-pyramidal-training-intensity-distribution" TargetMode="External"/><Relationship Id="rId31" Type="http://schemas.openxmlformats.org/officeDocument/2006/relationships/hyperlink" Target="https://github.com/tailscale/tailscale/issues/7081"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Cahier des charges – Coach Trail</dc:title>
  <dc:description>Claude Docs node/6791bda1-500c@41 docx-w7</dc:description>
  <cp:revision>41</cp:revision>
</cp:coreProperties>
</file>