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pStyle w:val="164"/>
        <w:keepNext/>
        <w:keepLines w:val="0"/>
        <w:pageBreakBefore w:val="0"/>
        <w:spacing w:before="0" w:after="120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初中数学AI阅卷的题型误差与教师复核——基于78份七年级纸笔答卷的实践分析</w:t>
      </w:r>
    </w:p>
    <w:p w14:paraId="0356E594">
      <w:pPr>
        <w:pStyle w:val="165"/>
        <w:keepNext/>
        <w:keepLines w:val="0"/>
        <w:pageBreakBefore w:val="0"/>
        <w:spacing w:before="0" w:after="120" w:line="300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　　贾浩然</w:t>
      </w:r>
    </w:p>
    <w:p w14:paraId="08A9BCFB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【摘  要】</w:t>
      </w:r>
      <w:r>
        <w:rPr>
          <w:rFonts w:ascii="Times New Roman" w:hAnsi="Times New Roman" w:eastAsia="宋体" w:cs="Times New Roman"/>
          <w:color w:val="000000"/>
          <w:sz w:val="21"/>
        </w:rPr>
        <w:t>为判断AI阅卷在初中数学纸笔测验中的实际适用范围，以某校七年级78份配对答卷为样本，比较整卷批改和混合分批批改两种方式，并对照教师手改分分析总分误差、题型误差和复核日志。原卷为总分57分的校内非标准化试卷，比较分析统一采用系统中的100分制评分口径。结果显示：整卷模式流程最终分的MAE为4.49，整体偏高2.67分；混合模式流程最终分的MAE为5.85，总分差异虽不显著，但不同题型的正负偏差存在抵消。两种模式在Q10作图题上的相对MAE均约为24%，系统“需要复核”标记也未覆盖全部高误差题目。由此可见，AI阅卷不能只依据总分相关性或模型置信度判断是否可用。选择、填空、计算、证明和作图题应分别设置复核要求，其中作图题仍应由教师逐项核对并确定得分。</w:t>
      </w:r>
    </w:p>
    <w:p w14:paraId="570EA01E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【关键词】</w:t>
      </w:r>
      <w:r>
        <w:rPr>
          <w:rFonts w:ascii="Times New Roman" w:hAnsi="Times New Roman" w:eastAsia="宋体" w:cs="Times New Roman"/>
          <w:color w:val="000000"/>
          <w:sz w:val="21"/>
        </w:rPr>
        <w:t>人工智能　　初中数学　　智能阅卷　　题型误差　　教师复核</w:t>
      </w:r>
    </w:p>
    <w:p w14:paraId="40A4B908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一、问题提出</w:t>
      </w:r>
    </w:p>
    <w:p w14:paraId="0C332F90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[2-4]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58ACD58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[5-7]</w:t>
      </w:r>
      <w:r>
        <w:rPr>
          <w:rFonts w:ascii="Times New Roman" w:hAnsi="Times New Roman" w:eastAsia="宋体" w:cs="Times New Roman"/>
          <w:color w:val="000000"/>
          <w:sz w:val="21"/>
        </w:rPr>
        <w:t>。自动评分还应针对模型、具体任务和实施流程分别评价，并在使用过程中持续监测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</w:rPr>
        <w:t>。评分量规应明确各类作答信息与表现水平的对应关系；遇到量规不能清楚处理的争议样本时，仍需保留教师的专业判断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6418F9A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二、文献综述与分析框架</w:t>
      </w:r>
    </w:p>
    <w:p w14:paraId="3BAD2B2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（一）大模型自动评分及其评价边界</w:t>
      </w:r>
    </w:p>
    <w:p w14:paraId="723145F7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</w:rPr>
        <w:t>。Lee 等发现，思维链提示在同时提供题干和评分量规时才显著改善评分效果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</w:rPr>
        <w:t>。Wu 等进一步发现，LLM 实际采用的评分依据可能与人工量规不一致，有时会依赖表层线索或“捷径”作出判断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[12]</w:t>
      </w:r>
      <w:r>
        <w:rPr>
          <w:rFonts w:ascii="Times New Roman" w:hAnsi="Times New Roman" w:eastAsia="宋体" w:cs="Times New Roman"/>
          <w:color w:val="000000"/>
          <w:sz w:val="21"/>
        </w:rPr>
        <w:t>。在开放数学回答的评分与反馈生成中，不同模型的准确性和反馈质量也有差异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[13]</w:t>
      </w:r>
      <w:r>
        <w:rPr>
          <w:rFonts w:ascii="Times New Roman" w:hAnsi="Times New Roman" w:eastAsia="宋体" w:cs="Times New Roman"/>
          <w:color w:val="000000"/>
          <w:sz w:val="21"/>
        </w:rPr>
        <w:t>。这些结果提示，单项研究中较高的一致性不能直接推及其他题目或实施条件，具体题目仍需结合题干、评分量规和学生作答分别检验。</w:t>
      </w:r>
    </w:p>
    <w:p w14:paraId="1B8227F4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（二）手写数学与多模态证据识别</w:t>
      </w:r>
    </w:p>
    <w:p w14:paraId="7E1490A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纸笔答卷给自动评分增加了视觉识别方面的困难。FERMAT 基准显示，VLM 在检测、定位和纠正手写数学中的计算、概念、符号和呈现错误时仍有明显短板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[14]</w:t>
      </w:r>
      <w:r>
        <w:rPr>
          <w:rFonts w:ascii="Times New Roman" w:hAnsi="Times New Roman" w:eastAsia="宋体" w:cs="Times New Roman"/>
          <w:color w:val="000000"/>
          <w:sz w:val="21"/>
        </w:rPr>
        <w:t>。DrawEduMath 使用教师标注的中小学生手绘数学图像，显示模型理解真实学生图形作答的能力仍有限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[15]</w:t>
      </w:r>
      <w:r>
        <w:rPr>
          <w:rFonts w:ascii="Times New Roman" w:hAnsi="Times New Roman" w:eastAsia="宋体" w:cs="Times New Roman"/>
          <w:color w:val="000000"/>
          <w:sz w:val="21"/>
        </w:rPr>
        <w:t>。CHECK-MAT 将国家统一考试中的真实手写解答与细化量规结合，结果表明自动评分需要同时处理视觉理解和数学推理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[16]</w:t>
      </w:r>
      <w:r>
        <w:rPr>
          <w:rFonts w:ascii="Times New Roman" w:hAnsi="Times New Roman" w:eastAsia="宋体" w:cs="Times New Roman"/>
          <w:color w:val="000000"/>
          <w:sz w:val="21"/>
        </w:rPr>
        <w:t>。VEHME 通过结构化推理数据训练和表达式感知视觉提示，提高了模型对开放式手写数学作答中错误的识别与定位能力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[17]</w:t>
      </w:r>
      <w:r>
        <w:rPr>
          <w:rFonts w:ascii="Times New Roman" w:hAnsi="Times New Roman" w:eastAsia="宋体" w:cs="Times New Roman"/>
          <w:color w:val="000000"/>
          <w:sz w:val="21"/>
        </w:rPr>
        <w:t>。针对学生手绘函数图像的研究也发现，通用视觉大模型在复杂图形判断上的稳定性仍然有限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[18]</w:t>
      </w:r>
      <w:r>
        <w:rPr>
          <w:rFonts w:ascii="Times New Roman" w:hAnsi="Times New Roman" w:eastAsia="宋体" w:cs="Times New Roman"/>
          <w:color w:val="000000"/>
          <w:sz w:val="21"/>
        </w:rPr>
        <w:t>。对作图题进行评分时，系统既要识别学生实际画出的内容，还要依据题意核对位置关系和几何条件。</w:t>
      </w:r>
    </w:p>
    <w:p w14:paraId="66D04C0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（三）人机协同、评分量规与国内实践</w:t>
      </w:r>
    </w:p>
    <w:p w14:paraId="3B911D76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[19]</w:t>
      </w:r>
      <w:r>
        <w:rPr>
          <w:rFonts w:ascii="Times New Roman" w:hAnsi="Times New Roman" w:eastAsia="宋体" w:cs="Times New Roman"/>
          <w:color w:val="000000"/>
          <w:sz w:val="21"/>
        </w:rPr>
        <w:t>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[20-21]</w:t>
      </w:r>
      <w:r>
        <w:rPr>
          <w:rFonts w:ascii="Times New Roman" w:hAnsi="Times New Roman" w:eastAsia="宋体" w:cs="Times New Roman"/>
          <w:color w:val="000000"/>
          <w:sz w:val="21"/>
        </w:rPr>
        <w:t>。这些做法为复核流程设计提供了参考，但现有证据仍主要来自前沿技术探索。用于真实教学时，还需分别考察具体题目上的评分表现、评分依据能否说明以及教师需要承担的复核工作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[8,22]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0C4C61B8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国内智能评卷研究已经涉及扫描网上评卷、机器辅助质检和大模型全题型评分。纸笔智能网上评卷系统将主观题识别接入扫描阅卷流程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[23]</w:t>
      </w:r>
      <w:r>
        <w:rPr>
          <w:rFonts w:ascii="Times New Roman" w:hAnsi="Times New Roman" w:eastAsia="宋体" w:cs="Times New Roman"/>
          <w:color w:val="000000"/>
          <w:sz w:val="21"/>
        </w:rPr>
        <w:t>；高考网评实践考察了人工智能评分参与“一评”的人机协同方式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[24]</w:t>
      </w:r>
      <w:r>
        <w:rPr>
          <w:rFonts w:ascii="Times New Roman" w:hAnsi="Times New Roman" w:eastAsia="宋体" w:cs="Times New Roman"/>
          <w:color w:val="000000"/>
          <w:sz w:val="21"/>
        </w:rPr>
        <w:t>；大模型全题型阅卷研究讨论了辅助定标、评分质量和过程可解释性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[25]</w:t>
      </w:r>
      <w:r>
        <w:rPr>
          <w:rFonts w:ascii="Times New Roman" w:hAnsi="Times New Roman" w:eastAsia="宋体" w:cs="Times New Roman"/>
          <w:color w:val="000000"/>
          <w:sz w:val="21"/>
        </w:rPr>
        <w:t>。孙利君还将相关做法归纳为 AI 辅助质检、AI 参与赋分、专家辅助质检和双 AI 评分等实施模式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[26]</w:t>
      </w:r>
      <w:r>
        <w:rPr>
          <w:rFonts w:ascii="Times New Roman" w:hAnsi="Times New Roman" w:eastAsia="宋体" w:cs="Times New Roman"/>
          <w:color w:val="000000"/>
          <w:sz w:val="21"/>
        </w:rPr>
        <w:t>。在数学教育领域，人工智能已被用于课堂教学评价和数学交流环境分析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[27]</w:t>
      </w:r>
      <w:r>
        <w:rPr>
          <w:rFonts w:ascii="Times New Roman" w:hAnsi="Times New Roman" w:eastAsia="宋体" w:cs="Times New Roman"/>
          <w:color w:val="000000"/>
          <w:sz w:val="21"/>
        </w:rPr>
        <w:t>；生成式 AI 与动态可视化软件的整合研究也指出，数学任务需要相应的符号和图形工具支持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[28]</w:t>
      </w:r>
      <w:r>
        <w:rPr>
          <w:rFonts w:ascii="Times New Roman" w:hAnsi="Times New Roman" w:eastAsia="宋体" w:cs="Times New Roman"/>
          <w:color w:val="000000"/>
          <w:sz w:val="21"/>
        </w:rPr>
        <w:t>。智慧考试研究提出以数字化方式改进命题、投送、评分和评价流程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[29]</w:t>
      </w:r>
      <w:r>
        <w:rPr>
          <w:rFonts w:ascii="Times New Roman" w:hAnsi="Times New Roman" w:eastAsia="宋体" w:cs="Times New Roman"/>
          <w:color w:val="000000"/>
          <w:sz w:val="21"/>
        </w:rPr>
        <w:t>。可信赖教育人工智能研究则强调，系统应用应满足可靠、安全和可解释等要求，并保留人的最终责任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[30]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71C53810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（四）基于数学作答证据结构的分析框架</w:t>
      </w:r>
    </w:p>
    <w:p w14:paraId="1049553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、教育评价研究对任务与评分依据关系的讨论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[4-9]</w:t>
      </w:r>
      <w:r>
        <w:rPr>
          <w:rFonts w:ascii="Times New Roman" w:hAnsi="Times New Roman" w:eastAsia="宋体" w:cs="Times New Roman"/>
          <w:color w:val="000000"/>
          <w:sz w:val="21"/>
        </w:rPr>
        <w:t>，以及手写数学研究对符号识别、图形理解和空间关系判断局限的发现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[14-18]</w:t>
      </w:r>
      <w:r>
        <w:rPr>
          <w:rFonts w:ascii="Times New Roman" w:hAnsi="Times New Roman" w:eastAsia="宋体" w:cs="Times New Roman"/>
          <w:color w:val="000000"/>
          <w:sz w:val="21"/>
        </w:rPr>
        <w:t>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三、研究设计</w:t>
      </w:r>
    </w:p>
    <w:p w14:paraId="1FD6AD2E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（一）研究对象与测试材料</w:t>
      </w:r>
    </w:p>
    <w:p w14:paraId="72056E46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纳入某校七年级两个教学班一次阶段测试的78份答卷。纳入条件是同一份答卷同时具有任课教师手改记录、整卷AI批改记录和混合分批AI批改记录，三类记录可按同一份答卷一一对应。测试基于北师大版七年级下册相关内容，覆盖轴对称、角平分线性质、最短路径、一次函数图像应用和几何证明。整卷与混合模式均按每份答卷18个题目/小问评分单元保存日志，各形成78×18=1404条学生—题目/小问记录。研究文本中的姓名、班级及学号均已匿名化。试卷题型及评分任务见表1。</w:t>
      </w:r>
    </w:p>
    <w:p w14:paraId="2FAA8291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表1 试卷题型结构与评分任务特征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646"/>
        <w:gridCol w:w="1906"/>
        <w:gridCol w:w="2079"/>
        <w:gridCol w:w="268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F9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题号</w:t>
            </w:r>
          </w:p>
        </w:tc>
        <w:tc>
          <w:tcPr>
            <w:tcW w:w="164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F4D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题型及满分</w:t>
            </w:r>
          </w:p>
        </w:tc>
        <w:tc>
          <w:tcPr>
            <w:tcW w:w="190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400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主要作答证据</w:t>
            </w:r>
          </w:p>
        </w:tc>
        <w:tc>
          <w:tcPr>
            <w:tcW w:w="207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3A1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AI 主要任务</w:t>
            </w:r>
          </w:p>
        </w:tc>
        <w:tc>
          <w:tcPr>
            <w:tcW w:w="268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CD0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460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77B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选择题，35分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C42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选项标记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CF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识别选项并匹配答案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876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911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2F8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填空题，32分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B86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符号结果、等价表达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D41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识别符号并校验等价性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2F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D9A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CFC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作图题，11分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347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点线位置、作图痕迹、几何关系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89D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标出识别到的点、线及疑似位置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C3C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06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D1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计算/函数综合题，11分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6D5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结果、函数关系、步骤链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FB4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提取步骤和最终结果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A2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F63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45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几何证明题，11分</w:t>
            </w:r>
          </w:p>
        </w:tc>
        <w:tc>
          <w:tcPr>
            <w:tcW w:w="19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2AF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条件调用、逻辑链、结论</w:t>
            </w:r>
          </w:p>
        </w:tc>
        <w:tc>
          <w:tcPr>
            <w:tcW w:w="20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619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列出识别到的条件、推理步骤及缺失环节</w:t>
            </w:r>
          </w:p>
        </w:tc>
        <w:tc>
          <w:tcPr>
            <w:tcW w:w="26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B48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核对条件调用、推理衔接和结论是否完整</w:t>
            </w:r>
          </w:p>
        </w:tc>
      </w:tr>
    </w:tbl>
    <w:p w14:paraId="4C49FA71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（二）AI 阅卷系统与两种批改模式</w:t>
      </w:r>
    </w:p>
    <w:p w14:paraId="1E566E58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两种模式按以下方式组织输入图像。整卷模式将单名学生的整卷或整页图像输入doubao-seed-2.0-pro，原答卷中的题目位置、跨区域作答和步骤顺序随页面一并呈现。混合分批模式先裁切同一道题的学生作答区域，再将多名学生的同题区域拼接；选择、填空题每批最多15人，解答题每批最多4人，拼接完成后输入参数相同的doubao-seed-2.0-pro。混合模式不是对每名学生逐题单独调用模型，而是在一次调用中处理同题的多名学生作答，其设计目的是限制单次输入范围，并减少调用批次以控制调用时间和token支出。本文比较的是上述两种输入组织方式，现有结果未单独报告调用时间或token成本的比较数据。具体设置见表2。</w:t>
      </w:r>
    </w:p>
    <w:p w14:paraId="3EA18D8E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表2 AI 阅卷的图像输入、模型参数与日志记录设置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2639"/>
        <w:gridCol w:w="2111"/>
        <w:gridCol w:w="3167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6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200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项目</w:t>
            </w:r>
          </w:p>
        </w:tc>
        <w:tc>
          <w:tcPr>
            <w:tcW w:w="263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431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本研究设置</w:t>
            </w:r>
          </w:p>
        </w:tc>
        <w:tc>
          <w:tcPr>
            <w:tcW w:w="211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DFD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核查所用记录</w:t>
            </w:r>
          </w:p>
        </w:tc>
        <w:tc>
          <w:tcPr>
            <w:tcW w:w="316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FCA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168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样本与日志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A78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78份完整配对答卷；两模式各1404条日志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B3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手改表、两模式成绩表与日志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88E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F1B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图像输入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815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300 dpi；本轮两模式均未启用图像增强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46C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扫描图像、切片与拼图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A09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5EB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33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整卷：doubao-seed-2.0-pro；</w:t>
            </w:r>
          </w:p>
          <w:p w14:paraId="3EAE8A0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混合：doubao-seed-2.0-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szCs w:val="15"/>
                <w:lang w:val="en-US" w:eastAsia="zh-CN"/>
              </w:rPr>
              <w:t>pro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156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798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887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生成参数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90E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temperature=0；top_p、top_k采用服务端默认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7C7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调用配置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5B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C15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评分约束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1F8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统一答案、评分细则和结构化提示词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3B6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评分细则、提示词文档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10F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FB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复核入口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703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模型输出“需要复核”字段，系统据此筛选记录供教师查看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C5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407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szCs w:val="15"/>
                <w:lang w:val="en-US" w:eastAsia="zh-CN"/>
              </w:rPr>
              <w:t>该字段由模型报告置信度触发；置信度不作为正确概率</w:t>
            </w:r>
          </w:p>
        </w:tc>
      </w:tr>
    </w:tbl>
    <w:p w14:paraId="4F365CF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（三）分数定义、统计方法与案例选择</w:t>
      </w:r>
    </w:p>
    <w:p w14:paraId="66150E17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区分三类分数。“教师手改分”是任课教师依据统一评分细则在纸笔批改后登记的分数；“AI原始分”是模型首次输出的分数；“流程最终分”是完成本轮系统复核流程后导出的成绩，可能沿用AI原始分，也可能在教师查看后调整。原卷为校内非标准化阶段测试，卷面各题标注分值合计57分；为便于系统统一评分，本研究的比较分析采用100分制评分细则，Q10在该口径下满分为11分，而图4保留的原卷题面仍显示9分。本文表1、表3—表5、表7以及各项误差指标均采用100分制口径。由于未设置第二评分者，教师手改分只作为本次课堂评分的专业参照，不被视为学生表现的绝对真值。本文据此考察两种AI批改结果与该教师手改分的差异及一致程度。</w:t>
      </w:r>
    </w:p>
    <w:p w14:paraId="502BAB2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)、双向混合效应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绝对一致性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F750EA0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为辅助解释 Q10 的评分分歧，研究从分歧较为典型的记录中目的性选取两个脱敏案例，比较原作答中可见的点、线、文字标注、重叠痕迹和浅色痕迹。案例图未呈现逐项模型输出，因此本文不据此反推模型的内部判断过程，也不把两个案例用于频率推断。该部分仅用于说明教师在复核作图题时实际需要查看哪些内容。</w:t>
      </w:r>
    </w:p>
    <w:p w14:paraId="15D4F671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四、研究结果</w:t>
      </w:r>
    </w:p>
    <w:p w14:paraId="7E8D44CD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（一）总分层面：整卷误差较小但整体偏高</w:t>
      </w:r>
    </w:p>
    <w:p w14:paraId="177F8596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表3 AI 原始分与流程最终分相对于教师手改分的总分差异及一致性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518"/>
        <w:gridCol w:w="759"/>
        <w:gridCol w:w="759"/>
        <w:gridCol w:w="759"/>
        <w:gridCol w:w="759"/>
        <w:gridCol w:w="1594"/>
        <w:gridCol w:w="759"/>
        <w:gridCol w:w="911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C19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模式口径</w:t>
            </w:r>
          </w:p>
        </w:tc>
        <w:tc>
          <w:tcPr>
            <w:tcW w:w="15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849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教师/AI均分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C87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8E4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265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A74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5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CD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3E6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1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B3A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E3C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整卷—原始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18F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65.22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8AA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+3.78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C1E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5.14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BF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6.83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277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0.975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157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0.963 [0.940, 0.976]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5FC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084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FEA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整卷—最终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2A1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64.10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113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E20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DC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08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0.977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89B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67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C1C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E7C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混合—原始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9FD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59.40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E2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-2.03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9F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5.99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D1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8.27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5D9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0.943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A80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0.940 [0.897, 0.966]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B21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0.092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E9D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935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混合—最终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0C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59.96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BE9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98A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E48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ACA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0.946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7E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7F7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C6F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</w:tbl>
    <w:p w14:paraId="576044A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显示，整卷模式流程最终分的MAE为4.49、RMSE为5.90、ICC为0.972，但平均高于教师手改分2.67分，配对差异显著。混合模式流程最终分的MAE为5.85、RMSE为7.95、ICC为0.944，平均低于教师手改分1.48分，配对差异不显著。在本样本中，整卷模式的绝对误差较小，但存在整体偏高；混合模式未检出显著的总分差异，也不能据此解释为没有偏差。表3未对两种模式各指标之差进行直接检验，因此不据这些数值判定一种模式总体优于另一种模式。两种模式最终分与教师手改分的一致性分布见图1。</w:t>
      </w:r>
    </w:p>
    <w:p w14:paraId="00F8E995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图1 流程最终分与教师手改分的 Bland-Altman 一致性分析</w:t>
      </w:r>
    </w:p>
    <w:p w14:paraId="30265F5E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（二）排除 Q10 后：整卷偏差收窄，混合偏低更加明显</w:t>
      </w:r>
    </w:p>
    <w:p w14:paraId="77115689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表4 排除 Q10 作图题前后流程最终分与教师手改分的差异及一致性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286"/>
        <w:gridCol w:w="918"/>
        <w:gridCol w:w="918"/>
        <w:gridCol w:w="918"/>
        <w:gridCol w:w="1837"/>
        <w:gridCol w:w="918"/>
        <w:gridCol w:w="9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6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C95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128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75A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范围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204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E77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08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183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87D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348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2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453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C02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5B1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78D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2AB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B1A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A7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3BC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C44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31F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976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F00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+0.32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F6F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2.67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7B1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4.37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BF5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0.979 [0.965, 0.989]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2E7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0.742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69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480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B90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E7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CA9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CC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08F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9F0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3C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794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610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3D9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-3.16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E5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5.71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4D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8.34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D61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0.920 [0.859, 0.958]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F4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0.002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664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</w:tr>
    </w:tbl>
    <w:p w14:paraId="1986F3F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显示，排除Q10后，整卷模式的Bias由+2.67收窄至+0.32，MAE由4.49降至2.67，配对差异不再显著；整卷总分偏高与Q10的正向偏差密切相关。表5显示，混合模式在Q10上的正向偏差与填空题、选择题和Q11的负向偏差部分抵消。混合模式的Bias由-1.48变为-3.16，且配对差异转为显著。因而，Q10是否计入会明显改变两种模式的总分Bias及配对检验结果；总分层面“未检出显著差异”不能被解释为各题型均无系统性偏高或偏低。Bias变化见图2。</w:t>
      </w:r>
    </w:p>
    <w:p w14:paraId="4B1FF493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图2 排除 Q10 前后流程最终分的 Bias 变化</w:t>
      </w:r>
    </w:p>
    <w:p w14:paraId="67AA638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（三）题型层面：两种模式的误差分布不同</w:t>
      </w:r>
    </w:p>
    <w:p w14:paraId="75B7C0C3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表5 不同题型下两种模式流程最终分的 MAE、相对 MAE 与 Bias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735"/>
        <w:gridCol w:w="1194"/>
        <w:gridCol w:w="918"/>
        <w:gridCol w:w="1194"/>
        <w:gridCol w:w="918"/>
        <w:gridCol w:w="229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2DA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</w:t>
            </w:r>
          </w:p>
        </w:tc>
        <w:tc>
          <w:tcPr>
            <w:tcW w:w="735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CC1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满分</w:t>
            </w:r>
          </w:p>
        </w:tc>
        <w:tc>
          <w:tcPr>
            <w:tcW w:w="11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103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整卷MAE</w:t>
            </w:r>
          </w:p>
          <w:p w14:paraId="67F4659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7A5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整卷Bias</w:t>
            </w:r>
          </w:p>
        </w:tc>
        <w:tc>
          <w:tcPr>
            <w:tcW w:w="11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F2E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混合MAE</w:t>
            </w:r>
          </w:p>
          <w:p w14:paraId="4C7FA6A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2B6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混合Bias</w:t>
            </w:r>
          </w:p>
        </w:tc>
        <w:tc>
          <w:tcPr>
            <w:tcW w:w="229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E39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黑体" w:hAnsi="黑体" w:eastAsia="黑体" w:cs="黑体"/>
                <w:b/>
                <w:color w:val="000000"/>
                <w:sz w:val="15"/>
                <w:szCs w:val="15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99A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选择题Q1—Q5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31F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6C8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DC5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1B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85B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CB8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0D4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填空题Q6—Q9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213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32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56C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1.29（4.0%）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956C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+0.88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4E7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3.96（12.4%）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43CB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-3.94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30F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13A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Q10作图题（原卷9分）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8121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E231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2.68（24.4%）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354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+2.35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0B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2.65（24.1%）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096A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+1.68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AA0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9406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Q11计算/函数综合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1E4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98F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1.00（9.1%）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5E5D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-0.92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E1A2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0.60（5.4%）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21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-0.54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F36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09F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Q12几何证明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8B9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52EA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0.81（7.3%）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FD7B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C85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1.97（17.9%）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D1A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+1.77</w:t>
            </w:r>
          </w:p>
        </w:tc>
        <w:tc>
          <w:tcPr>
            <w:tcW w:w="2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79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</w:tbl>
    <w:p w14:paraId="224B99F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表5和图3显示，选择题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图3 不同题型下两种 AI 批改模式的标准化 MAE</w:t>
      </w:r>
    </w:p>
    <w:p w14:paraId="49303831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（四）系统“需要复核”字段：标记数量、题号分布与后续改分</w:t>
      </w:r>
    </w:p>
    <w:p w14:paraId="33020FB5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表6 两种模式中“需要复核”字段及相应改分记录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10"/>
        <w:gridCol w:w="1351"/>
        <w:gridCol w:w="990"/>
        <w:gridCol w:w="1621"/>
        <w:gridCol w:w="1261"/>
        <w:gridCol w:w="2431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104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81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64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日志数</w:t>
            </w:r>
          </w:p>
        </w:tc>
        <w:tc>
          <w:tcPr>
            <w:tcW w:w="135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2BC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“需要复核”=是的日志数</w:t>
            </w:r>
          </w:p>
        </w:tc>
        <w:tc>
          <w:tcPr>
            <w:tcW w:w="99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3D8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上述日志占比</w:t>
            </w:r>
          </w:p>
        </w:tc>
        <w:tc>
          <w:tcPr>
            <w:tcW w:w="162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456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上述日志中发生分数调整的数量</w:t>
            </w:r>
          </w:p>
        </w:tc>
        <w:tc>
          <w:tcPr>
            <w:tcW w:w="126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359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上述日志所在题号</w:t>
            </w:r>
          </w:p>
        </w:tc>
        <w:tc>
          <w:tcPr>
            <w:tcW w:w="243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7C1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0AC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DD0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391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357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1.28%</w:t>
            </w:r>
          </w:p>
        </w:tc>
        <w:tc>
          <w:tcPr>
            <w:tcW w:w="1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505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1条，下调</w:t>
            </w:r>
          </w:p>
        </w:tc>
        <w:tc>
          <w:tcPr>
            <w:tcW w:w="1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81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Q10、Q11、Q12</w:t>
            </w:r>
          </w:p>
        </w:tc>
        <w:tc>
          <w:tcPr>
            <w:tcW w:w="24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023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541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AEE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307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E5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0.78%</w:t>
            </w:r>
          </w:p>
        </w:tc>
        <w:tc>
          <w:tcPr>
            <w:tcW w:w="1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88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4条，均上调</w:t>
            </w:r>
          </w:p>
        </w:tc>
        <w:tc>
          <w:tcPr>
            <w:tcW w:w="1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850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Q3—Q9</w:t>
            </w:r>
          </w:p>
        </w:tc>
        <w:tc>
          <w:tcPr>
            <w:tcW w:w="24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4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 条标记中 4 条分数上调；Q10、Q12 无标记</w:t>
            </w:r>
          </w:p>
        </w:tc>
      </w:tr>
    </w:tbl>
    <w:p w14:paraId="4AF38BEB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“需要复核”，标记率为1.28%；其中1条记录的流程最终分下调，其余被标记记录未发生分数调整。混合模式标记11条，标记率为0.78%；其中4条记录的流程最终分均上调，其余被标记记录未发生分数调整。整卷模式的标记主要位于Q10、Q11和Q12，混合模式的标记主要位于Q3—Q9，Q10和Q12未被混合模式标记。表5中混合模式在Q10和Q12的相对MAE分别为24.1%和17.9%，可见模型置信度触发的标记分布与题型相对误差的分布并不一致。本文没有“每条记录是否存在评分误差”与“是否被标记”的完整交叉数据，因此不能据表6计算该字段的敏感度、漏标率或误标率。</w:t>
      </w:r>
    </w:p>
    <w:p w14:paraId="7534FF18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（五）Q10 脱敏案例：可观察作图痕迹与评分分歧</w:t>
      </w:r>
    </w:p>
    <w:p w14:paraId="3672A277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图4 Q10 作图题的两个脱敏作答案例（原卷题面9分；统计按100分制计11分）</w:t>
      </w:r>
    </w:p>
    <w:p w14:paraId="159C6B6D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图4保留了原卷题面“本小题9分”的标注；本文统计采用AI阅卷流程中的100分制评分细则，Q10按11分计。两份脱敏作答中，可以直接观察到多条相交线段、点名和辅助作图痕迹，部分线条或标注较浅，不同线条在网格区域内相互重叠。图下“整卷偏宽与混合偏严”“浅色作图痕迹识别风险”是复核时对现象的简写，并非由这两个案例单独验证的因果结论。图中未列出两个案例的教师手改分、AI原始分、流程最终分及逐项模型输出，因此不能仅凭作答图像确定模型遗漏了哪一条线、采用了何种判断路径，也不能把评分分歧确定归因于整卷页面、裁切缩放或多名学生拼接。结合表5中整卷和混合模式在Q10上分别为24.4%和24.1%的相对MAE，这两个案例只能说明：识别到点线痕迹与正确确认点线归属、交点位置及几何关系并不是同一个评分步骤；案例本身不能证明某一种输入方式必然造成偏宽或偏严。</w:t>
      </w:r>
    </w:p>
    <w:p w14:paraId="4B74D955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五、讨论</w:t>
      </w:r>
    </w:p>
    <w:p w14:paraId="7EF38AF6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（一）总分结果需要结合题型偏差解读</w:t>
      </w:r>
    </w:p>
    <w:p w14:paraId="6B960E8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表4和表5显示，整卷模式各题型的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（二）两种输入方式在本次试卷中的表现差异</w:t>
      </w:r>
    </w:p>
    <w:p w14:paraId="59D098A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（三）Q10 作图题的误差来源与复核要求</w:t>
      </w:r>
    </w:p>
    <w:p w14:paraId="4BC1DF33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10在整卷和混合模式下的标准化MAE分别为24.4%和24.1%，明显高于本试卷其他题型；排除Q10后，整卷模式的Bias又由+2.67降至+0.32。图4中可以看到点线重叠、浅色线条和文字标注等复核难点；图下“偏宽/偏严”等标签只作现象提示，不能替代案例级分数证据。两种模式使用同一次300 dpi扫描，且均未启用图像增强，这使扫描来源和名义分辨率保持一致，但不能据此排除图像因素；手写深浅、线条重叠、裁切和缩放仍可能影响作答内容是否清楚。对Q10这类题，教师仍需按评分细则逐项核对点线位置和几何关系。AI可以协助呈现原图、裁切图和疑似痕迹，不宜单独决定最终得分。</w:t>
      </w:r>
    </w:p>
    <w:p w14:paraId="4EE7B8DF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（四）系统复核标记的用途与限度</w:t>
      </w:r>
    </w:p>
    <w:p w14:paraId="2451E78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需复核记录，标记率为1.28%，复核后仅有1条下调；混合模式标记11条，标记率为0.78%，其中4条复核后上调。更值得注意的是，混合模式的标记主要分布在Q3—Q9，却没有覆盖表5中误差较高的Q10和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应直接进入教师复核，Q6—Q9需重点核对等价表达和作废答案，Q11、Q12则需查看关键步骤或证明过程是否完整；系统标记只是在这些检查之外增加一条提醒。各题型的暂定处理方式见表7。</w:t>
      </w:r>
    </w:p>
    <w:p w14:paraId="6C62ADF7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  <w:rPr>
          <w:rFonts w:hint="default" w:eastAsia="宋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15"/>
        </w:rPr>
        <w:t>表7 本次题型结果与暂定处理方式</w:t>
      </w:r>
    </w:p>
    <w:tbl>
      <w:tblPr>
        <w:tblStyle w:val="33"/>
        <w:tblW w:w="9184" w:type="dxa"/>
        <w:tblInd w:w="12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  <w:gridCol w:w="3042"/>
        <w:gridCol w:w="2665"/>
      </w:tblGrid>
      <w:tr w14:paraId="2E878DF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7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1CB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本次证据</w:t>
            </w:r>
          </w:p>
        </w:tc>
        <w:tc>
          <w:tcPr>
            <w:tcW w:w="3042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F9A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暂定处理方式</w:t>
            </w:r>
          </w:p>
        </w:tc>
        <w:tc>
          <w:tcPr>
            <w:tcW w:w="2665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89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结论边界</w:t>
            </w:r>
          </w:p>
        </w:tc>
      </w:tr>
      <w:tr w14:paraId="0EDE3FB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0451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Q1—Q5：两模式 MAE 均为 0.45（1.3%）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DE1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批量识别；多选、涂改等异常作答由教师核对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D43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仅适用于本次选择题</w:t>
            </w:r>
          </w:p>
        </w:tc>
      </w:tr>
      <w:tr w14:paraId="6C2E168A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10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Q6—Q9：整卷 MAE 为 1.29（4.0%），混合为 3.96（12.4%）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6A8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核对等价表达、作废答案和替换答案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0F2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尚不能确定固定输入方式</w:t>
            </w:r>
          </w:p>
        </w:tc>
      </w:tr>
      <w:tr w14:paraId="37E0E6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875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Q10：整卷和混合 MAE 分别为 2.68（24.4%）和 2.65（24.1%）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746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教师逐项复核并确定最终得分；AI 仅整理图像和提示疑似痕迹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C7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本次证据最明确的处理建议</w:t>
            </w:r>
          </w:p>
        </w:tc>
      </w:tr>
      <w:tr w14:paraId="42ED74A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F41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Q11：混合 MAE 为 0.60（5.4%），整卷为 1.00（9.1%）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E7E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后续试卷继续检验局部呈现方式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FDC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 w14:paraId="0D12777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113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Q12：整卷 MAE 为 0.81（7.3%），混合为 1.97（17.9%）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002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后续试卷继续检验单份完整答卷的呈现方式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F54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 w14:paraId="4885B42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11A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整卷、混合分别标记 18 条和 11 条；复核后调整 1 条和 4 条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0D7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系统标记只作为追加复核提示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258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本研究未验证其检出能力</w:t>
            </w:r>
          </w:p>
        </w:tc>
      </w:tr>
    </w:tbl>
    <w:p w14:paraId="41887EE0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（五）本次结果支持的使用判断</w:t>
      </w:r>
    </w:p>
    <w:p w14:paraId="30E2534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表3中，整卷流程最终分的 MAE 为 4.49、ICC 为 0.972，但 Bias 为 +2.67，且与教师手改分的差异显著；混合流程最终分的 MAE 为 5.85、ICC 为 0.944，总 Bias 为 -1.48，总分差异不显著。表4和表5进一步表明，后一结果包含不同题型偏差的抵消，Q10 又是两种模式共同的高误差题目。表6还显示，系统复核标记没有覆盖混合模式下的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（六）研究局限</w:t>
      </w:r>
    </w:p>
    <w:p w14:paraId="4B2DD80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本研究只分析了同一学校两个教学班的一次测试，共78份完整配对答卷，表5中的每类题型又只包含有限题目；图4的两个Q10案例是从分歧记录中目的性选取的，不能代表该题所有错误。教师手改没有设置第二评分者，研究者同时参与系统设计、课堂评分和结果解释，因此教师分也不能视为不受影响的绝对标准。模型未对同一图像重复调用，top_p、top_k采用服务端默认参数，表6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六、结论与建议</w:t>
      </w:r>
    </w:p>
    <w:p w14:paraId="036A8AB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pStyle w:val="166"/>
        <w:keepNext/>
        <w:keepLines w:val="0"/>
        <w:pageBreakBefore w:val="0"/>
        <w:spacing w:before="120" w:after="0" w:line="30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参考文献</w:t>
      </w:r>
    </w:p>
    <w:p w14:paraId="3D7B251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[1]中华人民共和国教育部. 义务教育数学课程标准（2022年版）[S]. 北京: 北京师范大学出版社, 2022.</w:t>
      </w:r>
    </w:p>
    <w:p w14:paraId="542E5D53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[2]Black P, Wiliam D. Assessment and classroom learning[J]. Assessment in Education: Principles, Policy &amp; Practice, 1998, 5(1): 7-74. DOI:10.1080/0969595980050102.</w:t>
      </w:r>
    </w:p>
    <w:p w14:paraId="52016E3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[3]National Research Council. Knowing What Students Know: The Science and Design of Educational Assessment[M]. Washington, DC: National Academy Press, 2001. DOI:10.17226/10019.</w:t>
      </w:r>
    </w:p>
    <w:p w14:paraId="7928D9E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[4]Mislevy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[5]Messick S, Linn R L. Educational measurement[J]. Validity, 1989: 13-103.</w:t>
      </w:r>
    </w:p>
    <w:p w14:paraId="47C136D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[6]Kane M T. Validating the interpretations and uses of test scores[J]. Journal of Educational Measurement, 2013, 50(1): 1-73.</w:t>
      </w:r>
    </w:p>
    <w:p w14:paraId="00219507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[7]American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[8]Williamson D M, Xi X, Breyer F J. A framework for evaluation and use of automated scoring[J]. Educational measurement: issues and practice, 2012, 31(1): 2-13.</w:t>
      </w:r>
    </w:p>
    <w:p w14:paraId="06E948AC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[9]Brookhart S M. How to Create and Use Rubrics for Formative Assessment and Grading[M]. Alexandria, VA: ASCD, 2013.</w:t>
      </w:r>
    </w:p>
    <w:p w14:paraId="30AAA79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[10]Morris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[11]Lee G G, Latif E, Wu X, et al. Applying large language models and chain-of-thought for automatic scoring[J]. Computers and Education: Artificial Intelligence, 2024, 6: 100213.</w:t>
      </w:r>
    </w:p>
    <w:p w14:paraId="21D0DB2E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[12]Wu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[13]Baral S, Worden E, Lim W C, et al. Automated feedback in math education: A comparative analysis of LLMs for open-ended responses[EB/OL]. arXiv:2411.08910, 2024.</w:t>
      </w:r>
    </w:p>
    <w:p w14:paraId="4E667D41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[14]Nath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[15]Baral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[16]Khrulev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[17]Nguyen T P, Nguyen D M, Jeon H, et al. VEHME: A vision-language model for evaluating handwritten mathematics expressions[C]//Proceedings of EMNLP 2025. Suzhou: ACL, 2025: 31793-31813.</w:t>
      </w:r>
    </w:p>
    <w:p w14:paraId="35D97517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[18]Parsaeifard B, Hlosta M, Bergamin P. Automated grading of students’ handwritten graphs: A comparison of meta-learning and vision-large language models[EB/OL]. arXiv:2507.03056, 2025.</w:t>
      </w:r>
    </w:p>
    <w:p w14:paraId="08D350A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[19]Cohn C, Mohammed N, Biswas G. CoTAL: Human-in-the-Loop Prompt Engineering for Generalizable Formative Assessment Scoring[EB/OL]. arXiv:2504.02323, 2025.</w:t>
      </w:r>
    </w:p>
    <w:p w14:paraId="47FDF89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[20]Vanhoyweghen A, Holst V, Mobini M, et al. Human-in-the-Loop LLM Grading for Handwritten Mathematics Assessments[EB/OL]. arXiv:2603.13083, 2026.</w:t>
      </w:r>
    </w:p>
    <w:p w14:paraId="74AA8D9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[21]Perš J, Muhovič J, Košir A, et al. Grading Handwritten Engineering Exams with Multimodal Large Language Models[EB/OL]. arXiv:2601.00730, 2026.</w:t>
      </w:r>
    </w:p>
    <w:p w14:paraId="7110F8D1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[22]Le Ying T, Hu S, Yeo D J, et al. A comprehensive review on automated grading systems in STEM using AI techniques[J]. Mathematics, 2025, 13(17): 2828.</w:t>
      </w:r>
    </w:p>
    <w:p w14:paraId="7C2F91E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[23]汪张龙, 徐俊, 李晓臻, 等. 纸笔考试智能网上评卷系统的设计和应用——智能教育应用之“考试评价”篇[J]. 现代教育技术, 2018, 28(3): 5-11.</w:t>
      </w:r>
    </w:p>
    <w:p w14:paraId="6EDDB43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[24]何屹松, 孙媛媛, 江光贤, 等. 人工智能评分参与高考网评一评的应用实践[J]. 中国考试, 2021(9): 40-46.</w:t>
      </w:r>
    </w:p>
    <w:p w14:paraId="50A4761B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[25]王冠,魏兰.人工智能大模型技术在教育考试全题型阅卷中的应用[J].教育测量与评价, 2024(3):3-18.</w:t>
      </w:r>
    </w:p>
    <w:p w14:paraId="7A96219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[26]孙利君. 人工智能辅助评卷的模式研究[J]. 浙江考试, 2025, No.443(2): 3-6.</w:t>
      </w:r>
    </w:p>
    <w:p w14:paraId="1F35AEF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[27]苏洪雨, 叶珊, 许世红, 等. 基于人工智能赋能教学评价的数学交流环境研究[J]. 数学教育学报, 2025, 34(3): 1-8.</w:t>
      </w:r>
    </w:p>
    <w:p w14:paraId="57901BD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[28]邵铭宇, 魏亮, 李均强, 等. 生成式人工智能与动态可视化软件整合：原理、应用与展望[J]. 数学教育学报, 2025, 34(4): 27-35.</w:t>
      </w:r>
    </w:p>
    <w:p w14:paraId="47C2A69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[29]于涵. 打造智慧考试 服务智慧教育[J]. 中国考试, 2023(5): 1-10.</w:t>
      </w:r>
    </w:p>
    <w:p w14:paraId="454895F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[30]沈苑, 胡梦圆, 范逸洲, 汪琼. 可信赖人工智能教育应用的建设路径与现实启示——以英国典型举措为例[J]. 现代远程教育研究, 2023, 35(4): 65-74.</w:t>
      </w:r>
    </w:p>
    <w:p w14:paraId="322A275E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作者姓名：</w:t>
      </w:r>
      <w:r>
        <w:rPr>
          <w:rFonts w:ascii="Times New Roman" w:hAnsi="Times New Roman" w:eastAsia="宋体" w:cs="Times New Roman"/>
          <w:color w:val="000000"/>
          <w:sz w:val="21"/>
        </w:rPr>
        <w:t>贾浩然</w:t>
      </w:r>
    </w:p>
    <w:p w14:paraId="1BED74A4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作者单位：</w:t>
      </w: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</w:t>
      </w:r>
    </w:p>
    <w:p w14:paraId="152EC425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通讯地址：</w:t>
      </w:r>
      <w:r>
        <w:rPr>
          <w:rFonts w:ascii="Times New Roman" w:hAnsi="Times New Roman" w:eastAsia="宋体" w:cs="Times New Roman"/>
          <w:color w:val="000000"/>
          <w:sz w:val="21"/>
        </w:rPr>
        <w:t>广东省深圳市南山区桃源街道留仙大道3633号深圳大学附属教育集团外国语中学（新校区）（邮编：518071）</w:t>
      </w:r>
    </w:p>
    <w:p w14:paraId="0FA47E2F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联系电话：</w:t>
      </w:r>
      <w:r>
        <w:rPr>
          <w:rFonts w:ascii="Times New Roman" w:hAnsi="Times New Roman" w:eastAsia="宋体" w:cs="Times New Roman"/>
          <w:color w:val="000000"/>
          <w:sz w:val="21"/>
        </w:rPr>
        <w:t>13201469126</w:t>
      </w:r>
    </w:p>
    <w:p w14:paraId="42D3901E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  <w:rPr>
          <w:rFonts w:hint="default" w:eastAsia="宋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21"/>
        </w:rPr>
        <w:t>QQ或微信：</w:t>
      </w:r>
      <w:bookmarkStart w:id="0" w:name="_GoBack"/>
      <w:bookmarkEnd w:id="0"/>
      <w:r>
        <w:rPr>
          <w:rFonts w:hint="eastAsia" w:cs="Times New Roman"/>
          <w:color w:val="000000"/>
          <w:sz w:val="21"/>
          <w:lang w:val="en-US" w:eastAsia="zh-CN"/>
        </w:rPr>
        <w:t>894189001</w:t>
      </w:r>
    </w:p>
    <w:p w14:paraId="69154605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电子邮箱：</w:t>
      </w:r>
      <w:r>
        <w:rPr>
          <w:rFonts w:ascii="Times New Roman" w:hAnsi="Times New Roman" w:eastAsia="宋体" w:cs="Times New Roman"/>
          <w:color w:val="000000"/>
          <w:sz w:val="21"/>
        </w:rPr>
        <w:t>894189001@qq.com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8C66D9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5912433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Nanshan Title"/>
    <w:uiPriority w:val="0"/>
    <w:rPr>
      <w:rFonts w:ascii="黑体" w:hAnsi="黑体" w:eastAsia="黑体" w:cs="黑体"/>
      <w:b/>
      <w:color w:val="000000"/>
      <w:sz w:val="44"/>
    </w:rPr>
  </w:style>
  <w:style w:type="paragraph" w:customStyle="1" w:styleId="165">
    <w:name w:val="Nanshan Author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66">
    <w:name w:val="Nanshan Body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67">
    <w:name w:val="Nanshan Heading 1"/>
    <w:uiPriority w:val="0"/>
    <w:rPr>
      <w:rFonts w:ascii="黑体" w:hAnsi="黑体" w:eastAsia="黑体" w:cs="黑体"/>
      <w:color w:val="000000"/>
      <w:sz w:val="24"/>
    </w:rPr>
  </w:style>
  <w:style w:type="paragraph" w:customStyle="1" w:styleId="168">
    <w:name w:val="Nanshan Heading 2"/>
    <w:uiPriority w:val="0"/>
    <w:rPr>
      <w:rFonts w:ascii="黑体" w:hAnsi="黑体" w:eastAsia="黑体" w:cs="黑体"/>
      <w:color w:val="000000"/>
      <w:sz w:val="21"/>
    </w:rPr>
  </w:style>
  <w:style w:type="paragraph" w:customStyle="1" w:styleId="169">
    <w:name w:val="Nanshan Heading 3"/>
    <w:uiPriority w:val="0"/>
    <w:rPr>
      <w:rFonts w:ascii="Times New Roman" w:hAnsi="Times New Roman" w:eastAsia="宋体" w:cs="Times New Roman"/>
      <w:b/>
      <w:color w:val="000000"/>
      <w:sz w:val="21"/>
    </w:rPr>
  </w:style>
  <w:style w:type="paragraph" w:customStyle="1" w:styleId="170">
    <w:name w:val="Nanshan Heading 4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71">
    <w:name w:val="Nanshan Caption"/>
    <w:uiPriority w:val="0"/>
    <w:rPr>
      <w:rFonts w:ascii="黑体" w:hAnsi="黑体" w:eastAsia="黑体" w:cs="黑体"/>
      <w:b/>
      <w:color w:val="000000"/>
      <w:sz w:val="15"/>
    </w:rPr>
  </w:style>
  <w:style w:type="paragraph" w:customStyle="1" w:styleId="172">
    <w:name w:val="Nanshan Reference"/>
    <w:uiPriority w:val="0"/>
    <w:rPr>
      <w:rFonts w:ascii="Times New Roman" w:hAnsi="Times New Roman" w:eastAsia="宋体" w:cs="Times New Roman"/>
      <w:color w:val="000000"/>
      <w:sz w:val="15"/>
    </w:rPr>
  </w:style>
  <w:style w:type="paragraph" w:customStyle="1" w:styleId="173">
    <w:name w:val="Nanshan Contact"/>
    <w:uiPriority w:val="0"/>
    <w:rPr>
      <w:rFonts w:ascii="Times New Roman" w:hAnsi="Times New Roman" w:eastAsia="宋体" w:cs="Times New Roman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4516</Words>
  <Characters>4921</Characters>
  <Lines>0</Lines>
  <Paragraphs>0</Paragraphs>
  <TotalTime>2</TotalTime>
  <ScaleCrop>false</ScaleCrop>
  <LinksUpToDate>false</LinksUpToDate>
  <CharactersWithSpaces>4971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Déraciné</dc:creator>
  <dc:description>generated by python-docx</dc:description>
  <cp:keywords>人工智能；初中数学；智能阅卷；题型误差；教师复核</cp:keywords>
  <cp:lastModifiedBy>Déraciné</cp:lastModifiedBy>
  <dcterms:modified xsi:type="dcterms:W3CDTF">2026-07-31T01:06:09Z</dcterms:modified>
  <dc:subject>《南山教育》投稿格式适配稿</dc:subject>
  <dc:title>初中数学AI阅卷的题型误差与教师复核——基于78份七年级纸笔答卷的实践分析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eyJoZGlkIjoiYmM2ZDkxMWM4YmQ4YTQ0NWM3YTZhZTMzMGIxMTY1ZGEiLCJ1c2VySWQiOiIxMDQxMDQxMjg3In0=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62578033BD3C4649BBCAB43D80C35AFD_12</vt:lpwstr>
  </property>
</Properties>
</file>