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380">
      <w:pPr>
        <w:pStyle w:val="NanshanTitle"/>
        <w:keepNext/>
        <w:keepLines w:val="0"/>
        <w:pageBreakBefore w:val="0"/>
        <w:spacing w:after="120" w:before="0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44"/>
        </w:rPr>
        <w:t>初中数学AI阅卷的题型误差与教师复核——基于78份七年级纸笔答卷的实践分析</w:t>
      </w:r>
    </w:p>
    <w:p>
      <w:pPr>
        <w:pStyle w:val="NanshanAuthor"/>
        <w:keepNext/>
        <w:keepLines w:val="0"/>
        <w:pageBreakBefore w:val="0"/>
        <w:spacing w:before="0" w:after="120" w:line="300" w:lineRule="auto"/>
        <w:ind w:left="0" w:right="0"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深圳大学附属教育集团外国语中学　　贾浩然</w:t>
      </w:r>
    </w:p>
    <w:p w14:paraId="08A9BCFB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黑体" w:hAnsi="黑体" w:eastAsia="黑体" w:cs="黑体"/>
          <w:b/>
          <w:color w:val="000000"/>
          <w:sz w:val="21"/>
        </w:rPr>
        <w:t>【摘  要】</w:t>
      </w:r>
      <w:r>
        <w:rPr>
          <w:rFonts w:ascii="Times New Roman" w:hAnsi="Times New Roman" w:eastAsia="宋体" w:cs="Times New Roman"/>
          <w:color w:val="000000"/>
          <w:sz w:val="21"/>
        </w:rPr>
        <w:t>为判断AI阅卷在初中数学纸笔测验中的实际适用范围，以某校七年级78份配对答卷为样本，比较整卷批改和混合分批批改两种方式，并对照教师手改分分析总分误差、题型误差和复核日志。原卷为总分57分的校内非标准化试卷，比较分析统一采用系统中的100分制评分口径。结果显示：整卷模式流程最终分的MAE为4.49，整体偏高2.67分；混合模式流程最终分的MAE为5.85，总分差异虽不显著，但不同题型的正负偏差存在抵消。两种模式在Q10作图题上的相对MAE均约为24%，系统“需要复核”标记也未覆盖全部高误差题目。由此可见，AI阅卷不能只依据总分相关性或模型置信度判断是否可用。选择、填空、计算、证明和作图题应分别设置复核要求，其中作图题仍应由教师逐项核对并确定得分。</w:t>
      </w:r>
    </w:p>
    <w:p w14:paraId="570EA01E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黑体" w:hAnsi="黑体" w:eastAsia="黑体" w:cs="黑体"/>
          <w:b/>
          <w:color w:val="000000"/>
          <w:sz w:val="21"/>
        </w:rPr>
        <w:t>【关键词】</w:t>
      </w:r>
      <w:r>
        <w:rPr>
          <w:rFonts w:ascii="Times New Roman" w:hAnsi="Times New Roman" w:eastAsia="宋体" w:cs="Times New Roman"/>
          <w:color w:val="000000"/>
          <w:sz w:val="21"/>
        </w:rPr>
        <w:t>人工智能　　初中数学　　智能阅卷　　题型误差　　教师复核</w:t>
      </w:r>
    </w:p>
    <w:p w14:paraId="40A4B908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一、问题提出</w:t>
      </w:r>
    </w:p>
    <w:p w14:paraId="0C332F90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《义务教育数学课程标准（2022年版）》提出，学生应在数与代数、图形与几何、统计与概率等内容学习中发展抽象能力、推理能力、模型观念和几何直观，并学会用符号、图形和推理过程表达数学理解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</w:rPr>
        <w:t>。初中数学纸笔答卷中可供评分的信息因此包括最终答案、解题步骤、图形、涂改和非标准表达。课堂评价研究认为，评价应服务于学习改进；解释测验分数时，还需联系学生的实际学习过程和教师据此作出的教学决策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[2-4]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58ACD585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随着大语言模型和多模态大模型的发展，一些系统已经能够直接读取扫描答卷图像，并尝试为选择、填空、计算、证明和作图等题型给出分数与理由。这类技术为减轻重复批改、加快反馈和整理错因数据提供了可能。不过，在纸笔数学测验中，识别答案内容只是评分的第一步。填空题还要处理符号等价和作废答案，证明题要判断推理链条是否充分，作图题则要核对点线位置及几何关系是否成立。这些题型的评分都需要把识别结果放回题意和评分规则中判断。</w:t>
      </w:r>
    </w:p>
    <w:p w14:paraId="2C834BA4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从教育测量角度看，仅有相关系数或总体准确率，尚不足以判断自动评分是否适合教学使用。效度论证既要检查测验内容和评分过程，也要说明分数应如何解释、用于何种决策，以及可能产生什么后果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[5-7]</w:t>
      </w:r>
      <w:r>
        <w:rPr>
          <w:rFonts w:ascii="Times New Roman" w:hAnsi="Times New Roman" w:eastAsia="宋体" w:cs="Times New Roman"/>
          <w:color w:val="000000"/>
          <w:sz w:val="21"/>
        </w:rPr>
        <w:t>。自动评分还应针对模型、具体任务和实施流程分别评价，并在使用过程中持续监测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</w:rPr>
        <w:t>。评分量规应明确各类作答信息与表现水平的对应关系；遇到量规不能清楚处理的争议样本时，仍需保留教师的专业判断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6418F9A5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据此，本研究选取真实课堂中的两种 AI 阅卷工作流进行探索性比较。整卷模式保留一名学生的完整答卷上下文；混合分批模式把同一道题的多名学生作答区域裁切、拼接后批量输入。本研究只考察两种工作流在本次测试中的表现，不据此判断某一模型对初中数学测验的普遍适用性。具体研究四个问题：（1）两种工作流在总分和题型层面的评分一致性如何；（2）不同题型的误差方向和幅度在两种输入方式下有何差异；（3）系统复核标记能否覆盖本次测试中的高误差题型；（4）本次结果对教师复核安排有何启示。</w:t>
      </w:r>
    </w:p>
    <w:p w14:paraId="6F184A50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二、文献综述与分析框架</w:t>
      </w:r>
    </w:p>
    <w:p w14:paraId="3BAD2B2C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（一）大模型自动评分及其评价边界</w:t>
      </w:r>
    </w:p>
    <w:p w14:paraId="723145F7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已有研究尝试使用 LLM 对数学开放式作答题进行自动评分。Morris 等在 NAEP 数学开放式作答题上取得了接近人工评分的一致性，同时指出模型表现具有明显的题目专属性，跨任务泛化仍受限制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</w:rPr>
        <w:t>。Lee 等发现，思维链提示在同时提供题干和评分量规时才显著改善评分效果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</w:rPr>
        <w:t>。Wu 等进一步发现，LLM 实际采用的评分依据可能与人工量规不一致，有时会依赖表层线索或“捷径”作出判断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[12]</w:t>
      </w:r>
      <w:r>
        <w:rPr>
          <w:rFonts w:ascii="Times New Roman" w:hAnsi="Times New Roman" w:eastAsia="宋体" w:cs="Times New Roman"/>
          <w:color w:val="000000"/>
          <w:sz w:val="21"/>
        </w:rPr>
        <w:t>。在开放数学回答的评分与反馈生成中，不同模型的准确性和反馈质量也有差异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[13]</w:t>
      </w:r>
      <w:r>
        <w:rPr>
          <w:rFonts w:ascii="Times New Roman" w:hAnsi="Times New Roman" w:eastAsia="宋体" w:cs="Times New Roman"/>
          <w:color w:val="000000"/>
          <w:sz w:val="21"/>
        </w:rPr>
        <w:t>。这些结果提示，单项研究中较高的一致性不能直接推及其他题目或实施条件，具体题目仍需结合题干、评分量规和学生作答分别检验。</w:t>
      </w:r>
    </w:p>
    <w:p w14:paraId="1B8227F4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（二）手写数学与多模态证据识别</w:t>
      </w:r>
    </w:p>
    <w:p w14:paraId="7E1490A4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纸笔答卷给自动评分增加了视觉识别方面的困难。FERMAT 基准显示，VLM 在检测、定位和纠正手写数学中的计算、概念、符号和呈现错误时仍有明显短板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[14]</w:t>
      </w:r>
      <w:r>
        <w:rPr>
          <w:rFonts w:ascii="Times New Roman" w:hAnsi="Times New Roman" w:eastAsia="宋体" w:cs="Times New Roman"/>
          <w:color w:val="000000"/>
          <w:sz w:val="21"/>
        </w:rPr>
        <w:t>。DrawEduMath 使用教师标注的中小学生手绘数学图像，显示模型理解真实学生图形作答的能力仍有限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[15]</w:t>
      </w:r>
      <w:r>
        <w:rPr>
          <w:rFonts w:ascii="Times New Roman" w:hAnsi="Times New Roman" w:eastAsia="宋体" w:cs="Times New Roman"/>
          <w:color w:val="000000"/>
          <w:sz w:val="21"/>
        </w:rPr>
        <w:t>。CHECK-MAT 将国家统一考试中的真实手写解答与细化量规结合，结果表明自动评分需要同时处理视觉理解和数学推理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[16]</w:t>
      </w:r>
      <w:r>
        <w:rPr>
          <w:rFonts w:ascii="Times New Roman" w:hAnsi="Times New Roman" w:eastAsia="宋体" w:cs="Times New Roman"/>
          <w:color w:val="000000"/>
          <w:sz w:val="21"/>
        </w:rPr>
        <w:t>。VEHME 通过结构化推理数据训练和表达式感知视觉提示，提高了模型对开放式手写数学作答中错误的识别与定位能力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[17]</w:t>
      </w:r>
      <w:r>
        <w:rPr>
          <w:rFonts w:ascii="Times New Roman" w:hAnsi="Times New Roman" w:eastAsia="宋体" w:cs="Times New Roman"/>
          <w:color w:val="000000"/>
          <w:sz w:val="21"/>
        </w:rPr>
        <w:t>。针对学生手绘函数图像的研究也发现，通用视觉大模型在复杂图形判断上的稳定性仍然有限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[18]</w:t>
      </w:r>
      <w:r>
        <w:rPr>
          <w:rFonts w:ascii="Times New Roman" w:hAnsi="Times New Roman" w:eastAsia="宋体" w:cs="Times New Roman"/>
          <w:color w:val="000000"/>
          <w:sz w:val="21"/>
        </w:rPr>
        <w:t>。对作图题进行评分时，系统既要识别学生实际画出的内容，还要依据题意核对位置关系和几何条件。</w:t>
      </w:r>
    </w:p>
    <w:p w14:paraId="66D04C0C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（三）人机协同、评分量规与国内实践</w:t>
      </w:r>
    </w:p>
    <w:p w14:paraId="3B911D76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在人机协同评分研究中，教师参与评分标准设计和提示词调整，并负责异常样本复核及结果使用。CoTAL 采用有人参与的提示词优化和主动学习，用于改进形成性评价评分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[19]</w:t>
      </w:r>
      <w:r>
        <w:rPr>
          <w:rFonts w:ascii="Times New Roman" w:hAnsi="Times New Roman" w:eastAsia="宋体" w:cs="Times New Roman"/>
          <w:color w:val="000000"/>
          <w:sz w:val="21"/>
        </w:rPr>
        <w:t>。近期两项预印本分别研究了手写数学与 STEM 测验中的人机协同评分流程。其中一项把参考解答、细化评分量规和多次独立评分结合起来，在一致性检查后由教师最终核验；另一项使用结构化输出模板、参考解答和评分规则，并设置空白作答检测、不一致标记及人工升级处理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[20-21]</w:t>
      </w:r>
      <w:r>
        <w:rPr>
          <w:rFonts w:ascii="Times New Roman" w:hAnsi="Times New Roman" w:eastAsia="宋体" w:cs="Times New Roman"/>
          <w:color w:val="000000"/>
          <w:sz w:val="21"/>
        </w:rPr>
        <w:t>。这些做法为复核流程设计提供了参考，但现有证据仍主要来自前沿技术探索。用于真实教学时，还需分别考察具体题目上的评分表现、评分依据能否说明以及教师需要承担的复核工作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[8,22]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0C4C61B8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国内智能评卷研究已经涉及扫描网上评卷、机器辅助质检和大模型全题型评分。纸笔智能网上评卷系统将主观题识别接入扫描阅卷流程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[23]</w:t>
      </w:r>
      <w:r>
        <w:rPr>
          <w:rFonts w:ascii="Times New Roman" w:hAnsi="Times New Roman" w:eastAsia="宋体" w:cs="Times New Roman"/>
          <w:color w:val="000000"/>
          <w:sz w:val="21"/>
        </w:rPr>
        <w:t>；高考网评实践考察了人工智能评分参与“一评”的人机协同方式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[24]</w:t>
      </w:r>
      <w:r>
        <w:rPr>
          <w:rFonts w:ascii="Times New Roman" w:hAnsi="Times New Roman" w:eastAsia="宋体" w:cs="Times New Roman"/>
          <w:color w:val="000000"/>
          <w:sz w:val="21"/>
        </w:rPr>
        <w:t>；大模型全题型阅卷研究讨论了辅助定标、评分质量和过程可解释性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[25]</w:t>
      </w:r>
      <w:r>
        <w:rPr>
          <w:rFonts w:ascii="Times New Roman" w:hAnsi="Times New Roman" w:eastAsia="宋体" w:cs="Times New Roman"/>
          <w:color w:val="000000"/>
          <w:sz w:val="21"/>
        </w:rPr>
        <w:t>。孙利君还将相关做法归纳为 AI 辅助质检、AI 参与赋分、专家辅助质检和双 AI 评分等实施模式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[26]</w:t>
      </w:r>
      <w:r>
        <w:rPr>
          <w:rFonts w:ascii="Times New Roman" w:hAnsi="Times New Roman" w:eastAsia="宋体" w:cs="Times New Roman"/>
          <w:color w:val="000000"/>
          <w:sz w:val="21"/>
        </w:rPr>
        <w:t>。在数学教育领域，人工智能已被用于课堂教学评价和数学交流环境分析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[27]</w:t>
      </w:r>
      <w:r>
        <w:rPr>
          <w:rFonts w:ascii="Times New Roman" w:hAnsi="Times New Roman" w:eastAsia="宋体" w:cs="Times New Roman"/>
          <w:color w:val="000000"/>
          <w:sz w:val="21"/>
        </w:rPr>
        <w:t>；生成式 AI 与动态可视化软件的整合研究也指出，数学任务需要相应的符号和图形工具支持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[28]</w:t>
      </w:r>
      <w:r>
        <w:rPr>
          <w:rFonts w:ascii="Times New Roman" w:hAnsi="Times New Roman" w:eastAsia="宋体" w:cs="Times New Roman"/>
          <w:color w:val="000000"/>
          <w:sz w:val="21"/>
        </w:rPr>
        <w:t>。智慧考试研究提出以数字化方式改进命题、投送、评分和评价流程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[29]</w:t>
      </w:r>
      <w:r>
        <w:rPr>
          <w:rFonts w:ascii="Times New Roman" w:hAnsi="Times New Roman" w:eastAsia="宋体" w:cs="Times New Roman"/>
          <w:color w:val="000000"/>
          <w:sz w:val="21"/>
        </w:rPr>
        <w:t>。可信赖教育人工智能研究则强调，系统应用应满足可靠、安全和可解释等要求，并保留人的最终责任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[30]</w:t>
      </w:r>
      <w:r>
        <w:rPr>
          <w:rFonts w:ascii="Times New Roman" w:hAnsi="Times New Roman" w:eastAsia="宋体" w:cs="Times New Roman"/>
          <w:color w:val="000000"/>
          <w:sz w:val="21"/>
        </w:rPr>
        <w:t>。</w:t>
      </w:r>
    </w:p>
    <w:p w14:paraId="71C53810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（四）基于数学作答证据结构的分析框架</w:t>
      </w:r>
    </w:p>
    <w:p w14:paraId="1049553F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为比较两种工作流，本文把“题型适配”具体化为两个问题：某种输入方式能否呈现该题评分所需的作答内容，以及 AI 给出分数后还需要教师检查什么。这一处理参考了课程标准对符号、图形和推理表达的要求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</w:rPr>
        <w:t>、教育评价研究对任务与评分依据关系的讨论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[4-9]</w:t>
      </w:r>
      <w:r>
        <w:rPr>
          <w:rFonts w:ascii="Times New Roman" w:hAnsi="Times New Roman" w:eastAsia="宋体" w:cs="Times New Roman"/>
          <w:color w:val="000000"/>
          <w:sz w:val="21"/>
        </w:rPr>
        <w:t>，以及手写数学研究对符号识别、图形理解和空间关系判断局限的发现</w:t>
      </w:r>
      <w:r>
        <w:rPr>
          <w:rFonts w:ascii="Times New Roman" w:hAnsi="Times New Roman" w:eastAsia="宋体" w:cs="Times New Roman"/>
          <w:color w:val="000000"/>
          <w:sz w:val="15"/>
          <w:vertAlign w:val="superscript"/>
        </w:rPr>
        <w:t>[14-18]</w:t>
      </w:r>
      <w:r>
        <w:rPr>
          <w:rFonts w:ascii="Times New Roman" w:hAnsi="Times New Roman" w:eastAsia="宋体" w:cs="Times New Roman"/>
          <w:color w:val="000000"/>
          <w:sz w:val="21"/>
        </w:rPr>
        <w:t>。在本次试卷中，选择题主要依据选项标记；填空题还要处理等价表达和作废规则；计算题需要查看结果与步骤；证明题需要检查条件调用和推理是否完整；作图题则要核对点线位置、作图痕迹和几何关系。后文先报告各题型的误差，再结合输入图像和复核日志讨论教师需要介入的环节。这一分类只用于组织本案例的分析，不作为已经完成外部验证的理论模型。</w:t>
      </w:r>
    </w:p>
    <w:p w14:paraId="7EB3A839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三、研究设计</w:t>
      </w:r>
    </w:p>
    <w:p w14:paraId="1FD6AD2E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（一）研究对象与测试材料</w:t>
      </w:r>
    </w:p>
    <w:p w14:paraId="72056E46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研究纳入某校七年级两个教学班一次阶段测试的78份答卷。纳入条件是同一份答卷同时具有任课教师手改记录、整卷AI批改记录和混合分批AI批改记录，三类记录可按同一份答卷一一对应。测试基于北师大版七年级下册相关内容，覆盖轴对称、角平分线性质、最短路径、一次函数图像应用和几何证明。整卷与混合模式均按每份答卷18个题目/小问评分单元保存日志，各形成78×18=1404条学生—题目/小问记录。研究文本中的姓名、班级及学号均已匿名化。试卷题型及评分任务见表1。</w:t>
      </w:r>
    </w:p>
    <w:p w14:paraId="2FAA8291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表1 试卷题型结构与评分任务特征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866"/>
        <w:gridCol w:w="1646"/>
        <w:gridCol w:w="1906"/>
        <w:gridCol w:w="2079"/>
        <w:gridCol w:w="2687"/>
      </w:tblGrid>
      <w:tr w14:paraId="1E1D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CC2F9E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题号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0C5F4D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题型及满分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821400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主要作答证据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4F53A1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AI 主要任务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68B4CD0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教师需查看并确认的内容</w:t>
            </w:r>
          </w:p>
        </w:tc>
      </w:tr>
      <w:tr w14:paraId="472A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842460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Q1—Q5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B9F77B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选择题，35分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F3AC42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选项标记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82FCF2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识别选项并匹配答案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4CD876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查看多选、涂改或异常标记，确认有效选项</w:t>
            </w:r>
          </w:p>
        </w:tc>
      </w:tr>
      <w:tr w14:paraId="6FE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CAC911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Q6—Q9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93D2F8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填空题，32分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A09B86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符号结果、等价表达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6C9D41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识别符号并校验等价性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DE72F1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核对非标准表达是否等价，确认涂改后保留的答案</w:t>
            </w:r>
          </w:p>
        </w:tc>
      </w:tr>
      <w:tr w14:paraId="5CE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9B2D9A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作图题，11分（原卷9分）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ECF347E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点线位置、作图痕迹、几何关系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55589D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标出识别到的点、线及疑似位置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EBEC3C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逐项核对点线位置及几何关系是否符合评分细则</w:t>
            </w:r>
          </w:p>
        </w:tc>
      </w:tr>
      <w:tr w14:paraId="44B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EF806E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98A9D1F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计算/函数综合题，11分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13F6D5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结果、函数关系、步骤链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6F1FB4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提取步骤和最终结果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15BA22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核对分段讨论及各步骤是否符合评分细则</w:t>
            </w:r>
          </w:p>
        </w:tc>
      </w:tr>
      <w:tr w14:paraId="791F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8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BE6F63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</w:t>
            </w:r>
          </w:p>
        </w:tc>
        <w:tc>
          <w:tcPr>
            <w:tcW w:w="164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52C458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几何证明题，11分</w:t>
            </w:r>
          </w:p>
        </w:tc>
        <w:tc>
          <w:tcPr>
            <w:tcW w:w="190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4592AF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条件调用、逻辑链、结论</w:t>
            </w:r>
          </w:p>
        </w:tc>
        <w:tc>
          <w:tcPr>
            <w:tcW w:w="207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49D619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列出识别到的条件、推理步骤及缺失环节</w:t>
            </w:r>
          </w:p>
        </w:tc>
        <w:tc>
          <w:tcPr>
            <w:tcW w:w="268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057B48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核对条件调用、推理衔接和结论是否完整</w:t>
            </w:r>
          </w:p>
        </w:tc>
      </w:tr>
    </w:tbl>
    <w:p w14:paraId="4C49FA71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（二）AI 阅卷系统与两种批改模式</w:t>
      </w:r>
    </w:p>
    <w:p w14:paraId="1E566E58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研究使用自研 AI 阅卷系统依次完成答卷定位、题目切片、模型调用和结构化结果解析，并在日志中保存模型返回的分数及复核相关字段。两种模式使用同一标准答案、同一评分细则和同一组提示要求：客观题按全对全错处理；已作废内容不计入答案；教师批改痕迹等非学生作答内容不作为评分依据；解答题列出识别到的关键步骤和缺失步骤。提示词还要求模型报告多候选答案、置信度和异常作答，供后续查看日志时使用。</w:t>
      </w:r>
    </w:p>
    <w:p w14:paraId="6994600C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两种模式按以下方式组织输入图像。整卷模式将单名学生的整卷或整页图像输入doubao-seed-2.0-pro，原答卷中的题目位置、跨区域作答和步骤顺序随页面一并呈现。混合分批模式先裁切同一道题的学生作答区域，再将多名学生的同题区域拼接；选择、填空题每批最多15人，解答题每批最多4人，拼接完成后输入参数相同的doubao-seed-2.0-pro。混合模式不是对每名学生逐题单独调用模型，而是在一次调用中处理同题的多名学生作答，其设计目的是限制单次输入范围，并减少调用批次以控制调用时间和token支出。本文比较的是上述两种输入组织方式，现有结果未单独报告调用时间或token成本的比较数据。具体设置见表2。</w:t>
      </w:r>
    </w:p>
    <w:p w14:paraId="3EA18D8E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表2 AI 阅卷的图像输入、模型参数与日志记录设置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1267"/>
        <w:gridCol w:w="2639"/>
        <w:gridCol w:w="2111"/>
        <w:gridCol w:w="3167"/>
      </w:tblGrid>
      <w:tr w14:paraId="46C2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219200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项目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1AF5431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本研究设置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2871DFD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核查所用记录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31CFCA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说明</w:t>
            </w:r>
          </w:p>
        </w:tc>
      </w:tr>
      <w:tr w14:paraId="43DD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1C2168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样本与日志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EFAA78E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78份完整配对答卷；两模式各1404条日志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BFFB3C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手改表、两模式成绩表与日志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6DB88E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每人18个题目/小问评分单元</w:t>
            </w:r>
          </w:p>
        </w:tc>
      </w:tr>
      <w:tr w14:paraId="28A7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BFBF1B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图像输入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57A815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300 dpi；本轮两模式均未启用图像增强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57C46C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扫描图像、切片与拼图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EC0A09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整卷：单名学生整页或整卷图像；混合：同题多名学生作答区域拼接</w:t>
            </w:r>
          </w:p>
        </w:tc>
      </w:tr>
      <w:tr w14:paraId="2C1C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D555EB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4D533E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  <w:rPr>
                <w:rFonts w:ascii="Times New Roman" w:hAnsi="Times New Roman" w:eastAsia="宋体"/>
                <w:b w:val="0"/>
                <w:sz w:val="16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整卷：doubao-seed-2.0-pro；</w:t>
            </w:r>
          </w:p>
          <w:p w14:paraId="3EAE8A0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混合：doubao-seed-2.0-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  <w:szCs w:val="15"/>
              </w:rPr>
              <w:t>pro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982156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模型日志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2CF798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日志保存两种模式实际使用的模型名称</w:t>
            </w:r>
          </w:p>
        </w:tc>
      </w:tr>
      <w:tr w14:paraId="163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C9A887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生成参数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E3A90E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temperature=0；top_p、top_k采用服务端默认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BA17C7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调用配置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E195B7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未进行同图多次重复调用</w:t>
            </w:r>
          </w:p>
        </w:tc>
      </w:tr>
      <w:tr w14:paraId="7D28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A32C15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评分约束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C3B1F8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统一答案、评分细则和结构化提示词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C543B6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评分细则、提示词文档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3FE10F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提示词包含作废内容处理、步骤提取和提示注入防护要求</w:t>
            </w:r>
          </w:p>
        </w:tc>
      </w:tr>
      <w:tr w14:paraId="37CB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2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718FBA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复核入口</w:t>
            </w:r>
          </w:p>
        </w:tc>
        <w:tc>
          <w:tcPr>
            <w:tcW w:w="263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588703F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模型输出“需要复核”字段，系统据此筛选记录供教师查看</w:t>
            </w:r>
          </w:p>
        </w:tc>
        <w:tc>
          <w:tcPr>
            <w:tcW w:w="21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4BDC5E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复核日志</w:t>
            </w:r>
          </w:p>
        </w:tc>
        <w:tc>
          <w:tcPr>
            <w:tcW w:w="316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3B1407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sz w:val="15"/>
                <w:lang w:val="en-US" w:eastAsia="zh-CN"/>
                <w:szCs w:val="15"/>
              </w:rPr>
              <w:t>该字段由模型报告置信度触发；置信度不作为正确概率</w:t>
            </w:r>
          </w:p>
        </w:tc>
      </w:tr>
    </w:tbl>
    <w:p w14:paraId="4F365CFC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（三）分数定义、统计方法与案例选择</w:t>
      </w:r>
    </w:p>
    <w:p w14:paraId="66150E17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研究区分三类分数。“教师手改分”是任课教师依据统一评分细则在纸笔批改后登记的分数；“AI原始分”是模型首次输出的分数；“流程最终分”是完成本轮系统复核流程后导出的成绩，可能沿用AI原始分，也可能在教师查看后调整。原卷为校内非标准化阶段测试，卷面各题标注分值合计57分；为便于系统统一评分，本研究的比较分析采用100分制评分细则，Q10在该口径下满分为11分，而图4保留的原卷题面仍显示9分。本文表1、表3—表5、表7以及各项误差指标均采用100分制口径。由于未设置第二评分者，教师手改分只作为本次课堂评分的专业参照，不被视为学生表现的绝对真值。本文据此考察两种AI批改结果与该教师手改分的差异及一致程度。</w:t>
      </w:r>
    </w:p>
    <w:p w14:paraId="502BAB2C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总分层面报告Bias、MAE、RMSE、Pearson (</w:t>
      </w:r>
      <m:oMath>
        <m:r>
          <m:rPr/>
          <w:rPr>
            <w:rFonts w:hint="default" w:ascii="Cambria Math" w:hAnsi="Cambria Math" w:cstheme="minorBidi"/>
            <w:sz w:val="21"/>
            <w:szCs w:val="22"/>
            <w:lang w:val="en-US" w:eastAsia="zh-CN" w:bidi="ar-SA"/>
          </w:rPr>
          <m:t>r</m:t>
        </m:r>
      </m:oMath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)、双向混合效应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绝对一致性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  <w:lang w:eastAsia="zh-CN"/>
        </w:rPr>
        <w:t>——</w:t>
      </w: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单测量ICC及其95%置信区间，并采用Wilcoxon符号秩检验和rank-biserial correlation（</w:t>
      </w:r>
      <m:oMath>
        <m:sSub>
          <m:sSubP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rb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）评价AI评分与教师评分的配对差异及其效应大小。Bias用于反映AI评分整体偏高或偏低的方向，MAE反映AI总分与教师总分的平均绝对差异，RMSE则对少量较大误差赋予更高权重；Pearson (r)主要反映两种评分的线性相关和学生排序一致性，ICC进一步评价具体分值上的绝对一致程度。</w:t>
      </w:r>
    </w:p>
    <w:p w14:paraId="642F55BA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1"/>
        </w:rPr>
        <w:t>每条日志保存模型报告的置信度和“需要复核”字段；当该字段为“是”时，系统将该记录列为待教师查看。该字段由模型报告的置信度触发，本文分别统计“被标记需要复核”和“标记后流程最终分发生调整”两类记录。模型报告的置信度只作为筛选记录的信号，不解释为经过校准的正确概率。由于同一学生贡献多个题目/小问记录，同一题目也包含多名学生记录，1404 条日志并非相互独立，因此记录层结果只用于描述标记数量、题号分布和改分情况，不替代以 78 名学生为单位的总分一致性分析。</w:t>
      </w:r>
    </w:p>
    <w:p w14:paraId="1F750EA0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为辅助解释 Q10 的评分分歧，研究从分歧较为典型的记录中目的性选取两个脱敏案例，比较原作答中可见的点、线、文字标注、重叠痕迹和浅色痕迹。案例图未呈现逐项模型输出，因此本文不据此反推模型的内部判断过程，也不把两个案例用于频率推断。该部分仅用于说明教师在复核作图题时实际需要查看哪些内容。</w:t>
      </w:r>
    </w:p>
    <w:p w14:paraId="15D4F671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四、研究结果</w:t>
      </w:r>
    </w:p>
    <w:p w14:paraId="7E8D44CD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（一）总分层面：整卷误差较小但整体偏高</w:t>
      </w:r>
    </w:p>
    <w:p w14:paraId="177F8596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表3 AI 原始分与流程最终分相对于教师手改分的总分差异及一致性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1366"/>
        <w:gridCol w:w="1518"/>
        <w:gridCol w:w="759"/>
        <w:gridCol w:w="759"/>
        <w:gridCol w:w="759"/>
        <w:gridCol w:w="759"/>
        <w:gridCol w:w="1594"/>
        <w:gridCol w:w="759"/>
        <w:gridCol w:w="911"/>
      </w:tblGrid>
      <w:tr w14:paraId="232F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13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4D65C19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模式口径</w:t>
            </w:r>
          </w:p>
        </w:tc>
        <w:tc>
          <w:tcPr>
            <w:tcW w:w="15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AE2849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教师/AI均分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4E5FC87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Bias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276B8E4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030265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RMSE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26B9A74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sz w:val="21"/>
                    <w:szCs w:val="22"/>
                    <w:lang w:val="en-US" w:eastAsia="zh-CN" w:bidi="ar-SA"/>
                  </w:rPr>
                  <m:t>r</m:t>
                </m:r>
              </m:oMath>
            </m:oMathPara>
          </w:p>
        </w:tc>
        <w:tc>
          <w:tcPr>
            <w:tcW w:w="15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8F2CD3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ICC [95% CI]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1E353E6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p</w:t>
            </w:r>
          </w:p>
        </w:tc>
        <w:tc>
          <w:tcPr>
            <w:tcW w:w="9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3937B3A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025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3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616E3C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整卷—原始</w:t>
            </w:r>
          </w:p>
        </w:tc>
        <w:tc>
          <w:tcPr>
            <w:tcW w:w="15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9F718F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65.22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7648AA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+3.78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445C1E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5.14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9ABBFF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6.83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6CA277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0.975</w:t>
            </w:r>
          </w:p>
        </w:tc>
        <w:tc>
          <w:tcPr>
            <w:tcW w:w="15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986157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0.963 [0.940, 0.976]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E955FC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B6D084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+0.72</w:t>
            </w:r>
          </w:p>
        </w:tc>
      </w:tr>
      <w:tr w14:paraId="49E7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3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85CFEA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整卷—最终</w:t>
            </w:r>
          </w:p>
        </w:tc>
        <w:tc>
          <w:tcPr>
            <w:tcW w:w="15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8B42A1F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64.10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725113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+2.67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8E2E20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4.49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89EDCE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5.90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DDB08A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0.977</w:t>
            </w:r>
          </w:p>
        </w:tc>
        <w:tc>
          <w:tcPr>
            <w:tcW w:w="15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1D789B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0.972 [0.955, 0.982]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61067C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B43C1C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+0.58</w:t>
            </w:r>
          </w:p>
        </w:tc>
      </w:tr>
      <w:tr w14:paraId="4A3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3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755E7C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混合—原始</w:t>
            </w:r>
          </w:p>
        </w:tc>
        <w:tc>
          <w:tcPr>
            <w:tcW w:w="15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D369FD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59.40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5BDBE2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-2.03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EF1F9F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5.99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678D11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8.27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2355D9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0.943</w:t>
            </w:r>
          </w:p>
        </w:tc>
        <w:tc>
          <w:tcPr>
            <w:tcW w:w="15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2CBA80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0.940 [0.897, 0.966]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C57B21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0.092</w:t>
            </w:r>
          </w:p>
        </w:tc>
        <w:tc>
          <w:tcPr>
            <w:tcW w:w="9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713E9D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-0.23</w:t>
            </w:r>
          </w:p>
        </w:tc>
      </w:tr>
      <w:tr w14:paraId="1E5F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36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1CA935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混合—最终</w:t>
            </w:r>
          </w:p>
        </w:tc>
        <w:tc>
          <w:tcPr>
            <w:tcW w:w="15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4A40C0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61.44 / 59.96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105BE9E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-1.48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A1398A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5.85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29FE48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7.95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FFFACA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0.946</w:t>
            </w:r>
          </w:p>
        </w:tc>
        <w:tc>
          <w:tcPr>
            <w:tcW w:w="15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C4F7EC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0.944 [0.904, 0.969]</w:t>
            </w:r>
          </w:p>
        </w:tc>
        <w:tc>
          <w:tcPr>
            <w:tcW w:w="75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7EB7F7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0.241</w:t>
            </w:r>
          </w:p>
        </w:tc>
        <w:tc>
          <w:tcPr>
            <w:tcW w:w="91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81AC6F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-0.16</w:t>
            </w:r>
          </w:p>
        </w:tc>
      </w:tr>
    </w:tbl>
    <w:p w14:paraId="576044AF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3显示，整卷模式流程最终分的MAE为4.49、RMSE为5.90、ICC为0.972，但平均高于教师手改分2.67分，配对差异显著。混合模式流程最终分的MAE为5.85、RMSE为7.95、ICC为0.944，平均低于教师手改分1.48分，配对差异不显著。在本样本中，整卷模式的绝对误差较小，但存在整体偏高；混合模式未检出显著的总分差异，也不能据此解释为没有偏差。表3未对两种模式各指标之差进行直接检验，因此不据这些数值判定一种模式总体优于另一种模式。两种模式最终分与教师手改分的一致性分布见图1。</w:t>
      </w:r>
    </w:p>
    <w:p w14:paraId="00F8E995">
      <w:pPr>
        <w:keepNext/>
        <w:keepLines w:val="0"/>
        <w:pageBreakBefore w:val="0"/>
        <w:spacing w:after="0" w:before="60"/>
        <w:ind w:left="0" w:right="0" w:firstLine="0"/>
        <w:jc w:val="center"/>
      </w:pPr>
      <w:r>
        <w:drawing>
          <wp:inline distT="0" distB="0" distL="114300" distR="114300">
            <wp:extent cx="5579745" cy="3327400"/>
            <wp:effectExtent l="0" t="0" r="1905" b="6350"/>
            <wp:docPr id="1" name="Picture 1" descr="整卷模式与混合模式最终分相对教师评分的 Bland-Altman 一致性散点图" title="整卷模式与混合模式最终分相对教师评分的 Bland-Altman 一致性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整卷模式与混合模式最终分相对教师评分的 Bland-Altman 一致性散点图" title="整卷模式与混合模式最终分相对教师评分的 Bland-Altman 一致性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687">
      <w:pPr>
        <w:pStyle w:val="NanshanCaption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图1 流程最终分与教师手改分的 Bland-Altman 一致性分析</w:t>
      </w:r>
    </w:p>
    <w:p w14:paraId="30265F5E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（二）排除 Q10 后：整卷偏差收窄，混合偏低更加明显</w:t>
      </w:r>
    </w:p>
    <w:p w14:paraId="77115689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表4 排除 Q10 作图题前后流程最终分与教师手改分的差异及一致性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1469"/>
        <w:gridCol w:w="1286"/>
        <w:gridCol w:w="918"/>
        <w:gridCol w:w="918"/>
        <w:gridCol w:w="918"/>
        <w:gridCol w:w="1837"/>
        <w:gridCol w:w="918"/>
        <w:gridCol w:w="920"/>
      </w:tblGrid>
      <w:tr w14:paraId="7E8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146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2937C95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</w:t>
            </w:r>
          </w:p>
        </w:tc>
        <w:tc>
          <w:tcPr>
            <w:tcW w:w="128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46F675A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范围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190204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Bias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1125E77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MAE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135B080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RMSE</w:t>
            </w:r>
          </w:p>
        </w:tc>
        <w:tc>
          <w:tcPr>
            <w:tcW w:w="183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0C087D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ICC [95% CI]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3225348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p</w:t>
            </w:r>
          </w:p>
        </w:tc>
        <w:tc>
          <w:tcPr>
            <w:tcW w:w="9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314C453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31A6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46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FD7C02B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整卷最终</w:t>
            </w:r>
          </w:p>
        </w:tc>
        <w:tc>
          <w:tcPr>
            <w:tcW w:w="128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AF45B1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总分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11478D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+2.67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F6C2AB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4.49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4F4B1A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5.90</w:t>
            </w:r>
          </w:p>
        </w:tc>
        <w:tc>
          <w:tcPr>
            <w:tcW w:w="183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D2CAA7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0.972 [0.955, 0.982]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6623BC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&lt;0.001</w:t>
            </w:r>
          </w:p>
        </w:tc>
        <w:tc>
          <w:tcPr>
            <w:tcW w:w="9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629C44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+0.58</w:t>
            </w:r>
          </w:p>
        </w:tc>
      </w:tr>
      <w:tr w14:paraId="0E1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46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90B31F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整卷最终</w:t>
            </w:r>
          </w:p>
        </w:tc>
        <w:tc>
          <w:tcPr>
            <w:tcW w:w="128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DB6976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排除Q10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67EF00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+0.32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614F6F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2.67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8327B1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4.37</w:t>
            </w:r>
          </w:p>
        </w:tc>
        <w:tc>
          <w:tcPr>
            <w:tcW w:w="183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A52BF5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0.979 [0.965, 0.989]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1982E7F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0.742</w:t>
            </w:r>
          </w:p>
        </w:tc>
        <w:tc>
          <w:tcPr>
            <w:tcW w:w="9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0CB69F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+0.05</w:t>
            </w:r>
          </w:p>
        </w:tc>
      </w:tr>
      <w:tr w14:paraId="6382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46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E4F480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混合最终</w:t>
            </w:r>
          </w:p>
        </w:tc>
        <w:tc>
          <w:tcPr>
            <w:tcW w:w="128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E44B90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总分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9FDE73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-1.48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116CA92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5.85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03DCCA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7.95</w:t>
            </w:r>
          </w:p>
        </w:tc>
        <w:tc>
          <w:tcPr>
            <w:tcW w:w="183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FC308F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0.944 [0.904, 0.969]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11B9F0E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0.241</w:t>
            </w:r>
          </w:p>
        </w:tc>
        <w:tc>
          <w:tcPr>
            <w:tcW w:w="9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D263CE4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-0.16</w:t>
            </w:r>
          </w:p>
        </w:tc>
      </w:tr>
      <w:tr w14:paraId="5D9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46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9C4794C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混合最终</w:t>
            </w:r>
          </w:p>
        </w:tc>
        <w:tc>
          <w:tcPr>
            <w:tcW w:w="128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907610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排除Q10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AFE3D95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-3.16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000E5F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5.71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B5984D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8.34</w:t>
            </w:r>
          </w:p>
        </w:tc>
        <w:tc>
          <w:tcPr>
            <w:tcW w:w="1837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154D61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0.920 [0.859, 0.958]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AFBF4C6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0.002</w:t>
            </w:r>
          </w:p>
        </w:tc>
        <w:tc>
          <w:tcPr>
            <w:tcW w:w="9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22F664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</w:tr>
    </w:tbl>
    <w:p w14:paraId="1986F3FC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4显示，排除Q10后，整卷模式的Bias由+2.67收窄至+0.32，MAE由4.49降至2.67，配对差异不再显著；整卷总分偏高与Q10的正向偏差密切相关。表5显示，混合模式在Q10上的正向偏差与填空题、选择题和Q11的负向偏差部分抵消。混合模式的Bias由-1.48变为-3.16，且配对差异转为显著。因而，Q10是否计入会明显改变两种模式的总分Bias及配对检验结果；总分层面“未检出显著差异”不能被解释为各题型均无系统性偏高或偏低。Bias变化见图2。</w:t>
      </w:r>
    </w:p>
    <w:p w14:paraId="4B1FF493">
      <w:pPr>
        <w:keepNext/>
        <w:keepLines w:val="0"/>
        <w:pageBreakBefore w:val="0"/>
        <w:spacing w:after="0" w:before="60"/>
        <w:ind w:left="0" w:right="0" w:firstLine="0"/>
        <w:jc w:val="center"/>
      </w:pPr>
      <w:r>
        <w:drawing>
          <wp:inline distT="0" distB="0" distL="114300" distR="114300">
            <wp:extent cx="5623560" cy="2802255"/>
            <wp:effectExtent l="0" t="0" r="0" b="0"/>
            <wp:docPr id="6" name="Picture 6" descr="排除 Q10 作图题前后两种 AI 阅卷模式评分偏差 Bias 的柱状图" title="排除 Q10 作图题前后两种 AI 阅卷模式评分偏差 Bias 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排除 Q10 作图题前后两种 AI 阅卷模式评分偏差 Bias 的柱状图" title="排除 Q10 作图题前后两种 AI 阅卷模式评分偏差 Bias 的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153">
      <w:pPr>
        <w:pStyle w:val="NanshanCaption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图2 排除 Q10 前后流程最终分的 Bias 变化</w:t>
      </w:r>
    </w:p>
    <w:p w14:paraId="67AA638C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（三）题型层面：两种模式的误差分布不同</w:t>
      </w:r>
    </w:p>
    <w:p w14:paraId="75B7C0C3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表5 不同题型下两种模式流程最终分的 MAE、相对 MAE 与 Bias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1929"/>
        <w:gridCol w:w="735"/>
        <w:gridCol w:w="1194"/>
        <w:gridCol w:w="918"/>
        <w:gridCol w:w="1194"/>
        <w:gridCol w:w="918"/>
        <w:gridCol w:w="2296"/>
      </w:tblGrid>
      <w:tr w14:paraId="77C5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0702DA5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题型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C7CCC19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满分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4B541038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整卷MAE</w:t>
            </w:r>
          </w:p>
          <w:p w14:paraId="67F4659E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（相对）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65247A5E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整卷Bias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41FF2E9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混合MAE</w:t>
            </w:r>
          </w:p>
          <w:p w14:paraId="4C7FA6A3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（相对）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2BF92B6E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混合Bias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659AE397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hint="eastAsia" w:ascii="黑体" w:hAnsi="黑体" w:eastAsia="黑体" w:cs="黑体"/>
                <w:b/>
                <w:color w:val="000000"/>
                <w:sz w:val="15"/>
                <w:szCs w:val="15"/>
              </w:rPr>
              <w:t>本样本中的相对表现</w:t>
            </w:r>
          </w:p>
        </w:tc>
      </w:tr>
      <w:tr w14:paraId="1E5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29999A7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选择题Q1—Q5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05431F5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35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0CB6C89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0.45（1.3%）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8AFDC54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3AD1B10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0.45（1.3%）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5DE85B4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-0.45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A49CB88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两模式 MAE 相同</w:t>
            </w:r>
          </w:p>
        </w:tc>
      </w:tr>
      <w:tr w14:paraId="3635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6DE0D47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填空题Q6—Q9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F6A2133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32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59D56C4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1.29（4.0%）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36C956C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+0.88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DF94E78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3.96（12.4%）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07F43CB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-3.94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03E30F0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本样本中整卷 MAE 较低</w:t>
            </w:r>
          </w:p>
        </w:tc>
      </w:tr>
      <w:tr w14:paraId="1140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Q10作图题（原卷9分）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68F8121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CF9E231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2.68（24.4%）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A7F354E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+2.35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BF50B10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2.65（24.1%）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9B9096A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+1.68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FA5AA05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left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两模式相对 MAE 均约为 24%</w:t>
            </w:r>
          </w:p>
        </w:tc>
      </w:tr>
      <w:tr w14:paraId="788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3949406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Q11计算/函数综合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5B51E43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0C998F9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1.00（9.1%）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6F05E5D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-0.92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837E1A2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0.60（5.4%）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9432110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-0.54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E2FF364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本样本中混合 MAE 较低</w:t>
            </w:r>
          </w:p>
        </w:tc>
      </w:tr>
      <w:tr w14:paraId="5B52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1929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34909F4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Q12几何证明</w:t>
            </w:r>
          </w:p>
        </w:tc>
        <w:tc>
          <w:tcPr>
            <w:tcW w:w="735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A108B90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BEC52EA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0.81（7.3%）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4B2FD7B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+0.81</w:t>
            </w:r>
          </w:p>
        </w:tc>
        <w:tc>
          <w:tcPr>
            <w:tcW w:w="1194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251C858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1.97（17.9%）</w:t>
            </w:r>
          </w:p>
        </w:tc>
        <w:tc>
          <w:tcPr>
            <w:tcW w:w="918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3CA4D1AE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+1.77</w:t>
            </w:r>
          </w:p>
        </w:tc>
        <w:tc>
          <w:tcPr>
            <w:tcW w:w="2296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2D10799">
            <w:pPr>
              <w:keepNext w:val="0"/>
              <w:keepLines w:val="0"/>
              <w:pageBreakBefore w:val="0"/>
              <w:spacing w:after="0" w:line="240" w:lineRule="auto" w:before="0"/>
              <w:ind w:left="0" w:leftChars="0" w:right="0" w:rightChars="0" w:firstLineChars="0" w:firstLine="0"/>
              <w:jc w:val="center"/>
              <w:rPr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本样本中整卷 MAE 较低</w:t>
            </w:r>
          </w:p>
        </w:tc>
      </w:tr>
    </w:tbl>
    <w:p w14:paraId="224B99F4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表5和图3显示，选择题 Q1—Q5 中两种模式的 MAE 均为 0.45（1.3%）。填空题 Q6—Q9 中，整卷模式的 MAE 为 1.29（4.0%），混合模式为 3.96（12.4%）。Q10 作图题在整卷和混合模式下的 MAE 分别为 2.68（24.4%）和 2.65（24.1%），是本卷相对误差最高的题目。Q11 中混合模式的 MAE 较低，Q12 中整卷模式的 MAE 较低。由于每类题型只包含本卷中的有限题目，这些数值只描述本样本中的误差分布，不据此推断某一输入方式对某类题型具有稳定优势。</w:t>
      </w:r>
    </w:p>
    <w:p w14:paraId="304CA5C6">
      <w:pPr>
        <w:keepNext/>
        <w:keepLines w:val="0"/>
        <w:pageBreakBefore w:val="0"/>
        <w:spacing w:after="0" w:before="60"/>
        <w:ind w:left="0" w:right="0" w:firstLine="0"/>
        <w:jc w:val="center"/>
      </w:pPr>
      <w:r>
        <w:drawing>
          <wp:inline distT="0" distB="0" distL="114300" distR="114300">
            <wp:extent cx="5623560" cy="2931795"/>
            <wp:effectExtent l="0" t="0" r="15240" b="1905"/>
            <wp:docPr id="7" name="Picture 7" descr="选择、填空、作图、计算和证明题中两种 AI 阅卷模式标准化 MAE 对比图" title="选择、填空、作图、计算和证明题中两种 AI 阅卷模式标准化 MAE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选择、填空、作图、计算和证明题中两种 AI 阅卷模式标准化 MAE 对比图" title="选择、填空、作图、计算和证明题中两种 AI 阅卷模式标准化 MAE 对比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4F3">
      <w:pPr>
        <w:pStyle w:val="NanshanCaption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图3 不同题型下两种 AI 批改模式的标准化 MAE</w:t>
      </w:r>
    </w:p>
    <w:p w14:paraId="49303831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（四）系统“需要复核”字段：标记数量、题号分布与后续改分</w:t>
      </w:r>
    </w:p>
    <w:p w14:paraId="33020FB5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表6 两种模式中“需要复核”字段及相应改分记录</w:t>
      </w:r>
    </w:p>
    <w:tbl>
      <w:tblPr>
        <w:tblStyle w:val="33"/>
        <w:tblW w:w="9184" w:type="dxa"/>
        <w:tblBorders>
          <w:top w:val="single" w:color="000000" w:sz="8" w:space="0"/>
          <w:left w:val="nil" w:color="auto" w:sz="4" w:space="0"/>
          <w:bottom w:val="single" w:color="000000" w:sz="8" w:space="0"/>
          <w:right w:val="nil" w:color="auto" w:sz="4" w:space="0"/>
          <w:insideH w:val="nil" w:color="auto" w:sz="4" w:space="0"/>
          <w:insideV w:val="nil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left"/>
        <w:tblInd w:type="dxa" w:w="120"/>
      </w:tblPr>
      <w:tblGrid>
        <w:gridCol w:w="720"/>
        <w:gridCol w:w="810"/>
        <w:gridCol w:w="1351"/>
        <w:gridCol w:w="990"/>
        <w:gridCol w:w="1621"/>
        <w:gridCol w:w="1261"/>
        <w:gridCol w:w="2431"/>
      </w:tblGrid>
      <w:tr w14:paraId="404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7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DC7104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模式</w:t>
            </w:r>
          </w:p>
        </w:tc>
        <w:tc>
          <w:tcPr>
            <w:tcW w:w="81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76F647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日志数</w:t>
            </w:r>
          </w:p>
        </w:tc>
        <w:tc>
          <w:tcPr>
            <w:tcW w:w="135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73EF2BC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“需要复核”=是的日志数</w:t>
            </w:r>
          </w:p>
        </w:tc>
        <w:tc>
          <w:tcPr>
            <w:tcW w:w="99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F413D8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上述日志占比</w:t>
            </w:r>
          </w:p>
        </w:tc>
        <w:tc>
          <w:tcPr>
            <w:tcW w:w="162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5CEC456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上述日志中发生分数调整的数量</w:t>
            </w:r>
          </w:p>
        </w:tc>
        <w:tc>
          <w:tcPr>
            <w:tcW w:w="126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05FD359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上述日志所在题号</w:t>
            </w:r>
          </w:p>
        </w:tc>
        <w:tc>
          <w:tcPr>
            <w:tcW w:w="243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 w14:paraId="37DC7C1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补充说明</w:t>
            </w:r>
          </w:p>
        </w:tc>
      </w:tr>
      <w:tr w14:paraId="0E4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7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91F0AC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</w:t>
            </w:r>
          </w:p>
        </w:tc>
        <w:tc>
          <w:tcPr>
            <w:tcW w:w="81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DE3DD0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1404</w:t>
            </w:r>
          </w:p>
        </w:tc>
        <w:tc>
          <w:tcPr>
            <w:tcW w:w="135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0B53911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18</w:t>
            </w:r>
          </w:p>
        </w:tc>
        <w:tc>
          <w:tcPr>
            <w:tcW w:w="99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53363570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1.28%</w:t>
            </w:r>
          </w:p>
        </w:tc>
        <w:tc>
          <w:tcPr>
            <w:tcW w:w="162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7545053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1条，下调</w:t>
            </w:r>
          </w:p>
        </w:tc>
        <w:tc>
          <w:tcPr>
            <w:tcW w:w="126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0936B81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Q10、Q11、Q12</w:t>
            </w:r>
          </w:p>
        </w:tc>
        <w:tc>
          <w:tcPr>
            <w:tcW w:w="243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7727023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18 条标记中 1 条分数下调</w:t>
            </w:r>
          </w:p>
        </w:tc>
      </w:tr>
      <w:tr w14:paraId="42C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  <w:jc w:val="center"/>
        </w:trPr>
        <w:tc>
          <w:tcPr>
            <w:tcW w:w="72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205541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混合</w:t>
            </w:r>
          </w:p>
        </w:tc>
        <w:tc>
          <w:tcPr>
            <w:tcW w:w="81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6668AEED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1404</w:t>
            </w:r>
          </w:p>
        </w:tc>
        <w:tc>
          <w:tcPr>
            <w:tcW w:w="135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3643079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</w:t>
            </w:r>
          </w:p>
        </w:tc>
        <w:tc>
          <w:tcPr>
            <w:tcW w:w="990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2D96E5A8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0.78%</w:t>
            </w:r>
          </w:p>
        </w:tc>
        <w:tc>
          <w:tcPr>
            <w:tcW w:w="162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8FD88C7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4条，均上调</w:t>
            </w:r>
          </w:p>
        </w:tc>
        <w:tc>
          <w:tcPr>
            <w:tcW w:w="126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126E850E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Q3—Q9</w:t>
            </w:r>
          </w:p>
        </w:tc>
        <w:tc>
          <w:tcPr>
            <w:tcW w:w="2431" w:type="dxa"/>
            <w:tcMar>
              <w:top w:w="80" w:type="dxa"/>
              <w:left w:w="55" w:type="dxa"/>
              <w:bottom w:w="80" w:type="dxa"/>
              <w:right w:w="55" w:type="dxa"/>
              <w:start w:w="120" w:type="dxa"/>
              <w:end w:w="120" w:type="dxa"/>
            </w:tcMar>
            <w:vAlign w:val="center"/>
          </w:tcPr>
          <w:p w14:paraId="4AAD648A">
            <w:pPr>
              <w:keepNext w:val="0"/>
              <w:keepLines w:val="0"/>
              <w:pageBreakBefore w:val="0"/>
              <w:spacing w:after="0" w:line="240" w:lineRule="auto" w:before="0"/>
              <w:ind w:left="0" w:right="0"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11 条标记中 4 条分数上调；Q10、Q12 无标记</w:t>
            </w:r>
          </w:p>
        </w:tc>
      </w:tr>
    </w:tbl>
    <w:p w14:paraId="4AF38BEB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6显示，整卷模式在1404条日志中标记18条“需要复核”，标记率为1.28%；其中1条记录的流程最终分下调，其余被标记记录未发生分数调整。混合模式标记11条，标记率为0.78%；其中4条记录的流程最终分均上调，其余被标记记录未发生分数调整。整卷模式的标记主要位于Q10、Q11和Q12，混合模式的标记主要位于Q3—Q9，Q10和Q12未被混合模式标记。表5中混合模式在Q10和Q12的相对MAE分别为24.1%和17.9%，可见模型置信度触发的标记分布与题型相对误差的分布并不一致。本文没有“每条记录是否存在评分误差”与“是否被标记”的完整交叉数据，因此不能据表6计算该字段的敏感度、漏标率或误标率。</w:t>
      </w:r>
    </w:p>
    <w:p w14:paraId="7534FF18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（五）Q10 脱敏案例：可观察作图痕迹与评分分歧</w:t>
      </w:r>
    </w:p>
    <w:p w14:paraId="3672A277">
      <w:pPr>
        <w:keepNext/>
        <w:keepLines w:val="0"/>
        <w:pageBreakBefore w:val="0"/>
        <w:spacing w:after="0" w:before="60"/>
        <w:ind w:left="0" w:right="0" w:firstLine="0"/>
        <w:jc w:val="center"/>
      </w:pPr>
      <w:r>
        <w:drawing>
          <wp:inline distT="0" distB="0" distL="114300" distR="114300">
            <wp:extent cx="5759450" cy="1605915"/>
            <wp:effectExtent l="0" t="0" r="0" b="0"/>
            <wp:docPr id="4" name="Picture 4" descr="Q10 作图题中模型偏宽与偏严的两个脱敏作答证据案例" title="Q10 作图题中模型偏宽与偏严的两个脱敏作答证据案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0 作图题中模型偏宽与偏严的两个脱敏作答证据案例" title="Q10 作图题中模型偏宽与偏严的两个脱敏作答证据案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521">
      <w:pPr>
        <w:pStyle w:val="NanshanCaption"/>
        <w:keepNext w:val="0"/>
        <w:keepLines/>
        <w:pageBreakBefore w:val="0"/>
        <w:spacing w:before="6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15"/>
        </w:rPr>
        <w:t>图4 Q10 作图题的两个脱敏作答案例（原卷题面9分；统计按100分制计11分）</w:t>
      </w:r>
    </w:p>
    <w:p w14:paraId="159C6B6D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图4保留了原卷题面“本小题9分”的标注；本文统计采用AI阅卷流程中的100分制评分细则，Q10按11分计。两份脱敏作答中，可以直接观察到多条相交线段、点名和辅助作图痕迹，部分线条或标注较浅，不同线条在网格区域内相互重叠。图下“整卷偏宽与混合偏严”“浅色作图痕迹识别风险”是复核时对现象的简写，并非由这两个案例单独验证的因果结论。图中未列出两个案例的教师手改分、AI原始分、流程最终分及逐项模型输出，因此不能仅凭作答图像确定模型遗漏了哪一条线、采用了何种判断路径，也不能把评分分歧确定归因于整卷页面、裁切缩放或多名学生拼接。结合表5中整卷和混合模式在Q10上分别为24.4%和24.1%的相对MAE，这两个案例只能说明：识别到点线痕迹与正确确认点线归属、交点位置及几何关系并不是同一个评分步骤；案例本身不能证明某一种输入方式必然造成偏宽或偏严。</w:t>
      </w:r>
    </w:p>
    <w:p w14:paraId="4B74D955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五、讨论</w:t>
      </w:r>
    </w:p>
    <w:p w14:paraId="7EF38AF6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（一）总分结果需要结合题型偏差解读</w:t>
      </w:r>
    </w:p>
    <w:p w14:paraId="6B960E8F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表4和表5显示，整卷模式各题型的 Bias 相加为 -0.45+0.88+2.35-0.92+0.81=+2.67，其中 Q10 的 +2.35 约占总 Bias 的 88%，整卷总分偏高主要由这道作图题造成。混合模式中，选择题、填空题和 Q11 的负向 Bias 合计为 -4.93，Q10 和 Q12 的正向 Bias 合计为 +3.45，抵消后总 Bias 为 -1.48。因而，混合模式总分差异不显著，并不表示各题型都与教师评分接近。本次结果说明，总分指标需要与题型 Bias 和具体作答记录一并查看，尤其要核查是否有少数题目集中拉高或拉低总分。</w:t>
      </w:r>
    </w:p>
    <w:p w14:paraId="687C68A9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（二）两种输入方式在本次试卷中的表现差异</w:t>
      </w:r>
    </w:p>
    <w:p w14:paraId="59D098AC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表5中，Q12 的整卷 MAE 为 0.81，低于混合模式的 1.97；Q11 的结果相反，混合模式的 MAE 为 0.60，低于整卷模式的 1.00。一个可能的解释是，Q12 的证明需要连续查看同一名学生调用条件和推出结论的过程，整卷输入保留了完整页面；Q11 的关键步骤较短，裁切后集中呈现可能更便于核对。填空题 Q6—Q9 中，整卷 MAE 为 1.29，混合模式为 3.96，也说明缩小作答区域并不必然降低误差。由于本研究没有单独操控裁切范围、每批人数和上下文长度，这些事后解释尚不能证明某种输入方式对某类题型具有固定优势，只能作为下一轮对照研究需要检验的假设。</w:t>
      </w:r>
    </w:p>
    <w:p w14:paraId="34393516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（三）Q10 作图题的误差来源与复核要求</w:t>
      </w:r>
    </w:p>
    <w:p w14:paraId="4BC1DF33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5中，Q10在整卷和混合模式下的标准化MAE分别为24.4%和24.1%，明显高于本试卷其他题型；排除Q10后，整卷模式的Bias又由+2.67降至+0.32。图4中可以看到点线重叠、浅色线条和文字标注等复核难点；图下“偏宽/偏严”等标签只作现象提示，不能替代案例级分数证据。两种模式使用同一次300 dpi扫描，且均未启用图像增强，这使扫描来源和名义分辨率保持一致，但不能据此排除图像因素；手写深浅、线条重叠、裁切和缩放仍可能影响作答内容是否清楚。对Q10这类题，教师仍需按评分细则逐项核对点线位置和几何关系。AI可以协助呈现原图、裁切图和疑似痕迹，不宜单独决定最终得分。</w:t>
      </w:r>
    </w:p>
    <w:p w14:paraId="4EE7B8DF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（四）系统复核标记的用途与限度</w:t>
      </w:r>
    </w:p>
    <w:p w14:paraId="2451E78C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6显示，整卷模式在1404条日志中标记18条需复核记录，标记率为1.28%，复核后仅有1条下调；混合模式标记11条，标记率为0.78%，其中4条复核后上调。更值得注意的是，混合模式的标记主要分布在Q3—Q9，却没有覆盖表5中误差较高的Q10和Q12。本研究没有对模型报告的置信度进行概率校准，也没有对同一图像进行重复调用，因此该字段不能解释为答对概率，也不能用于判断输出是否稳定。实际使用时，它只能作为追加复核的提示。就本次结果而言，Q10应直接进入教师复核，Q6—Q9需重点核对等价表达和作废答案，Q11、Q12则需查看关键步骤或证明过程是否完整；系统标记只是在这些检查之外增加一条提醒。各题型的暂定处理方式见表7。</w:t>
      </w:r>
    </w:p>
    <w:p w14:paraId="6C62ADF7">
      <w:pPr>
        <w:pStyle w:val="NanshanCaption"/>
        <w:keepNext/>
        <w:keepLines/>
        <w:pageBreakBefore w:val="0"/>
        <w:spacing w:before="60" w:after="60" w:line="240" w:lineRule="auto"/>
        <w:ind w:left="0" w:right="0" w:firstLine="0"/>
        <w:jc w:val="center"/>
        <w:rPr>
          <w:rFonts w:hint="default" w:eastAsia="宋体"/>
          <w:lang w:val="en-US" w:eastAsia="zh-CN"/>
        </w:rPr>
      </w:pPr>
      <w:r>
        <w:rPr>
          <w:rFonts w:ascii="黑体" w:hAnsi="黑体" w:eastAsia="黑体" w:cs="黑体"/>
          <w:b/>
          <w:color w:val="000000"/>
          <w:sz w:val="15"/>
        </w:rPr>
        <w:t>表7 本次题型结果与暂定处理方式</w:t>
      </w:r>
    </w:p>
    <w:tbl>
      <w:tblPr>
        <w:tblStyle w:val="33"/>
        <w:tblW w:type="dxa" w:w="9184"/>
        <w:tblLayout w:type="fixed"/>
        <w:tblLook w:firstColumn="1" w:firstRow="1" w:lastColumn="0" w:lastRow="0" w:noHBand="0" w:noVBand="1" w:val="04A0"/>
        <w:jc w:val="left"/>
        <w:tblInd w:type="dxa" w:w="12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3477"/>
        <w:gridCol w:w="3042"/>
        <w:gridCol w:w="2665"/>
      </w:tblGrid>
      <w:tr>
        <w:trPr>
          <w:tblHeader w:val="true"/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本次证据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暂定处理方式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15"/>
                <w:szCs w:val="15"/>
              </w:rPr>
              <w:t>结论边界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Q1—Q5：两模式 MAE 均为 0.45（1.3%）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批量识别；多选、涂改等异常作答由教师核对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仅适用于本次选择题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Q6—Q9：整卷 MAE 为 1.29（4.0%），混合为 3.96（12.4%）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核对等价表达、作废答案和替换答案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尚不能确定固定输入方式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Q10：整卷和混合 MAE 分别为 2.68（24.4%）和 2.65（24.1%）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教师逐项复核并确定最终得分；AI 仅整理图像和提示疑似痕迹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本次证据最明确的处理建议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Q11：混合 MAE 为 0.60（5.4%），整卷为 1.00（9.1%）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后续试卷继续检验局部呈现方式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不据此宣称稳定优势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Q12：整卷 MAE 为 0.81（7.3%），混合为 1.97（17.9%）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后续试卷继续检验单份完整答卷的呈现方式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不据此宣称稳定优势</w:t>
            </w:r>
          </w:p>
        </w:tc>
      </w:tr>
      <w:tr>
        <w:trPr>
          <w:cantSplit w:val="true"/>
        </w:trPr>
        <w:tc>
          <w:tcPr>
            <w:tcW w:type="dxa" w:w="347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整卷、混合分别标记 18 条和 11 条；复核后调整 1 条和 4 条</w:t>
            </w:r>
          </w:p>
        </w:tc>
        <w:tc>
          <w:tcPr>
            <w:tcW w:type="dxa" w:w="304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系统标记只作为追加复核提示</w:t>
            </w:r>
          </w:p>
        </w:tc>
        <w:tc>
          <w:tcPr>
            <w:tcW w:type="dxa" w:w="266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5"/>
              </w:rPr>
              <w:t>本研究未验证其检出能力</w:t>
            </w:r>
          </w:p>
        </w:tc>
      </w:tr>
    </w:tbl>
    <w:p w14:paraId="41887EE0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（五）本次结果支持的使用判断</w:t>
      </w:r>
    </w:p>
    <w:p w14:paraId="30E2534F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表3中，整卷流程最终分的 MAE 为 4.49、ICC 为 0.972，但 Bias 为 +2.67，且与教师手改分的差异显著；混合流程最终分的 MAE 为 5.85、ICC 为 0.944，总 Bias 为 -1.48，总分差异不显著。表4和表5进一步表明，后一结果包含不同题型偏差的抵消，Q10 又是两种模式共同的高误差题目。表6还显示，系统复核标记没有覆盖混合模式下的 Q10 和 Q12。综合这些结果，本研究可以支持的判断是：总分一致性不足以决定某类题能否交由 AI 终评，Q10 应保留教师复核，系统复核标记只能作为补充提醒。本研究尚不能证明这套题型安排适用于其他年级、试卷或模型。</w:t>
      </w:r>
    </w:p>
    <w:p w14:paraId="36865535">
      <w:pPr>
        <w:pStyle w:val="NanshanHeading2"/>
        <w:keepNext/>
        <w:keepLines w:val="0"/>
        <w:pageBreakBefore w:val="0"/>
        <w:spacing w:before="60" w:after="0" w:line="300" w:lineRule="auto"/>
        <w:ind w:left="0" w:right="0" w:firstLine="420"/>
        <w:jc w:val="left"/>
      </w:pPr>
      <w:r>
        <w:rPr>
          <w:rFonts w:ascii="黑体" w:hAnsi="黑体" w:eastAsia="黑体" w:cs="黑体"/>
          <w:b w:val="0"/>
          <w:color w:val="000000"/>
          <w:sz w:val="21"/>
        </w:rPr>
        <w:t>（六）研究局限</w:t>
      </w:r>
    </w:p>
    <w:p w14:paraId="4B2DD805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color w:val="000000"/>
          <w:sz w:val="21"/>
        </w:rPr>
        <w:t>本研究只分析了同一学校两个教学班的一次测试，共78份完整配对答卷，表5中的每类题型又只包含有限题目；图4的两个Q10案例是从分歧记录中目的性选取的，不能代表该题所有错误。教师手改没有设置第二评分者，研究者同时参与系统设计、课堂评分和结果解释，因此教师分也不能视为不受影响的绝对标准。模型未对同一图像重复调用，top_p、top_k采用服务端默认参数，表6中的标记率也不足以评价复核提示的检出能力。后续研究需要在不同学校和试卷中预先设定待检验的题型处理方式，加入独立教师双评分和分歧仲裁，并分别改变裁切范围、拼图人数和重复调用次数，检验本次观察到的差异能否再次出现。</w:t>
      </w:r>
    </w:p>
    <w:p w14:paraId="1016021C">
      <w:pPr>
        <w:pStyle w:val="NanshanHeading1"/>
        <w:keepNext/>
        <w:keepLines w:val="0"/>
        <w:pageBreakBefore w:val="0"/>
        <w:spacing w:before="120" w:after="0" w:line="300" w:lineRule="auto"/>
        <w:ind w:left="0" w:right="0" w:firstLine="480"/>
        <w:jc w:val="left"/>
      </w:pPr>
      <w:r>
        <w:rPr>
          <w:rFonts w:ascii="黑体" w:hAnsi="黑体" w:eastAsia="黑体" w:cs="黑体"/>
          <w:b w:val="0"/>
          <w:color w:val="000000"/>
          <w:sz w:val="24"/>
        </w:rPr>
        <w:t>六、结论与建议</w:t>
      </w:r>
    </w:p>
    <w:p w14:paraId="036A8AB5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本研究比较了 78 份初中数学纸笔答卷在整卷和混合分批两种 AI 阅卷方式下的结果。整卷流程最终分的 MAE 为 4.49、Bias 为 +2.67；排除 Q10 后，Bias 降至 +0.32。混合流程最终分的总 Bias 为 -1.48，但排除 Q10 后变为 -3.16，说明其总分结果包含正负题型偏差的抵消。两种模式在 Q10 上的标准化 MAE 均约为 24%。这些结果提示，在本次试卷中，判断 AI 阅卷是否可用，不能只看总分相关或总分差异，还需要查看误差集中在哪些题目以及这些题目的评分依据是什么。</w:t>
      </w:r>
    </w:p>
    <w:p w14:paraId="62B48EDE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本次结果可用于调整下一轮试用方案，但不能直接写成普遍适用的题型规则。Q1—Q5 可继续采用批量识别和规则比对，对多选、涂改等异常作答另行复核；Q6—Q9 需要保留等价表达和作废答案检查，本研究尚不足以确定固定采用整卷还是局部输入。Q11 在本次混合模式下误差较低，Q12 在整卷模式下误差较低，这两种呈现方式可以在后续试卷中继续对照。Q10 应由教师逐项核对并决定最终得分，AI 只协助整理图像和提示疑似痕迹。系统“需要复核”、模型报告的低置信度、多候选答案以及异常零分或满分，可作为追加复核的原因；跨模式分歧只有在同时运行两种方式时才可使用，不能作为日常流程的必要条件。</w:t>
      </w:r>
    </w:p>
    <w:p w14:paraId="40978463">
      <w:pPr>
        <w:pStyle w:val="NanshanBody"/>
        <w:keepNext w:val="0"/>
        <w:keepLines w:val="0"/>
        <w:pageBreakBefore w:val="0"/>
        <w:spacing w:before="0" w:after="0" w:line="300" w:lineRule="auto"/>
        <w:ind w:left="0" w:right="0" w:firstLine="420"/>
        <w:jc w:val="both"/>
      </w:pPr>
      <w:r>
        <w:rPr>
          <w:rFonts w:ascii="Times New Roman" w:hAnsi="Times New Roman" w:eastAsia="宋体" w:cs="Times New Roman"/>
          <w:i w:val="0"/>
          <w:color w:val="000000"/>
          <w:sz w:val="21"/>
        </w:rPr>
        <w:t>本研究的直接证据限于本次测试：总分结果掩盖了明显的题型差异，Q10 对整卷总分偏差影响较大，系统复核标记又没有覆盖混合模式下误差较高的 Q10 和 Q12。由此提出的处理建议是，实际使用时保留题目层面的误差检查，并由教师复核作图关系、等价表达、长步骤推理和争议分数。这些处理方式仍需在更多学校、试卷和独立评分条件下验证。</w:t>
      </w:r>
    </w:p>
    <w:p w14:paraId="6A021E17">
      <w:pPr>
        <w:pStyle w:val="NanshanBody"/>
        <w:keepNext/>
        <w:keepLines w:val="0"/>
        <w:pageBreakBefore w:val="0"/>
        <w:spacing w:before="120" w:after="0" w:line="300" w:lineRule="auto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参考文献</w:t>
      </w:r>
    </w:p>
    <w:p w14:paraId="3D7B251D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[1]中华人民共和国教育部. 义务教育数学课程标准（2022年版）[S]. 北京: 北京师范大学出版社, 2022.</w:t>
      </w:r>
    </w:p>
    <w:p w14:paraId="542E5D53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[2]Black P, Wiliam D. Assessment and classroom learning[J]. Assessment in Education: Principles, Policy &amp; Practice, 1998, 5(1): 7-74. DOI:10.1080/0969595980050102.</w:t>
      </w:r>
    </w:p>
    <w:p w14:paraId="52016E36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[3]National Research Council. Knowing What Students Know: The Science and Design of Educational Assessment[M]. Washington, DC: National Academy Press, 2001. DOI:10.17226/10019.</w:t>
      </w:r>
    </w:p>
    <w:p w14:paraId="7928D9E0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[4]Mislevy R J, Steinberg L S, Almond R G. On the structure of educational assessments[J]. Measurement: Interdisciplinary Research and Perspectives, 2003, 1(1): 3-62. DOI:10.1207/S15366359MEA0101_02.</w:t>
      </w:r>
    </w:p>
    <w:p w14:paraId="6AEB17C9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[5]Messick S, Linn R L. Educational measurement[J]. Validity, 1989: 13-103.</w:t>
      </w:r>
    </w:p>
    <w:p w14:paraId="47C136D0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[6]Kane M T. Validating the interpretations and uses of test scores[J]. Journal of Educational Measurement, 2013, 50(1): 1-73.</w:t>
      </w:r>
    </w:p>
    <w:p w14:paraId="00219507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[7]American Educational Research Association, American Psychological Association, National Council on Measurement in Education. Standards for Educational and Psychological Testing[M]. Washington, DC: AERA, 2014.</w:t>
      </w:r>
    </w:p>
    <w:p w14:paraId="7A7861F9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[8]Williamson D M, Xi X, Breyer F J. A framework for evaluation and use of automated scoring[J]. Educational measurement: issues and practice, 2012, 31(1): 2-13.</w:t>
      </w:r>
    </w:p>
    <w:p w14:paraId="06E948AC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[9]Brookhart S M. How to Create and Use Rubrics for Formative Assessment and Grading[M]. Alexandria, VA: ASCD, 2013.</w:t>
      </w:r>
    </w:p>
    <w:p w14:paraId="30AAA79D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[10]Morris W, Holmes L, Choi J S, et al. Automated scoring of constructed response items in math assessment using large language models[J]. International journal of artificial intelligence in education, 2025, 35(2): 559-586.</w:t>
      </w:r>
    </w:p>
    <w:p w14:paraId="1AD638F9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[11]Lee G G, Latif E, Wu X, et al. Applying large language models and chain-of-thought for automatic scoring[J]. Computers and Education: Artificial Intelligence, 2024, 6: 100213.</w:t>
      </w:r>
    </w:p>
    <w:p w14:paraId="21D0DB2E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[12]Wu X, Saraf P P, Lee G G, Latif E, Liu N, Zhai X. Unveiling scoring processes: Dissecting the differences between LLMs and human graders in automatic scoring[J]. Technology, Knowledge and Learning, 2025. DOI:10.1007/s10758-025-09836-8.</w:t>
      </w:r>
    </w:p>
    <w:p w14:paraId="49CAD7E5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[13]Baral S, Worden E, Lim W C, et al. Automated feedback in math education: A comparative analysis of LLMs for open-ended responses[EB/OL]. arXiv:2411.08910, 2024.</w:t>
      </w:r>
    </w:p>
    <w:p w14:paraId="4E667D41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[14]Nath O, Bathina H, Khan M S U R, Khapra M M. Can vision-language models evaluate handwritten math?[C]//Proceedings of the 63rd Annual Meeting of the Association for Computational Linguistics. Vienna: ACL, 2025: 14784-14814. DOI:10.18653/v1/2025.acl-long.720.</w:t>
      </w:r>
    </w:p>
    <w:p w14:paraId="300244FA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[15]Baral S, Lucy L, Knight R, et al. DrawEduMath: Evaluating vision language models with expert-annotated students’ hand-drawn math images[C]//Proceedings of NAACL-HLT 2025. Albuquerque: ACL, 2025: 6902-6920. DOI:10.18653/v1/2025.naacl-long.352.</w:t>
      </w:r>
    </w:p>
    <w:p w14:paraId="1BD262B9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[16]Khrulev R. CHECK-MAT: Probing the mathematical reasoning and rubric-alignment of vision-language models on handwritten solutions[C]//Proceedings of MathNLP 2025. Suzhou: ACL, 2025: 77-94. DOI:10.18653/v1/2025.mathnlp-main.6.</w:t>
      </w:r>
    </w:p>
    <w:p w14:paraId="6BCEC776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[17]Nguyen T P, Nguyen D M, Jeon H, et al. VEHME: A vision-language model for evaluating handwritten mathematics expressions[C]//Proceedings of EMNLP 2025. Suzhou: ACL, 2025: 31793-31813.</w:t>
      </w:r>
    </w:p>
    <w:p w14:paraId="35D97517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[18]Parsaeifard B, Hlosta M, Bergamin P. Automated grading of students’ handwritten graphs: A comparison of meta-learning and vision-large language models[EB/OL]. arXiv:2507.03056, 2025.</w:t>
      </w:r>
    </w:p>
    <w:p w14:paraId="08D350A5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[19]Cohn C, Mohammed N, Biswas G. CoTAL: Human-in-the-Loop Prompt Engineering for Generalizable Formative Assessment Scoring[EB/OL]. arXiv:2504.02323, 2025.</w:t>
      </w:r>
    </w:p>
    <w:p w14:paraId="47FDF89D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[20]Vanhoyweghen A, Holst V, Mobini M, et al. Human-in-the-Loop LLM Grading for Handwritten Mathematics Assessments[EB/OL]. arXiv:2603.13083, 2026.</w:t>
      </w:r>
    </w:p>
    <w:p w14:paraId="74AA8D96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[21]Perš J, Muhovič J, Košir A, et al. Grading Handwritten Engineering Exams with Multimodal Large Language Models[EB/OL]. arXiv:2601.00730, 2026.</w:t>
      </w:r>
    </w:p>
    <w:p w14:paraId="7110F8D1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[22]Le Ying T, Hu S, Yeo D J, et al. A comprehensive review on automated grading systems in STEM using AI techniques[J]. Mathematics, 2025, 13(17): 2828.</w:t>
      </w:r>
    </w:p>
    <w:p w14:paraId="7C2F91E0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[23]汪张龙, 徐俊, 李晓臻, 等. 纸笔考试智能网上评卷系统的设计和应用——智能教育应用之“考试评价”篇[J]. 现代教育技术, 2018, 28(3): 5-11.</w:t>
      </w:r>
    </w:p>
    <w:p w14:paraId="6EDDB435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[24]何屹松, 孙媛媛, 江光贤, 等. 人工智能评分参与高考网评一评的应用实践[J]. 中国考试, 2021(9): 40-46.</w:t>
      </w:r>
    </w:p>
    <w:p w14:paraId="50A4761B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[25]王冠,魏兰.人工智能大模型技术在教育考试全题型阅卷中的应用[J].教育测量与评价, 2024(3):3-18.</w:t>
      </w:r>
    </w:p>
    <w:p w14:paraId="7A962196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[26]孙利君. 人工智能辅助评卷的模式研究[J]. 浙江考试, 2025, No.443(2): 3-6.</w:t>
      </w:r>
    </w:p>
    <w:p w14:paraId="1F35AEF2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[27]苏洪雨, 叶珊, 许世红, 等. 基于人工智能赋能教学评价的数学交流环境研究[J]. 数学教育学报, 2025, 34(3): 1-8.</w:t>
      </w:r>
    </w:p>
    <w:p w14:paraId="57901BD0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[28]邵铭宇, 魏亮, 李均强, 等. 生成式人工智能与动态可视化软件整合：原理、应用与展望[J]. 数学教育学报, 2025, 34(4): 27-35.</w:t>
      </w:r>
    </w:p>
    <w:p w14:paraId="47C2A692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[29]于涵. 打造智慧考试 服务智慧教育[J]. 中国考试, 2023(5): 1-10.</w:t>
      </w:r>
    </w:p>
    <w:p w14:paraId="454895F2">
      <w:pPr>
        <w:pStyle w:val="NanshanReference"/>
        <w:keepNext w:val="0"/>
        <w:keepLines w:val="0"/>
        <w:pageBreakBefore w:val="0"/>
        <w:spacing w:after="0" w:line="240" w:lineRule="auto" w:before="0"/>
        <w:ind w:left="0" w:right="0" w:firstLine="0"/>
        <w:jc w:val="left"/>
      </w:pPr>
      <w:r>
        <w:rPr>
          <w:rFonts w:ascii="Times New Roman" w:hAnsi="Times New Roman" w:eastAsia="宋体" w:cs="Times New Roman"/>
          <w:b w:val="0"/>
          <w:color w:val="000000"/>
          <w:sz w:val="15"/>
        </w:rPr>
        <w:t>[30]沈苑, 胡梦圆, 范逸洲, 汪琼. 可信赖人工智能教育应用的建设路径与现实启示——以英国典型举措为例[J]. 现代远程教育研究, 2023, 35(4): 65-74.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作者姓名：</w:t>
      </w:r>
      <w:r>
        <w:rPr>
          <w:rFonts w:ascii="Times New Roman" w:hAnsi="Times New Roman" w:eastAsia="宋体" w:cs="Times New Roman"/>
          <w:color w:val="000000"/>
          <w:sz w:val="21"/>
        </w:rPr>
        <w:t>贾浩然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作者单位：</w:t>
      </w:r>
      <w:r>
        <w:rPr>
          <w:rFonts w:ascii="Times New Roman" w:hAnsi="Times New Roman" w:eastAsia="宋体" w:cs="Times New Roman"/>
          <w:color w:val="000000"/>
          <w:sz w:val="21"/>
        </w:rPr>
        <w:t>深圳大学附属教育集团外国语中学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通讯地址：</w:t>
      </w:r>
      <w:r>
        <w:rPr>
          <w:rFonts w:ascii="Times New Roman" w:hAnsi="Times New Roman" w:eastAsia="宋体" w:cs="Times New Roman"/>
          <w:color w:val="000000"/>
          <w:sz w:val="21"/>
        </w:rPr>
        <w:t>广东省深圳市南山区桃源街道留仙大道3633号深圳大学附属教育集团外国语中学（新校区）（邮编：518071）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联系电话：</w:t>
      </w:r>
      <w:r>
        <w:rPr>
          <w:rFonts w:ascii="Times New Roman" w:hAnsi="Times New Roman" w:eastAsia="宋体" w:cs="Times New Roman"/>
          <w:color w:val="000000"/>
          <w:sz w:val="21"/>
        </w:rPr>
        <w:t>13201469126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QQ或微信：</w:t>
      </w:r>
      <w:r>
        <w:rPr>
          <w:rFonts w:ascii="Times New Roman" w:hAnsi="Times New Roman" w:eastAsia="宋体" w:cs="Times New Roman"/>
          <w:color w:val="000000"/>
          <w:sz w:val="21"/>
        </w:rPr>
        <w:t>894189001（QQ）</w:t>
      </w:r>
    </w:p>
    <w:p>
      <w:pPr>
        <w:pStyle w:val="NanshanContact"/>
        <w:keepNext w:val="0"/>
        <w:keepLines w:val="0"/>
        <w:pageBreakBefore w:val="0"/>
        <w:spacing w:before="0" w:after="0" w:line="300" w:lineRule="auto"/>
        <w:ind w:left="0" w:right="0" w:firstLine="0"/>
        <w:jc w:val="left"/>
      </w:pPr>
      <w:r>
        <w:rPr>
          <w:rFonts w:ascii="黑体" w:hAnsi="黑体" w:eastAsia="黑体" w:cs="黑体"/>
          <w:b/>
          <w:color w:val="000000"/>
          <w:sz w:val="21"/>
        </w:rPr>
        <w:t>电子邮箱：</w:t>
      </w:r>
      <w:r>
        <w:rPr>
          <w:rFonts w:ascii="Times New Roman" w:hAnsi="Times New Roman" w:eastAsia="宋体" w:cs="Times New Roman"/>
          <w:color w:val="000000"/>
          <w:sz w:val="21"/>
        </w:rPr>
        <w:t>894189001@qq.com</w:t>
      </w:r>
    </w:p>
    <w:sectPr>
      <w:footerReference r:id="rId5" w:type="default"/>
      <w:pgSz w:w="11906" w:h="16838"/>
      <w:pgMar w:top="1304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8DE19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7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taiwaneseCountingThousand"/>
      <w:suff w:val="nothing"/>
      <w:lvlText w:val="（%1）"/>
      <w:lvlJc w:val="left"/>
      <w:pPr>
        <w:tabs>
          <w:tab w:val="left" w:pos="0"/>
        </w:tabs>
        <w:ind w:left="0" w:firstLine="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D2D05"/>
    <w:rsid w:val="0C6C62F9"/>
    <w:rsid w:val="0ED463D8"/>
    <w:rsid w:val="107B4D5D"/>
    <w:rsid w:val="11867E5D"/>
    <w:rsid w:val="12766290"/>
    <w:rsid w:val="15B8610B"/>
    <w:rsid w:val="17C85625"/>
    <w:rsid w:val="183E4041"/>
    <w:rsid w:val="1FCD6C57"/>
    <w:rsid w:val="205D447F"/>
    <w:rsid w:val="20B214F5"/>
    <w:rsid w:val="20C672AE"/>
    <w:rsid w:val="2A8645D2"/>
    <w:rsid w:val="2F391C13"/>
    <w:rsid w:val="30797D93"/>
    <w:rsid w:val="364D3777"/>
    <w:rsid w:val="3A915A51"/>
    <w:rsid w:val="3D9F7A2D"/>
    <w:rsid w:val="401C3B0E"/>
    <w:rsid w:val="418F4EA7"/>
    <w:rsid w:val="49171E4F"/>
    <w:rsid w:val="49396F88"/>
    <w:rsid w:val="499637FE"/>
    <w:rsid w:val="4B736055"/>
    <w:rsid w:val="4FD01CC8"/>
    <w:rsid w:val="5103346E"/>
    <w:rsid w:val="53690469"/>
    <w:rsid w:val="55004FA0"/>
    <w:rsid w:val="58AA1ED2"/>
    <w:rsid w:val="5C367357"/>
    <w:rsid w:val="5C8C51C9"/>
    <w:rsid w:val="5E7F7ED1"/>
    <w:rsid w:val="5EAC3900"/>
    <w:rsid w:val="5F824661"/>
    <w:rsid w:val="6110204A"/>
    <w:rsid w:val="61C176C2"/>
    <w:rsid w:val="61E92171"/>
    <w:rsid w:val="621F50F4"/>
    <w:rsid w:val="662C39C8"/>
    <w:rsid w:val="699D04DE"/>
    <w:rsid w:val="6B566CB2"/>
    <w:rsid w:val="6B7D526B"/>
    <w:rsid w:val="6F6F74A7"/>
    <w:rsid w:val="72475FCF"/>
    <w:rsid w:val="73316424"/>
    <w:rsid w:val="73DB3FB6"/>
    <w:rsid w:val="74940C67"/>
    <w:rsid w:val="74EB5F6E"/>
    <w:rsid w:val="74FB2A94"/>
    <w:rsid w:val="792D4DB3"/>
    <w:rsid w:val="7ACF1E92"/>
    <w:rsid w:val="7AE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NanshanTitle">
    <w:name w:val="Nanshan Title"/>
    <w:rPr>
      <w:rFonts w:ascii="黑体" w:hAnsi="黑体" w:eastAsia="黑体" w:cs="黑体"/>
      <w:b/>
      <w:color w:val="000000"/>
      <w:sz w:val="44"/>
    </w:rPr>
  </w:style>
  <w:style w:type="paragraph" w:customStyle="1" w:styleId="NanshanAuthor">
    <w:name w:val="Nanshan Author"/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NanshanBody">
    <w:name w:val="Nanshan Body"/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NanshanHeading1">
    <w:name w:val="Nanshan Heading 1"/>
    <w:rPr>
      <w:rFonts w:ascii="黑体" w:hAnsi="黑体" w:eastAsia="黑体" w:cs="黑体"/>
      <w:b w:val="0"/>
      <w:color w:val="000000"/>
      <w:sz w:val="24"/>
    </w:rPr>
  </w:style>
  <w:style w:type="paragraph" w:customStyle="1" w:styleId="NanshanHeading2">
    <w:name w:val="Nanshan Heading 2"/>
    <w:rPr>
      <w:rFonts w:ascii="黑体" w:hAnsi="黑体" w:eastAsia="黑体" w:cs="黑体"/>
      <w:b w:val="0"/>
      <w:color w:val="000000"/>
      <w:sz w:val="21"/>
    </w:rPr>
  </w:style>
  <w:style w:type="paragraph" w:customStyle="1" w:styleId="NanshanHeading3">
    <w:name w:val="Nanshan Heading 3"/>
    <w:rPr>
      <w:rFonts w:ascii="Times New Roman" w:hAnsi="Times New Roman" w:eastAsia="宋体" w:cs="Times New Roman"/>
      <w:b/>
      <w:color w:val="000000"/>
      <w:sz w:val="21"/>
    </w:rPr>
  </w:style>
  <w:style w:type="paragraph" w:customStyle="1" w:styleId="NanshanHeading4">
    <w:name w:val="Nanshan Heading 4"/>
    <w:rPr>
      <w:rFonts w:ascii="Times New Roman" w:hAnsi="Times New Roman" w:eastAsia="宋体" w:cs="Times New Roman"/>
      <w:b w:val="0"/>
      <w:color w:val="000000"/>
      <w:sz w:val="21"/>
    </w:rPr>
  </w:style>
  <w:style w:type="paragraph" w:customStyle="1" w:styleId="NanshanCaption">
    <w:name w:val="Nanshan Caption"/>
    <w:rPr>
      <w:rFonts w:ascii="黑体" w:hAnsi="黑体" w:eastAsia="黑体" w:cs="黑体"/>
      <w:b/>
      <w:color w:val="000000"/>
      <w:sz w:val="15"/>
    </w:rPr>
  </w:style>
  <w:style w:type="paragraph" w:customStyle="1" w:styleId="NanshanReference">
    <w:name w:val="Nanshan Reference"/>
    <w:rPr>
      <w:rFonts w:ascii="Times New Roman" w:hAnsi="Times New Roman" w:eastAsia="宋体" w:cs="Times New Roman"/>
      <w:b w:val="0"/>
      <w:color w:val="000000"/>
      <w:sz w:val="15"/>
    </w:rPr>
  </w:style>
  <w:style w:type="paragraph" w:customStyle="1" w:styleId="NanshanContact">
    <w:name w:val="Nanshan Contact"/>
    <w:rPr>
      <w:rFonts w:ascii="Times New Roman" w:hAnsi="Times New Roman" w:eastAsia="宋体" w:cs="Times New Roman"/>
      <w:b w:val="0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9616</Words>
  <Characters>16725</Characters>
  <Lines>0</Lines>
  <Paragraphs>0</Paragraphs>
  <TotalTime>2</TotalTime>
  <ScaleCrop>false</ScaleCrop>
  <LinksUpToDate>false</LinksUpToDate>
  <CharactersWithSpaces>18065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人工智能；初中数学；智能阅卷；题型误差；教师复核</cp:keywords>
  <cp:lastModifiedBy/>
  <dcterms:modified xsi:type="dcterms:W3CDTF">2026-06-18T16:41:09Z</dcterms:modified>
  <dc:subject>《南山教育》投稿格式适配稿</dc:subject>
  <dc:title>初中数学AI阅卷的题型误差与教师复核——基于78份七年级纸笔答卷的实践分析</dc:title>
  <cp:revision>1</cp:revision>
</cp:coreProperties>
</file>