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初中数学纸笔测验中两种 AI 阅卷模式的题型误差与教师复核</w:t>
      </w:r>
    </w:p>
    <w:p w14:paraId="3FE22D37">
      <w:pPr>
        <w:spacing w:after="140"/>
        <w:jc w:val="center"/>
      </w:pPr>
      <w:r>
        <w:rPr>
          <w:rFonts w:ascii="Times New Roman" w:hAnsi="Times New Roman" w:eastAsia="宋体"/>
          <w:b w:val="0"/>
          <w:sz w:val="24"/>
        </w:rPr>
        <w:t>——基于七年级 78 份配对答卷的案例比较</w:t>
      </w:r>
    </w:p>
    <w:p w14:paraId="08A9BCFB">
      <w:pPr>
        <w:keepLines w:val="0"/>
        <w:spacing w:before="0" w:after="40" w:line="288" w:lineRule="auto"/>
      </w:pPr>
      <w:r>
        <w:rPr>
          <w:rFonts w:ascii="Times New Roman" w:hAnsi="Times New Roman" w:eastAsia="宋体"/>
          <w:b/>
          <w:i w:val="0"/>
          <w:sz w:val="21"/>
        </w:rPr>
        <w:t>摘要：本研究以某校七年级一次数学阶段测试为例，比较整卷批改与混合分批批改两种多模态 AI 阅卷方式在不同题型上的评分表现。样本为 78 份具有完整配对结果的纸笔答卷，分别保留教师手改分、AI 原始分和流程最终分，并采用 MAE、RMSE、Bias、Pearson 相关、ICC、Wilcoxon 检验、题型标准化误差及复核日志进行分析。整卷模式流程最终分的 MAE 为 4.49、ICC 为 0.972，整体显著高于教师手改分；混合模式流程最终分的 MAE 为 5.85、ICC 为 0.944，与教师手改总分的差异不显著。排除 Q10 作图题后，整卷模式的 Bias 收窄至 +0.32，差异不再显著；混合模式则呈显著偏低，说明其总分中存在不同题型正负偏差的抵消。两种模式在 Q10 上的标准化 MAE 均约为 24%，系统“需要复核”标记的题号分布与题型相对误差的分布也不一致。本次结果表明，总分差异不显著并不意味着各题型均与教师评分接近。实际安排复核时，除参考系统标记外，还需结合本次题型误差；其中 Q10 应由教师复核后确定分数。</w:t>
      </w:r>
    </w:p>
    <w:p w14:paraId="570EA01E">
      <w:pPr>
        <w:keepLines w:val="0"/>
        <w:spacing w:before="0" w:after="100" w:line="276" w:lineRule="auto"/>
      </w:pPr>
      <w:r>
        <w:rPr>
          <w:rFonts w:ascii="Times New Roman" w:hAnsi="Times New Roman" w:eastAsia="宋体"/>
          <w:b/>
          <w:i w:val="0"/>
          <w:sz w:val="21"/>
        </w:rPr>
        <w:t>关键词：人工智能；初中数学；智能阅卷；题型误差；教师复核</w:t>
      </w:r>
    </w:p>
    <w:p w14:paraId="16BC87D2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>Title: Item-Type Errors and Teacher Review in Two Multimodal AI-Assisted Grading Modes for a Junior Secondary Mathematics Paper-and-Pencil Test: A Comparison of 78 Matched Answer Scripts</w:t>
      </w:r>
    </w:p>
    <w:p w14:paraId="4A0557C8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>Abstract: This exploratory case study compared full-paper and hybrid item-batched multimodal AI grading in one Grade 7 mathematics test. The sample comprised 78 paper-and-pencil answer scripts with complete matched results. Teacher-marked scores, AI raw scores, and workflow-final scores were retained separately and analyzed using MAE, RMSE, bias, Pearson correlation, ICC, Wilcoxon tests, standardized item-type errors, and review logs. The full-paper workflow-final scores had an MAE of 4.49 and an ICC of 0.972 and were significantly higher overall than the teacher-marked scores. The hybrid workflow-final scores had an MAE of 5.85 and an ICC of 0.944, with no significant difference in total score. After the Q10 geometric construction item was excluded, the full-paper bias narrowed to +0.32 and was no longer significant, whereas the hybrid scores became significantly lower. This change indicates that positive and negative item-type biases offset one another in the hybrid total scores. Both modes had a standardized MAE of approximately 24% on Q10. The item distribution of the system’s review-required flags also differed from the distribution of relative error across item types. These findings show that a nonsignificant total-score difference can conceal item-specific biases. In this test, Q10 required teacher review before final scoring, and model-reported flags alone were not sufficient to determine review priorities.</w:t>
      </w:r>
    </w:p>
    <w:p w14:paraId="0E4AA65D">
      <w:pPr>
        <w:keepLines w:val="0"/>
        <w:spacing w:before="0" w:after="120" w:line="264" w:lineRule="auto"/>
      </w:pPr>
      <w:r>
        <w:rPr>
          <w:rFonts w:ascii="Times New Roman" w:hAnsi="Times New Roman" w:eastAsia="宋体"/>
          <w:b/>
          <w:i w:val="0"/>
          <w:sz w:val="20"/>
        </w:rPr>
        <w:t>Keywords: artificial intelligence; junior secondary mathematics; AI-assisted grading; item-type error; teacher review</w:t>
      </w:r>
    </w:p>
    <w:p w14:paraId="40A4B908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一、问题提出</w:t>
      </w:r>
    </w:p>
    <w:p w14:paraId="0C332F9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《义务教育数学课程标准（2022年版）》提出，学生应在数与代数、图形与几何、统计与概率等内容学习中发展抽象能力、推理能力、模型观念和几何直观，并学会用符号、图形和推理过程表达数学理解[1]。初中数学纸笔答卷中可供评分的信息因此包括最终答案、解题步骤、图形、涂改和非标准表达。课堂评价研究认为，评价应服务于学习改进；解释测验分数时，还需联系学生的实际学习过程和教师据此作出的教学决策[2-4]。</w:t>
      </w:r>
    </w:p>
    <w:p w14:paraId="58ACD58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随着大语言模型和多模态大模型的发展，一些系统已经能够直接读取扫描答卷图像，并尝试为选择、填空、计算、证明和作图等题型给出分数与理由。这类技术为减轻重复批改、加快反馈和整理错因数据提供了可能。不过，在纸笔数学测验中，识别答案内容只是评分的第一步。填空题还要处理符号等价和作废答案，证明题要判断推理链条是否充分，作图题则要核对点线位置及几何关系是否成立。这些题型的评分都需要把识别结果放回题意和评分规则中判断。</w:t>
      </w:r>
    </w:p>
    <w:p w14:paraId="2C834B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从教育测量角度看，仅有相关系数或总体准确率，尚不足以判断自动评分是否适合教学使用。效度论证既要检查测验内容和评分过程，也要说明分数应如何解释、用于何种决策，以及可能产生什么后果[5-7]。自动评分还应针对模型、具体任务和实施流程分别评价，并在使用过程中持续监测[8]。评分量规应明确各类作答信息与表现水平的对应关系；遇到量规不能清楚处理的争议样本时，仍需保留教师的专业判断[9]。</w:t>
      </w:r>
    </w:p>
    <w:p w14:paraId="6418F9A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据此，本研究选取真实课堂中的两种 AI 阅卷工作流进行探索性比较。整卷模式保留一名学生的完整答卷上下文；混合分批模式把同一道题的多名学生作答区域裁切、拼接后批量输入。本研究只考察两种工作流在本次测试中的表现，不据此判断某一模型对初中数学测验的普遍适用性。具体研究四个问题：（1）两种工作流在总分和题型层面的评分一致性如何；（2）不同题型的误差方向和幅度在两种输入方式下有何差异；（3）系统复核标记能否覆盖本次测试中的高误差题型；（4）本次结果对教师复核安排有何启示。</w:t>
      </w:r>
    </w:p>
    <w:p w14:paraId="6F184A5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二、文献综述与分析框架</w:t>
      </w:r>
    </w:p>
    <w:p w14:paraId="3BAD2B2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（一）大模型自动评分及其评价边界</w:t>
      </w:r>
    </w:p>
    <w:p w14:paraId="723145F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已有研究尝试使用 LLM 对数学开放式作答题进行自动评分。Morris 等在 NAEP 数学开放式作答题上取得了接近人工评分的一致性，同时指出模型表现具有明显的题目专属性，跨任务泛化仍受限制[10]。Lee 等发现，思维链提示在同时提供题干和评分量规时才显著改善评分效果[11]。Wu 等进一步发现，LLM 实际采用的评分依据可能与人工量规不一致，有时会依赖表层线索或“捷径”作出判断[12]。在开放数学回答的评分与反馈生成中，不同模型的准确性和反馈质量也有差异[13]。这些结果提示，单项研究中较高的一致性不能直接推及其他题目或实施条件，具体题目仍需结合题干、评分量规和学生作答分别检验。</w:t>
      </w:r>
    </w:p>
    <w:p w14:paraId="1B8227F4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（二）手写数学与多模态证据识别</w:t>
      </w:r>
    </w:p>
    <w:p w14:paraId="7E1490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纸笔答卷给自动评分增加了视觉识别方面的困难。FERMAT 基准显示，VLM 在检测、定位和纠正手写数学中的计算、概念、符号和呈现错误时仍有明显短板[14]。DrawEduMath 使用教师标注的中小学生手绘数学图像，显示模型理解真实学生图形作答的能力仍有限[15]。CHECK-MAT 将国家统一考试中的真实手写解答与细化量规结合，结果表明自动评分需要同时处理视觉理解和数学推理[16]。VEHME 通过结构化推理数据训练和表达式感知视觉提示，提高了模型对开放式手写数学作答中错误的识别与定位能力[17]。针对学生手绘函数图像的研究也发现，通用视觉大模型在复杂图形判断上的稳定性仍然有限[18]。对作图题进行评分时，系统既要识别学生实际画出的内容，还要依据题意核对位置关系和几何条件。</w:t>
      </w:r>
    </w:p>
    <w:p w14:paraId="66D04C0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（三）人机协同、评分量规与国内实践</w:t>
      </w:r>
    </w:p>
    <w:p w14:paraId="3B911D76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在人机协同评分研究中，教师参与评分标准设计和提示词调整，并负责异常样本复核及结果使用。CoTAL 采用有人参与的提示词优化和主动学习，用于改进形成性评价评分[19]。近期两项预印本分别研究了手写数学与 STEM 测验中的人机协同评分流程。其中一项把参考解答、细化评分量规和多次独立评分结合起来，在一致性检查后由教师最终核验；另一项使用结构化输出模板、参考解答和评分规则，并设置空白作答检测、不一致标记及人工升级处理[20-21]。这些做法为复核流程设计提供了参考，但现有证据仍主要来自前沿技术探索。用于真实教学时，还需分别考察具体题目上的评分表现、评分依据能否说明以及教师需要承担的复核工作[8,22]。</w:t>
      </w:r>
    </w:p>
    <w:p w14:paraId="0C4C61B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国内智能评卷研究已经涉及扫描网上评卷、机器辅助质检和大模型全题型评分。纸笔智能网上评卷系统将主观题识别接入扫描阅卷流程[23]；高考网评实践考察了人工智能评分参与“一评”的人机协同方式[24]；大模型全题型阅卷研究讨论了辅助定标、评分质量和过程可解释性[25]。孙利君还将相关做法归纳为 AI 辅助质检、AI 参与赋分、专家辅助质检和双 AI 评分等实施模式[26]。在数学教育领域，人工智能已被用于课堂教学评价和数学交流环境分析[27]；生成式 AI 与动态可视化软件的整合研究也指出，数学任务需要相应的符号和图形工具支持[28]。智慧考试研究提出以数字化方式改进命题、投送、评分和评价流程[29]。可信赖教育人工智能研究则强调，系统应用应满足可靠、安全和可解释等要求，并保留人的最终责任[30]。</w:t>
      </w:r>
    </w:p>
    <w:p w14:paraId="71C5381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（四）基于数学作答证据结构的分析框架</w:t>
      </w:r>
    </w:p>
    <w:p w14:paraId="1049553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为比较两种工作流，本文把“题型适配”具体化为两个问题：某种输入方式能否呈现该题评分所需的作答内容，以及 AI 给出分数后还需要教师检查什么。这一处理参考了课程标准对符号、图形和推理表达的要求[1]、教育评价研究对任务与评分依据关系的讨论[4-9]，以及手写数学研究对符号识别、图形理解和空间关系判断局限的发现[14-18]。在本次试卷中，选择题主要依据选项标记；填空题还要处理等价表达和作废规则；计算题需要查看结果与步骤；证明题需要检查条件调用和推理是否完整；作图题则要核对点线位置、作图痕迹和几何关系。后文先报告各题型的误差，再结合输入图像和复核日志讨论教师需要介入的环节。这一分类只用于组织本案例的分析，不作为已经完成外部验证的理论模型。</w:t>
      </w:r>
    </w:p>
    <w:p w14:paraId="7EB3A839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三、研究设计</w:t>
      </w:r>
    </w:p>
    <w:p w14:paraId="1FD6AD2E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（一）研究对象与测试材料</w:t>
      </w:r>
    </w:p>
    <w:p w14:paraId="72056E46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研究纳入某校七年级两个教学班一次阶段测试的 78 份答卷。纳入条件是同一份答卷同时具有任课教师手改记录、整卷 AI 批改记录和混合分批 AI 批改记录，三类记录可按同一份答卷一一对应。测试基于北师大版七年级下册相关内容，覆盖轴对称、角平分线性质、最短路径、一次函数图像应用和几何证明。整卷与混合模式均按每份答卷 18 个题目/小问评分单元保存日志，各形成 78×18=1404 条学生—题目/小问记录。研究文本和案例图中的姓名、班级及学号均已匿名化。</w:t>
      </w:r>
    </w:p>
    <w:p w14:paraId="2FAA8291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1 试卷题型结构与评分任务特征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2F9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题号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5F4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题型及满分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2140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主要作答证据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F53A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AI 主要任务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B4CD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教师需查看并确认的内容</w:t>
            </w:r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246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Q1—Q5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F77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选择题，35分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AC4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选项标记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FCF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识别选项并匹配答案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CD87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查看多选、涂改或异常标记，确认有效选项</w:t>
            </w:r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C91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Q6—Q9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D2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填空题，32分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09B8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符号结果、等价表达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9D4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识别符号并校验等价性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72F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核对非标准表达是否等价，确认涂改后保留的答案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2D9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Q10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C9CC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作图题，11分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F34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点线位置、作图痕迹、几何关系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5589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标出识别到的点、线及疑似位置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BEC3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逐项核对点线位置及几何关系是否符合评分细则</w:t>
            </w:r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F806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Q11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A9D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计算/函数综合题，11分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3F6D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结果、函数关系、步骤链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1FB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提取步骤和最终结果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BA2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核对分段讨论及各步骤是否符合评分细则</w:t>
            </w:r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6F6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Q12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2C45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几何证明题，11分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92A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条件调用、逻辑链、结论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D61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列出识别到的条件、推理步骤及缺失环节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57B4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核对条件调用、推理衔接和结论是否完整</w:t>
            </w:r>
          </w:p>
        </w:tc>
      </w:tr>
    </w:tbl>
    <w:p w14:paraId="4DC8BEB9">
      <w:pPr>
        <w:spacing w:after="20"/>
      </w:pPr>
    </w:p>
    <w:p w14:paraId="4C49FA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（二）AI 阅卷系统与两种批改模式</w:t>
      </w:r>
    </w:p>
    <w:p w14:paraId="1E566E5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研究使用自研 AI 阅卷系统依次完成答卷定位、题目切片、模型调用和结构化结果解析，并在日志中保存模型返回的分数及复核相关字段。两种模式使用同一标准答案、同一评分细则和同一组提示要求：客观题按全对全错处理；已作废内容不计入答案；教师批改痕迹等非学生作答内容不作为评分依据；解答题列出识别到的关键步骤和缺失步骤。提示词还要求模型报告多候选答案、置信度和异常作答，供后续查看日志时使用。</w:t>
      </w:r>
    </w:p>
    <w:p w14:paraId="6994600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两种模式按以下方式组织输入图像。整卷模式将单名学生的整卷或整页图像输入 doubao-seed-2.0-pro，原答卷中的题目位置、跨区域作答和步骤顺序随页面一并呈现。混合分批模式先裁切同一道题的学生作答区域，再将多名学生的同题区域拼接；选择、填空题每批最多 15 人，解答题每批最多 4 人，拼接完成后输入参数相同的 doubao-seed-2.0-pro。混合模式不是对每名学生逐题单独调用模型，而是在一次调用中处理同题的多名学生作答，其设计目的是限制单次输入范围，并减少调用批次以控制调用时间和 token 支出。本文比较的是上述两种输入组织方式，现有结果未单独报告调用时间或 token 成本的比较数据。</w:t>
      </w:r>
    </w:p>
    <w:p w14:paraId="3EA18D8E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2 AI 阅卷的图像输入、模型参数与日志记录设置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920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543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本研究设置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1DF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核查所用记录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CFC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21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样本与日志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AA7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78份完整配对答卷；两模式各1404条日志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FB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手改表、两模式成绩表与日志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DB88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BF1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图像输入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A81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300 dpi；本轮两模式均未启用图像增强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C46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扫描图像、切片与拼图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C0A0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整卷：单名学生整页或整卷图像；混合：同题多名学生作答区域拼接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55E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533EC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整卷：doubao-seed-2.0-pro；</w:t>
            </w:r>
          </w:p>
          <w:p w14:paraId="3EAE8A0A"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混合：doubao-seed-2.0-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pro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215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F79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日志保存两种模式实际使用的模型名称</w:t>
            </w:r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A88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生成参数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3A90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temperature=0；top_p、top_k采用服务端默认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17C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调用配置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195B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2C1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评分约束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3B1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统一答案、评分细则和结构化提示词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543B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评分细则、提示词文档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E10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提示词包含作废内容处理、步骤提取和提示注入防护要求</w:t>
            </w:r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8FB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复核入口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870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模型输出“需要复核”字段，系统据此筛选记录供教师查看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BDC5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14070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lang w:val="en-US" w:eastAsia="zh-CN"/>
              </w:rPr>
              <w:t>该字段由模型报告置信度触发；置信度不作为正确概率</w:t>
            </w:r>
          </w:p>
        </w:tc>
      </w:tr>
    </w:tbl>
    <w:p w14:paraId="29328155">
      <w:pPr>
        <w:spacing w:after="20"/>
      </w:pPr>
    </w:p>
    <w:p w14:paraId="4F365CF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（三）分数定义、统计方法与案例选择</w:t>
      </w:r>
    </w:p>
    <w:p w14:paraId="66150E1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研究区分三类分数。“教师手改分”是任课教师依据统一评分细则在纸笔批改后登记的分数；“AI 原始分”是模型首次输出的分数；“流程最终分”是完成本轮系统复核流程后导出的成绩，可能沿用 AI 原始分，也可能在教师查看后调整。由于未设置第二评分者，教师手改分只作为本次课堂评分的专业参照，不被视为学生表现的绝对真值。本文据此考察两种 AI 批改结果与该教师手改分的差异及一致程度。</w:t>
      </w:r>
    </w:p>
    <w:p w14:paraId="502BAB2C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/>
          <w:i w:val="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/>
          <w:i w:val="0"/>
          <w:sz w:val="21"/>
        </w:rPr>
        <w:t>)、双向混合效应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绝对一致性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/>
          <w:i w:val="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/>
          <w:i w:val="0"/>
          <w:sz w:val="21"/>
        </w:rPr>
        <w:t>每条日志保存模型报告的置信度和“需要复核”字段；当该字段为“是”时，系统将该记录列为待教师查看。该字段由模型报告的置信度触发，本文分别统计“被标记需要复核”和“标记后流程最终分发生调整”两类记录。模型报告的置信度只作为筛选记录的信号，不解释为经过校准的正确概率。由于同一学生贡献多个题目/小问记录，同一题目也包含多名学生记录，1404 条日志并非相互独立，因此记录层结果只用于描述标记数量、题号分布和改分情况，不替代以 78 名学生为单位的总分一致性分析。</w:t>
      </w:r>
    </w:p>
    <w:p w14:paraId="1F750EA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为辅助解释 Q10 的评分分歧，研究从分歧较为典型的记录中目的性选取两个脱敏案例，比较原作答中可见的点、线、文字标注、重叠痕迹和浅色痕迹。案例图未呈现逐项模型输出，因此本文不据此反推模型的内部判断过程，也不把两个案例用于频率推断。该部分仅用于说明教师在复核作图题时实际需要查看哪些内容。</w:t>
      </w:r>
    </w:p>
    <w:p w14:paraId="15D4F6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四、研究结果</w:t>
      </w:r>
    </w:p>
    <w:p w14:paraId="7E8D44CD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（一）总分层面：整卷误差较小但整体偏高</w:t>
      </w:r>
    </w:p>
    <w:p w14:paraId="177F8596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3 AI 原始分与流程最终分相对于教师手改分的总分差异及一致性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C1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模式口径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E284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教师/AI均分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FC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Bias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B8E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MAE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02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RMSE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9A741">
            <w:pPr>
              <w:spacing w:after="0" w:line="240" w:lineRule="auto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2CD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ICC [95% CI]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353E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p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7B3A5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6E3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718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65.22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48A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+3.78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5C1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5.14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BBF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6.83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A27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0.975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615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0.963 [0.940, 0.976]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55F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D08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CFE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42A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64.10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511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+2.67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E2E2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4.49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9ED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5.90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B08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0.977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789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0.972 [0.955, 0.982]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067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3C1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7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69F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59.40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DBE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-2.03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1F9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78D1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8.27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355D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0.943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BA8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0.940 [0.897, 0.966]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7B2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0.092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3E9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A93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A40C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59.96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05BE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-1.48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398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5.85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FE4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7.95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FAC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0.946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F7E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0.944 [0.904, 0.969]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B7F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AC6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-0.16</w:t>
            </w:r>
          </w:p>
        </w:tc>
      </w:tr>
    </w:tbl>
    <w:p w14:paraId="68788820">
      <w:pPr>
        <w:spacing w:after="20"/>
      </w:pPr>
    </w:p>
    <w:p w14:paraId="576044A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3 显示，整卷模式流程最终分的 MAE 为 4.49、RMSE 为 5.90、ICC 为 0.972，但平均高于教师手改分 2.67 分，配对差异显著。混合模式流程最终分的 MAE 为 5.85、RMSE 为 7.95、ICC 为 0.944，平均低于教师手改分 1.48 分，配对差异不显著。在本样本中，整卷模式的绝对误差较小，但存在整体偏高；混合模式未检出显著的总分差异，也不能据此解释为没有偏差。表 3 未对两种模式各指标之差进行直接检验，因此不据这些数值判定一种模式总体优于另一种模式。</w:t>
      </w:r>
    </w:p>
    <w:p w14:paraId="00F8E995">
      <w:pPr>
        <w:keepLines/>
        <w:spacing w:after="2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1 流程最终分与教师手改分的 Bland–Altman 一致性分析</w:t>
      </w:r>
    </w:p>
    <w:p w14:paraId="30265F5E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（二）排除 Q10 后：整卷偏差收窄，混合偏低更加明显</w:t>
      </w:r>
    </w:p>
    <w:p w14:paraId="77115689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4 排除 Q10 作图题前后流程最终分与教师手改分的差异及一致性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7C9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675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范围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020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Bias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5E7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B08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087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ICC [95% CI]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534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p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4C4536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7C0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45B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478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C2A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4.49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F4B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5.90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2CAA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0.972 [0.955, 0.982]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623B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&lt;0.001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9C4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B3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B697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EF0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+0.32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14F6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27B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4.37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2BF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0.979 [0.965, 0.989]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82E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0.742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B69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4F48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4B9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DE7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-1.48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6CA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5.85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DCC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7.95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308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0.944 [0.904, 0.969]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B9F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0.241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63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C479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0761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E3D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-3.16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0E5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984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8.34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4D6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 [0.859, 0.958]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BF4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F66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</w:tr>
    </w:tbl>
    <w:p w14:paraId="0E7B12D9">
      <w:pPr>
        <w:spacing w:after="20"/>
      </w:pPr>
    </w:p>
    <w:p w14:paraId="1986F3F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排除 Q10 后，整卷模式的 Bias 由 +2.67 收窄至 +0.32，MAE 由 4.49 降至 2.67，配对差异不再显著；整卷总分偏高与 Q10 的正向偏差密切相关。混合模式的 Bias 则由 -1.48 变为 -3.16，且配对差异转为显著。表 5 显示，混合模式在 Q10 上的正向偏差与填空题、选择题和 Q11 的负向偏差部分抵消。因而，Q10 是否计入会明显改变两种模式的总分 Bias 及配对检验结果；总分层面“未检出显著差异”不能被解释为各题型均无系统性偏高或偏低。</w:t>
      </w:r>
    </w:p>
    <w:p w14:paraId="4B1FF493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2 排除 Q10 前后流程最终分的 Bias 变化</w:t>
      </w:r>
    </w:p>
    <w:p w14:paraId="67AA638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（三）题型层面：两种模式的误差分布不同</w:t>
      </w:r>
    </w:p>
    <w:p w14:paraId="75B7C0C3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5 不同题型下两种模式流程最终分的 MAE、相对 MAE 与 Bias</w:t>
      </w:r>
    </w:p>
    <w:tbl>
      <w:tblPr>
        <w:tblStyle w:val="33"/>
        <w:tblW w:w="98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657"/>
        <w:gridCol w:w="1349"/>
        <w:gridCol w:w="990"/>
        <w:gridCol w:w="1349"/>
        <w:gridCol w:w="990"/>
        <w:gridCol w:w="3216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702DA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题型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CCC1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满分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4103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整卷MAE</w:t>
            </w:r>
          </w:p>
          <w:p w14:paraId="67F4659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47A5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整卷Bias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1FF2E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混合MAE</w:t>
            </w:r>
          </w:p>
          <w:p w14:paraId="4C7FA6A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92B6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混合Bias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9AE39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 w:ascii="Times New Roman" w:hAnsi="Times New Roman" w:eastAsia="宋体"/>
                <w:b/>
                <w:sz w:val="16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9999A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选择题Q1—Q5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431F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B6C8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FDC5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D1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E85B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49CB8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 MAE 相同</w:t>
            </w:r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E0D4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填空题Q6—Q9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A213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D56C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1.29（4.0%）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C956C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+0.88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94E7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3.96（12.4%）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F43C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-3.94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E30F0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本样本中整卷 MAE 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93E1F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Q10作图题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F812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F9E23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2.68（24.4%）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F354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50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2.65（24.1%）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9096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+1.68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5AA05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两模式相对 MAE 均约为 24%</w:t>
            </w:r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49406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Q11计算/函数综合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51E4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C998F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1.00（9.1%）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05E5D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-0.92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7E1A2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0.60（5.4%）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321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-0.54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FF364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本样本中混合 MAE 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909F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Q12几何证明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08B9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EC52E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0.81（7.3%）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2FD7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1C85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1.97（17.9%）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A4D1A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+1.77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D1079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本样本中整卷 MAE 较低</w:t>
            </w:r>
          </w:p>
        </w:tc>
      </w:tr>
    </w:tbl>
    <w:p w14:paraId="09F0B0AB">
      <w:pPr>
        <w:spacing w:after="20"/>
      </w:pPr>
    </w:p>
    <w:p w14:paraId="224B99F4">
      <w:pPr>
        <w:keepLines w:val="0"/>
        <w:spacing w:before="0" w:after="60" w:line="300" w:lineRule="auto"/>
        <w:ind w:firstLine="420"/>
      </w:pPr>
      <w:r>
        <w:rPr>
          <w:rFonts w:hint="eastAsia" w:ascii="Times New Roman" w:hAnsi="Times New Roman" w:eastAsia="宋体"/>
          <w:i w:val="0"/>
          <w:sz w:val="21"/>
        </w:rPr>
        <w:t>表 5 和图 3 显示，选择题 Q1—Q5 中两种模式的 MAE 均为 0.45（1.3%）。填空题 Q6—Q9 中，整卷模式的 MAE 为 1.29（4.0%），混合模式为 3.96（12.4%）。Q10 作图题在整卷和混合模式下的 MAE 分别为 2.68（24.4%）和 2.65（24.1%），是本卷相对误差最高的题目。Q11 中混合模式的 MAE 较低，Q12 中整卷模式的 MAE 较低。由于每类题型只包含本卷中的有限题目，这些数值只描述本样本中的误差分布，不据此推断某一输入方式对某类题型具有稳定优势。</w:t>
      </w:r>
    </w:p>
    <w:p w14:paraId="304CA5C6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3 不同题型下两种 AI 批改模式的标准化 MAE</w:t>
      </w:r>
    </w:p>
    <w:p w14:paraId="49303831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（四）系统“需要复核”字段：标记数量、题号分布与后续改分</w:t>
      </w:r>
    </w:p>
    <w:p w14:paraId="33020FB5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6 两种模式中“需要复核”字段及相应改分记录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710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6F64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日志数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F2B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“需要复核”=是的日志数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413D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上述日志占比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C45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上述日志中发生分数调整的数量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D35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上述日志所在题号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C7C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补充说明</w:t>
            </w:r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F0A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3DD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539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635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450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1条，下调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6B8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Q10、Q11、Q12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2702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 条标记中 1 条分数下调</w:t>
            </w:r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554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8AE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430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6E5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D88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4条，均上调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6E85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Q3—Q9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D64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 条标记中 4 条分数上调；Q10、Q12 无标记</w:t>
            </w:r>
          </w:p>
        </w:tc>
      </w:tr>
    </w:tbl>
    <w:p w14:paraId="7C12DBBB">
      <w:pPr>
        <w:spacing w:after="20"/>
      </w:pPr>
    </w:p>
    <w:p w14:paraId="4AF38BEB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整卷模式在 1404 条日志中标记 18 条“需要复核”，标记率为 1.28%；其中 1 条记录的流程最终分下调，其余被标记记录未发生分数调整。混合模式标记 11 条，标记率为 0.78%；其中 4 条记录的流程最终分均上调，其余被标记记录未发生分数调整。整卷模式的标记主要位于 Q10、Q11 和 Q12，混合模式的标记主要位于 Q3—Q9，Q10 和 Q12 未被混合模式标记。表 5 中混合模式在 Q10 和 Q12 的相对 MAE 分别为 24.1% 和 17.9%，可见模型置信度触发的标记分布与题型相对误差的分布并不一致。本文没有“每条记录是否存在评分误差”与“是否被标记”的完整交叉数据，因此不能据表 6 计算该字段的敏感度、漏标率或误标率。</w:t>
      </w:r>
    </w:p>
    <w:p w14:paraId="7534FF18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（五）Q10 脱敏案例：可观察作图痕迹与评分分歧</w:t>
      </w:r>
    </w:p>
    <w:p w14:paraId="3672A277">
      <w:pPr>
        <w:keepLines/>
        <w:spacing w:after="20"/>
        <w:jc w:val="center"/>
      </w:pPr>
      <w:r>
        <w:drawing>
          <wp:inline distT="0" distB="0" distL="114300" distR="114300">
            <wp:extent cx="5759450" cy="1605915"/>
            <wp:effectExtent l="0" t="0" r="0" b="0"/>
            <wp:docPr id="4" name="Picture 4" descr="Q10 作图题中模型偏宽与偏严的两个脱敏作答证据案例" title="Q10 作图题中模型偏宽与偏严的两个脱敏作答证据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0 作图题中模型偏宽与偏严的两个脱敏作答证据案例" title="Q10 作图题中模型偏宽与偏严的两个脱敏作答证据案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521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4 Q10 作图题的两个脱敏作答案例</w:t>
      </w:r>
    </w:p>
    <w:p w14:paraId="159C6B6D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图 4 展示的两份脱敏作答中，可以直接观察到多条相交线段、点名和辅助作图痕迹，部分线条或标注较浅，不同线条在网格区域内相互重叠。图中未列出两个案例的教师手改分、AI 原始分、流程最终分及逐项模型输出，因此不能仅凭作答图像确定模型遗漏了哪一条线、采用了何种判断路径，也不能把评分分歧确定归因于整卷页面、裁切缩放或多名学生拼接。结合表 5 中整卷和混合模式在 Q10 上分别为 24.4% 和 24.1% 的相对 MAE，这两个案例只能说明：识别到点线痕迹与正确确认点线归属、交点位置及几何关系并不是同一个评分步骤；案例本身不能证明某一种输入方式必然造成偏宽或偏严。</w:t>
      </w:r>
    </w:p>
    <w:p w14:paraId="4B74D95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五、讨论</w:t>
      </w:r>
    </w:p>
    <w:p w14:paraId="7EF38AF6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（一）总分结果需要结合题型偏差解读</w:t>
      </w:r>
    </w:p>
    <w:p w14:paraId="6B960E8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4 和表 5 显示，整卷模式各题型的 Bias 相加为 -0.45+0.88+2.35-0.92+0.81=+2.67，其中 Q10 的 +2.35 约占总 Bias 的 88%，整卷总分偏高主要由这道作图题造成。混合模式中，选择题、填空题和 Q11 的负向 Bias 合计为 -4.93，Q10 和 Q12 的正向 Bias 合计为 +3.45，抵消后总 Bias 为 -1.48。因而，混合模式总分差异不显著，并不表示各题型都与教师评分接近。本次结果说明，总分指标需要与题型 Bias 和具体作答记录一并查看，尤其要核查是否有少数题目集中拉高或拉低总分。</w:t>
      </w:r>
    </w:p>
    <w:p w14:paraId="687C68A9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（二）两种输入方式在本次试卷中的表现差异</w:t>
      </w:r>
    </w:p>
    <w:p w14:paraId="59D098A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5 中，Q12 的整卷 MAE 为 0.81，低于混合模式的 1.97；Q11 的结果相反，混合模式的 MAE 为 0.60，低于整卷模式的 1.00。一个可能的解释是，Q12 的证明需要连续查看同一名学生调用条件和推出结论的过程，整卷输入保留了完整页面；Q11 的关键步骤较短，裁切后集中呈现可能更便于核对。填空题 Q6—Q9 中，整卷 MAE 为 1.29，混合模式为 3.96，也说明缩小作答区域并不必然降低误差。由于本研究没有单独操控裁切范围、每批人数和上下文长度，这些事后解释尚不能证明某种输入方式对某类题型具有固定优势，只能作为下一轮对照研究需要检验的假设。</w:t>
      </w:r>
    </w:p>
    <w:p w14:paraId="34393516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（三）Q10 作图题的误差来源与复核要求</w:t>
      </w:r>
    </w:p>
    <w:p w14:paraId="4BC1DF33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5 中，Q10 在整卷和混合模式下的标准化 MAE 分别为 24.4% 和 24.1%，明显高于本试卷其他题型；排除 Q10 后，整卷模式的 Bias 又由 +2.67 降至 +0.32。图 4 中可以看到点线重叠、浅色线条和文字标注等复核难点，但现有材料不能确定模型在每个案例中具体遗漏了什么。两种模式使用同一次 300 dpi 扫描，且均未启用图像增强，这使扫描来源和名义分辨率保持一致，但不能据此排除图像因素；手写深浅、线条重叠、裁切和缩放仍可能影响作答内容是否清楚。对 Q10 这类题，教师仍需按评分细则逐项核对点线位置和几何关系。AI 可以协助呈现原图、裁切图和疑似痕迹，不宜单独决定最终得分。</w:t>
      </w:r>
    </w:p>
    <w:p w14:paraId="4EE7B8DF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（四）系统复核标记的用途与限度</w:t>
      </w:r>
    </w:p>
    <w:p w14:paraId="2451E78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6 显示，整卷模式在 1404 条日志中标记 18 条需复核记录，标记率为 1.28%，复核后仅有 1 条下调；混合模式标记 11 条，标记率为 0.78%，其中 4 条复核后上调。更值得注意的是，混合模式的标记主要分布在 Q3—Q9，却没有覆盖表 5 中误差较高的 Q10 和 Q12。本研究没有对模型报告的置信度进行概率校准，也没有对同一图像进行重复调用，因此该字段不能解释为答对概率，也不能用于判断输出是否稳定。实际使用时，它只能作为追加复核的提示。就本次结果而言，Q10 应直接进入教师复核，Q6—Q9 需重点核对等价表达和作废答案，Q11、Q12 则需查看关键步骤或证明过程是否完整；系统标记只是在这些检查之外增加一条提醒。</w:t>
      </w:r>
    </w:p>
    <w:p w14:paraId="6C62ADF7">
      <w:pPr>
        <w:keepNext w:val="0"/>
        <w:keepLines/>
        <w:spacing w:before="40" w:after="40" w:line="240" w:lineRule="auto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/>
          <w:sz w:val="21"/>
        </w:rPr>
        <w:t>表 7 本次题型结果与暂定处理方式</w:t>
      </w:r>
    </w:p>
    <w:tbl>
      <w:tblPr>
        <w:tblStyle w:val="33"/>
        <w:tblW w:type="dxa" w:w="918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40"/>
        <w:gridCol w:w="3061"/>
        <w:gridCol w:w="2683"/>
      </w:tblGrid>
      <w:tr>
        <w:trPr>
          <w:tblHeader w:val="true"/>
        </w:trPr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本次证据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暂定处理方式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结论边界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Q1—Q5：两模式 MAE 均为 0.45（1.3%）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批量识别；多选、涂改等异常作答由教师核对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仅适用于本次选择题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Q6—Q9：整卷 MAE 为 1.29（4.0%），混合为 3.96（12.4%）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核对等价表达、作废答案和替换答案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尚不能确定固定输入方式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Q10：整卷和混合 MAE 分别为 2.68（24.4%）和 2.65（24.1%）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教师逐项复核并确定最终得分；AI 仅整理图像和提示疑似痕迹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本次证据最明确的处理建议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Q11：混合 MAE 为 0.60（5.4%），整卷为 1.00（9.1%）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后续试卷继续检验局部呈现方式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不据此宣称稳定优势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Q12：整卷 MAE 为 0.81（7.3%），混合为 1.97（17.9%）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后续试卷继续检验单份完整答卷的呈现方式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不据此宣称稳定优势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整卷、混合分别标记 18 条和 11 条；复核后调整 1 条和 4 条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系统标记只作为追加复核提示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本研究未验证其检出能力</w:t>
            </w:r>
          </w:p>
        </w:tc>
      </w:tr>
    </w:tbl>
    <w:p w14:paraId="41887EE0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（五）本次结果支持的使用判断</w:t>
      </w:r>
    </w:p>
    <w:p w14:paraId="30E2534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3 中，整卷流程最终分的 MAE 为 4.49、ICC 为 0.972，但 Bias 为 +2.67，且与教师手改分的差异显著；混合流程最终分的 MAE 为 5.85、ICC 为 0.944，总 Bias 为 -1.48，总分差异不显著。表 4 和表 5 进一步表明，后一结果包含不同题型偏差的抵消，Q10 又是两种模式共同的高误差题目。表 6 还显示，系统复核标记没有覆盖混合模式下的 Q10 和 Q12。综合这些结果，本研究可以支持的判断是：总分一致性不足以决定某类题能否交由 AI 终评，Q10 应保留教师复核，系统复核标记只能作为补充提醒。本研究尚不能证明这套题型安排适用于其他年级、试卷或模型。</w:t>
      </w:r>
    </w:p>
    <w:p w14:paraId="3686553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（六）研究局限</w:t>
      </w:r>
    </w:p>
    <w:p w14:paraId="4B2DD80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本研究只分析了同一学校两个教学班的一次测试，共 78 份完整配对答卷，表 5 中的每类题型又只包含有限题目；图 4 的两个 Q10 案例是从分歧记录中目的性选取的，不能代表该题所有错误。教师手改没有设置第二评分者，研究者同时参与系统设计、课堂评分和结果解释，因此教师分也不能视为不受影响的绝对标准。模型未对同一图像重复调用，top_p、top_k 采用服务端默认参数，表 6 中的标记率也不足以评价复核提示的检出能力。后续研究需要在不同学校和试卷中预先设定待检验的题型处理方式，加入独立教师双评分和分歧仲裁，并分别改变裁切范围、拼图人数和重复调用次数，检验本次观察到的差异能否再次出现。</w:t>
      </w:r>
    </w:p>
    <w:p w14:paraId="1016021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六、结论与建议</w:t>
      </w:r>
    </w:p>
    <w:p w14:paraId="036A8AB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本研究比较了 78 份初中数学纸笔答卷在整卷和混合分批两种 AI 阅卷方式下的结果。整卷流程最终分的 MAE 为 4.49、Bias 为 +2.67；排除 Q10 后，Bias 降至 +0.32。混合流程最终分的总 Bias 为 -1.48，但排除 Q10 后变为 -3.16，说明其总分结果包含正负题型偏差的抵消。两种模式在 Q10 上的标准化 MAE 均约为 24%。这些结果提示，在本次试卷中，判断 AI 阅卷是否可用，不能只看总分相关或总分差异，还需要查看误差集中在哪些题目以及这些题目的评分依据是什么。</w:t>
      </w:r>
    </w:p>
    <w:p w14:paraId="62B48EDE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本次结果可用于调整下一轮试用方案，但不能直接写成普遍适用的题型规则。Q1—Q5 可继续采用批量识别和规则比对，对多选、涂改等异常作答另行复核；Q6—Q9 需要保留等价表达和作废答案检查，本研究尚不足以确定固定采用整卷还是局部输入。Q11 在本次混合模式下误差较低，Q12 在整卷模式下误差较低，这两种呈现方式可以在后续试卷中继续对照。Q10 应由教师逐项核对并决定最终得分，AI 只协助整理图像和提示疑似痕迹。系统“需要复核”、模型报告的低置信度、多候选答案以及异常零分或满分，可作为追加复核的原因；跨模式分歧只有在同时运行两种方式时才可使用，不能作为日常流程的必要条件。</w:t>
      </w:r>
    </w:p>
    <w:p w14:paraId="40978463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本研究的直接证据限于本次测试：总分结果掩盖了明显的题型差异，Q10 对整卷总分偏差影响较大，系统复核标记又没有覆盖混合模式下误差较高的 Q10 和 Q12。由此提出的处理建议是，实际使用时保留题目层面的误差检查，并由教师复核作图关系、等价表达、长步骤推理和争议分数。这些处理方式仍需在更多学校、试卷和独立评分条件下验证。</w:t>
      </w:r>
    </w:p>
    <w:p w14:paraId="6A021E17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参考文献</w:t>
      </w:r>
    </w:p>
    <w:p w14:paraId="3D7B251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[1] 中华人民共和国教育部. 义务教育数学课程标准（2022年版）[S]. 北京: 北京师范大学出版社, 2022.</w:t>
      </w:r>
    </w:p>
    <w:p w14:paraId="542E5D53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[2] Black P, Wiliam D. Assessment and classroom learning[J]. Assessment in Education: Principles, Policy &amp; Practice, 1998, 5(1): 7-74. DOI:10.1080/0969595980050102.</w:t>
      </w:r>
    </w:p>
    <w:p w14:paraId="52016E3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[3] National Research Council. Knowing What Students Know: The Science and Design of Educational Assessment[M]. Washington, DC: National Academy Press, 2001. DOI:10.17226/10019.</w:t>
      </w:r>
    </w:p>
    <w:p w14:paraId="7928D9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[4] 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[5] </w:t>
      </w:r>
      <w:r>
        <w:rPr>
          <w:rFonts w:hint="eastAsia" w:ascii="Times New Roman" w:hAnsi="Times New Roman" w:eastAsia="宋体"/>
          <w:b w:val="0"/>
          <w:sz w:val="17"/>
        </w:rPr>
        <w:t>Messick S, Linn R L. Educational measurement[J]. Validity, 1989: 13-103.</w:t>
      </w:r>
    </w:p>
    <w:p w14:paraId="47C136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[6] Kane M T. Validating the interpretations and uses of test scores[J]. Journal of Educational Measurement, 2013, 50(1): 1-73.</w:t>
      </w:r>
    </w:p>
    <w:p w14:paraId="0021950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[7] 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[8] </w:t>
      </w:r>
      <w:r>
        <w:rPr>
          <w:rFonts w:hint="eastAsia" w:ascii="Times New Roman" w:hAnsi="Times New Roman" w:eastAsia="宋体"/>
          <w:b w:val="0"/>
          <w:sz w:val="17"/>
        </w:rPr>
        <w:t>Williamson D M, Xi X, Breyer F J. A framework for evaluation and use of automated scoring[J]. Educational measurement: issues and practice, 2012, 31(1): 2-13.</w:t>
      </w:r>
    </w:p>
    <w:p w14:paraId="06E948AC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[9] Brookhart S M. How to Create and Use Rubrics for Formative Assessment and Grading[M]. Alexandria, VA: ASCD, 2013.</w:t>
      </w:r>
    </w:p>
    <w:p w14:paraId="30AAA7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[10] </w:t>
      </w:r>
      <w:r>
        <w:rPr>
          <w:rFonts w:hint="eastAsia" w:ascii="Times New Roman" w:hAnsi="Times New Roman" w:eastAsia="宋体"/>
          <w:b w:val="0"/>
          <w:sz w:val="17"/>
        </w:rPr>
        <w:t>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[11] </w:t>
      </w:r>
      <w:r>
        <w:rPr>
          <w:rFonts w:hint="eastAsia" w:ascii="Times New Roman" w:hAnsi="Times New Roman" w:eastAsia="宋体"/>
          <w:b w:val="0"/>
          <w:sz w:val="17"/>
        </w:rPr>
        <w:t>Lee G G, Latif E, Wu X, et al. Applying large language models and chain-of-thought for automatic scoring[J]. Computers and Education: Artificial Intelligence, 2024, 6: 100213.</w:t>
      </w:r>
    </w:p>
    <w:p w14:paraId="21D0DB2E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[12] 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[13] </w:t>
      </w:r>
      <w:r>
        <w:rPr>
          <w:rFonts w:hint="eastAsia" w:ascii="Times New Roman" w:hAnsi="Times New Roman" w:eastAsia="宋体"/>
          <w:b w:val="0"/>
          <w:sz w:val="17"/>
        </w:rPr>
        <w:t>Baral S, Worden E, Lim W C, et al. Automated feedback in math education: A comparative analysis of LLMs for open-ended responses[EB/OL]. arXiv:2411.08910, 2024.</w:t>
      </w:r>
    </w:p>
    <w:p w14:paraId="4E667D4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[14] 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[15] 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[16] 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[17] Nguyen T P, Nguyen D M, Jeon H, et al. VEHME: A vision-language model for evaluating handwritten mathematics expressions[C]//Proceedings of EMNLP 2025. Suzhou: ACL, 2025: 31793-31813.</w:t>
      </w:r>
    </w:p>
    <w:p w14:paraId="35D9751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[18] Parsaeifard B, Hlosta M, Bergamin P. Automated grading of students’ handwritten graphs: A comparison of meta-learning and vision-large language models[EB/OL]. arXiv:2507.03056, 2025.</w:t>
      </w:r>
    </w:p>
    <w:p w14:paraId="08D350A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[19] </w:t>
      </w:r>
      <w:r>
        <w:rPr>
          <w:rFonts w:hint="eastAsia" w:ascii="Times New Roman" w:hAnsi="Times New Roman" w:eastAsia="宋体"/>
          <w:b w:val="0"/>
          <w:sz w:val="17"/>
        </w:rPr>
        <w:t>Cohn C, Mohammed N, Biswas G. CoTAL: Human-in-the-Loop Prompt Engineering for Generalizable Formative Assessment Scoring[J]. arXiv preprint arXiv:2504.02323, 2025.</w:t>
      </w:r>
    </w:p>
    <w:p w14:paraId="47FDF8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[20] </w:t>
      </w:r>
      <w:r>
        <w:rPr>
          <w:rFonts w:hint="eastAsia" w:ascii="Times New Roman" w:hAnsi="Times New Roman" w:eastAsia="宋体"/>
          <w:b w:val="0"/>
          <w:sz w:val="17"/>
        </w:rPr>
        <w:t>Vanhoyweghen A, Holst V, Mobini M, et al. Human-in-the-Loop LLM Grading for Handwritten Mathematics Assessments[J]. arXiv preprint arXiv:2603.13083, 2026.</w:t>
      </w:r>
    </w:p>
    <w:p w14:paraId="74AA8D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[21] </w:t>
      </w:r>
      <w:r>
        <w:rPr>
          <w:rFonts w:hint="eastAsia" w:ascii="Times New Roman" w:hAnsi="Times New Roman" w:eastAsia="宋体"/>
          <w:b w:val="0"/>
          <w:sz w:val="17"/>
        </w:rPr>
        <w:t>Perš J, Muhovič J, Košir A, et al. Grading Handwritten Engineering Exams with Multimodal Large Language Models[J]. arXiv preprint arXiv:2601.00730, 2026.</w:t>
      </w:r>
    </w:p>
    <w:p w14:paraId="7110F8D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[22] </w:t>
      </w:r>
      <w:r>
        <w:rPr>
          <w:rFonts w:hint="eastAsia" w:ascii="Times New Roman" w:hAnsi="Times New Roman" w:eastAsia="宋体"/>
          <w:b w:val="0"/>
          <w:sz w:val="17"/>
        </w:rPr>
        <w:t>Le Ying T, Hu S, Yeo D J, et al. A comprehensive review on automated grading systems in STEM using AI techniques[J]. Mathematics, 2025, 13(17): 2828.</w:t>
      </w:r>
    </w:p>
    <w:p w14:paraId="7C2F91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[23] 汪张龙, 徐俊, 李晓臻, 等. 纸笔考试智能网上评卷系统的设计和应用——智能教育应用之</w:t>
      </w:r>
      <w:r>
        <w:rPr>
          <w:rFonts w:hint="eastAsia"/>
          <w:b w:val="0"/>
          <w:sz w:val="17"/>
          <w:lang w:eastAsia="zh-CN"/>
        </w:rPr>
        <w:t>“</w:t>
      </w:r>
      <w:r>
        <w:rPr>
          <w:rFonts w:ascii="Times New Roman" w:hAnsi="Times New Roman" w:eastAsia="宋体"/>
          <w:b w:val="0"/>
          <w:sz w:val="17"/>
        </w:rPr>
        <w:t>考试评价</w:t>
      </w:r>
      <w:r>
        <w:rPr>
          <w:rFonts w:hint="eastAsia"/>
          <w:b w:val="0"/>
          <w:sz w:val="17"/>
          <w:lang w:eastAsia="zh-CN"/>
        </w:rPr>
        <w:t>”</w:t>
      </w:r>
      <w:r>
        <w:rPr>
          <w:rFonts w:ascii="Times New Roman" w:hAnsi="Times New Roman" w:eastAsia="宋体"/>
          <w:b w:val="0"/>
          <w:sz w:val="17"/>
        </w:rPr>
        <w:t>篇[J]. 现代教育技术, 2018, 28(3): 5-11.</w:t>
      </w:r>
    </w:p>
    <w:p w14:paraId="6EDDB43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[24] 何屹松, 孙媛媛, 江光贤, 等. 人工智能评分参与高考网评一评的应用实践[J]. 中国考试, 2021(9): 40-46.</w:t>
      </w:r>
    </w:p>
    <w:p w14:paraId="50A4761B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[25] </w:t>
      </w:r>
      <w:r>
        <w:rPr>
          <w:rFonts w:hint="eastAsia" w:ascii="Times New Roman" w:hAnsi="Times New Roman" w:eastAsia="宋体"/>
          <w:b w:val="0"/>
          <w:sz w:val="17"/>
        </w:rPr>
        <w:t>王冠,魏兰.人工智能大模型技术在教育考试全题型阅卷中的应用[J].教育测量与评价, 2024(3):3-18.</w:t>
      </w:r>
    </w:p>
    <w:p w14:paraId="7A9621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[26] 孙利君. 人工智能辅助评卷的模式研究[J]. 浙江考试, 2025, No.443(2): 3-6.</w:t>
      </w:r>
    </w:p>
    <w:p w14:paraId="1F35AE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[27] 苏洪雨, 叶珊, 许世红, 等. 基于人工智能赋能教学评价的数学交流环境研究[J]. 数学教育学报, 2025, 34(3): 1-8.</w:t>
      </w:r>
    </w:p>
    <w:p w14:paraId="57901B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[28] 邵铭宇, 魏亮, 李均强, 等. 生成式人工智能与动态可视化软件整合：原理、应用与展望[J]. 数学教育学报, 2025, 34(4): 27-35.</w:t>
      </w:r>
    </w:p>
    <w:p w14:paraId="47C2A69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[29] 于涵. 打造智慧考试 服务智慧教育[J]. 中国考试, 2023(5): 1-10.</w:t>
      </w:r>
    </w:p>
    <w:p w14:paraId="454895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[30] 沈苑, 胡梦圆, 范逸洲, 汪琼. 可信赖人工智能教育应用的建设路径与现实启示——以英国典型举措为例[J]. 现代远程教育研究, 2023, 35(4): 65-74.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7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taiwaneseCountingThousand"/>
      <w:suff w:val="nothing"/>
      <w:lvlText w:val="（%1）"/>
      <w:lvlJc w:val="left"/>
      <w:pPr>
        <w:tabs>
          <w:tab w:val="left" w:pos="0"/>
        </w:tabs>
        <w:ind w:left="0" w:firstLine="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D463D8"/>
    <w:rsid w:val="107B4D5D"/>
    <w:rsid w:val="11867E5D"/>
    <w:rsid w:val="12766290"/>
    <w:rsid w:val="15B8610B"/>
    <w:rsid w:val="17C85625"/>
    <w:rsid w:val="183E404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475FCF"/>
    <w:rsid w:val="73316424"/>
    <w:rsid w:val="73DB3FB6"/>
    <w:rsid w:val="74940C67"/>
    <w:rsid w:val="74EB5F6E"/>
    <w:rsid w:val="74FB2A94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9616</Words>
  <Characters>16725</Characters>
  <Lines>0</Lines>
  <Paragraphs>0</Paragraphs>
  <TotalTime>2</TotalTime>
  <ScaleCrop>false</ScaleCrop>
  <LinksUpToDate>false</LinksUpToDate>
  <CharactersWithSpaces>18065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匿名</dc:creator>
  <dc:description>generated by python-docx</dc:description>
  <cp:keywords>人工智能; 初中数学; 智能阅卷; 题型适配; 人机协同</cp:keywords>
  <cp:lastModifiedBy>Déraciné</cp:lastModifiedBy>
  <dcterms:modified xsi:type="dcterms:W3CDTF">2026-06-18T16:41:09Z</dcterms:modified>
  <dc:subject>探索性案例研究</dc:subject>
  <dc:title>初中数学纸笔测验中 AI 阅卷的题型适配与教师复核机制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eyJoZGlkIjoiYmM2ZDkxMWM4YmQ4YTQ0NWM3YTZhZTMzMGIxMTY1ZGEiLCJ1c2VySWQiOiIxMDQxMDQxMjg3In0=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C82B6005AD5A400485EB2405391BDE4C_12</vt:lpwstr>
  </property>
</Properties>
</file>