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AA0" w:rsidRPr="006C7CD5" w:rsidRDefault="00923F6E">
      <w:pPr>
        <w:rPr>
          <w:rFonts w:cstheme="minorHAnsi"/>
        </w:rPr>
      </w:pPr>
      <w:proofErr w:type="spellStart"/>
      <w:r>
        <w:rPr>
          <w:rFonts w:cstheme="minorHAnsi"/>
        </w:rPr>
        <w:t>MOCCal</w:t>
      </w:r>
      <w:proofErr w:type="spellEnd"/>
      <w:r>
        <w:rPr>
          <w:rFonts w:cstheme="minorHAnsi"/>
        </w:rPr>
        <w:t xml:space="preserve"> TUTORIAL</w:t>
      </w:r>
    </w:p>
    <w:p w:rsidR="001A518D" w:rsidRPr="006C7CD5" w:rsidRDefault="001A518D">
      <w:pPr>
        <w:rPr>
          <w:rFonts w:cstheme="minorHAnsi"/>
        </w:rPr>
      </w:pPr>
    </w:p>
    <w:p w:rsidR="0095032E" w:rsidRPr="003C147D" w:rsidRDefault="0095032E" w:rsidP="0095032E">
      <w:pPr>
        <w:rPr>
          <w:rFonts w:cstheme="minorHAnsi"/>
        </w:rPr>
      </w:pPr>
      <w:r>
        <w:rPr>
          <w:rFonts w:cstheme="minorHAnsi"/>
          <w:b/>
          <w:bCs/>
        </w:rPr>
        <w:t xml:space="preserve">GUI #1. </w:t>
      </w:r>
      <w:r>
        <w:rPr>
          <w:rFonts w:cstheme="minorHAnsi"/>
        </w:rPr>
        <w:t xml:space="preserve">The first GUI will ask you for your Enhanced Duty Cycle (EDC) delay coefficient. This value is instrument-dependent and will typically fall between 1.4-1.6. </w:t>
      </w:r>
    </w:p>
    <w:p w:rsidR="006C7CD5" w:rsidRDefault="006C7CD5">
      <w:pPr>
        <w:rPr>
          <w:rFonts w:cstheme="minorHAnsi"/>
        </w:rPr>
      </w:pPr>
    </w:p>
    <w:p w:rsidR="0095032E" w:rsidRDefault="0095032E" w:rsidP="0095032E">
      <w:pPr>
        <w:jc w:val="center"/>
        <w:rPr>
          <w:rFonts w:cstheme="minorHAnsi"/>
        </w:rPr>
      </w:pPr>
      <w:r>
        <w:rPr>
          <w:noProof/>
        </w:rPr>
        <w:drawing>
          <wp:inline distT="0" distB="0" distL="0" distR="0" wp14:anchorId="6B8C18A6" wp14:editId="789A88B2">
            <wp:extent cx="207645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678" b="3937"/>
                    <a:stretch/>
                  </pic:blipFill>
                  <pic:spPr bwMode="auto">
                    <a:xfrm>
                      <a:off x="0" y="0"/>
                      <a:ext cx="2076450" cy="1162050"/>
                    </a:xfrm>
                    <a:prstGeom prst="rect">
                      <a:avLst/>
                    </a:prstGeom>
                    <a:ln>
                      <a:noFill/>
                    </a:ln>
                    <a:extLst>
                      <a:ext uri="{53640926-AAD7-44D8-BBD7-CCE9431645EC}">
                        <a14:shadowObscured xmlns:a14="http://schemas.microsoft.com/office/drawing/2010/main"/>
                      </a:ext>
                    </a:extLst>
                  </pic:spPr>
                </pic:pic>
              </a:graphicData>
            </a:graphic>
          </wp:inline>
        </w:drawing>
      </w:r>
    </w:p>
    <w:p w:rsidR="0095032E" w:rsidRDefault="0095032E">
      <w:pPr>
        <w:rPr>
          <w:rFonts w:cstheme="minorHAnsi"/>
        </w:rPr>
      </w:pPr>
    </w:p>
    <w:p w:rsidR="00C20B9A" w:rsidRDefault="00C20B9A">
      <w:pPr>
        <w:rPr>
          <w:rFonts w:cstheme="minorHAnsi"/>
        </w:rPr>
      </w:pPr>
    </w:p>
    <w:p w:rsidR="00C20B9A" w:rsidRPr="009B157D" w:rsidRDefault="00C20B9A" w:rsidP="00C20B9A">
      <w:pPr>
        <w:rPr>
          <w:rFonts w:cstheme="minorHAnsi"/>
        </w:rPr>
      </w:pPr>
      <w:r>
        <w:rPr>
          <w:rFonts w:cstheme="minorHAnsi"/>
          <w:b/>
          <w:bCs/>
        </w:rPr>
        <w:t xml:space="preserve">GUI #2. </w:t>
      </w:r>
      <w:r>
        <w:rPr>
          <w:rFonts w:cstheme="minorHAnsi"/>
          <w:bCs/>
        </w:rPr>
        <w:t xml:space="preserve">The second GUI will facilitate data importation. </w:t>
      </w:r>
      <w:r w:rsidRPr="00A85715">
        <w:rPr>
          <w:rFonts w:cstheme="minorHAnsi"/>
        </w:rPr>
        <w:t xml:space="preserve">For CCS Calibration, </w:t>
      </w:r>
      <w:r w:rsidRPr="00A85715">
        <w:rPr>
          <w:rFonts w:eastAsia="Times New Roman" w:cstheme="minorHAnsi"/>
        </w:rPr>
        <w:t>reference standards from each biomolecular class of interest will need to be chosen. Standards should ideally cover the mass ranges of experimental analytes</w:t>
      </w:r>
      <w:r>
        <w:rPr>
          <w:rFonts w:eastAsia="Times New Roman" w:cstheme="minorHAnsi"/>
        </w:rPr>
        <w:t>. Calibrant solutions should be collected via infusion</w:t>
      </w:r>
    </w:p>
    <w:p w:rsidR="0095032E" w:rsidRDefault="0095032E">
      <w:pPr>
        <w:rPr>
          <w:rFonts w:cstheme="minorHAnsi"/>
        </w:rPr>
      </w:pPr>
    </w:p>
    <w:p w:rsidR="0095032E" w:rsidRDefault="00C20B9A">
      <w:pPr>
        <w:rPr>
          <w:rFonts w:cstheme="minorHAnsi"/>
        </w:rPr>
      </w:pPr>
      <w:r>
        <w:rPr>
          <w:noProof/>
        </w:rPr>
        <w:drawing>
          <wp:inline distT="0" distB="0" distL="0" distR="0" wp14:anchorId="76E603B7" wp14:editId="7A29E094">
            <wp:extent cx="5791200" cy="513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5133975"/>
                    </a:xfrm>
                    <a:prstGeom prst="rect">
                      <a:avLst/>
                    </a:prstGeom>
                  </pic:spPr>
                </pic:pic>
              </a:graphicData>
            </a:graphic>
          </wp:inline>
        </w:drawing>
      </w:r>
    </w:p>
    <w:p w:rsidR="00CF5673" w:rsidRDefault="00CF5673" w:rsidP="00C519D1">
      <w:pPr>
        <w:rPr>
          <w:rFonts w:cstheme="minorHAnsi"/>
          <w:b/>
        </w:rPr>
      </w:pPr>
    </w:p>
    <w:p w:rsidR="00C519D1" w:rsidRDefault="00C519D1" w:rsidP="00C519D1">
      <w:r>
        <w:rPr>
          <w:rFonts w:cstheme="minorHAnsi"/>
          <w:b/>
        </w:rPr>
        <w:t xml:space="preserve">GUI #2A. </w:t>
      </w:r>
      <w:r>
        <w:t xml:space="preserve">The first selection option allows for you to choose which classes are present in your data. The choices are Lipids, Small Molecules, and Peptides, with “Peptides” having the functionality to calibrate singly, doubly, and triply charged peptides. Standards are required for each class chosen. You may choose any combination of these classes, as long as you have corresponding calibration data. </w:t>
      </w:r>
    </w:p>
    <w:p w:rsidR="0095032E" w:rsidRDefault="0095032E">
      <w:pPr>
        <w:rPr>
          <w:rFonts w:cstheme="minorHAnsi"/>
        </w:rPr>
      </w:pPr>
    </w:p>
    <w:p w:rsidR="0095032E" w:rsidRDefault="00C519D1" w:rsidP="00C519D1">
      <w:pPr>
        <w:jc w:val="center"/>
        <w:rPr>
          <w:rFonts w:cstheme="minorHAnsi"/>
        </w:rPr>
      </w:pPr>
      <w:r>
        <w:rPr>
          <w:noProof/>
        </w:rPr>
        <w:drawing>
          <wp:inline distT="0" distB="0" distL="0" distR="0" wp14:anchorId="34A104D2" wp14:editId="2042A95C">
            <wp:extent cx="51054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790575"/>
                    </a:xfrm>
                    <a:prstGeom prst="rect">
                      <a:avLst/>
                    </a:prstGeom>
                  </pic:spPr>
                </pic:pic>
              </a:graphicData>
            </a:graphic>
          </wp:inline>
        </w:drawing>
      </w:r>
    </w:p>
    <w:p w:rsidR="000A77D6" w:rsidRDefault="000A77D6" w:rsidP="00B5191D"/>
    <w:p w:rsidR="001018D5" w:rsidRDefault="001018D5" w:rsidP="00C519D1">
      <w:pPr>
        <w:rPr>
          <w:b/>
        </w:rPr>
      </w:pPr>
    </w:p>
    <w:p w:rsidR="00CF5673" w:rsidRDefault="00CF5673" w:rsidP="00C519D1">
      <w:pPr>
        <w:rPr>
          <w:b/>
        </w:rPr>
      </w:pPr>
    </w:p>
    <w:p w:rsidR="00C519D1" w:rsidRDefault="00C519D1" w:rsidP="00C519D1">
      <w:r w:rsidRPr="00BF41D8">
        <w:rPr>
          <w:b/>
        </w:rPr>
        <w:t>GUI #</w:t>
      </w:r>
      <w:r>
        <w:rPr>
          <w:b/>
        </w:rPr>
        <w:t>2B</w:t>
      </w:r>
      <w:r>
        <w:t>. Calibration standards can be prepared either in individual class-specific solutions or in one combined solution</w:t>
      </w:r>
      <w:r w:rsidR="00575C8A">
        <w:t xml:space="preserve">. </w:t>
      </w:r>
      <w:r w:rsidR="000A633E">
        <w:t>Select the way your calibration solution was prepared, as this will be the composition of your raw data</w:t>
      </w:r>
    </w:p>
    <w:p w:rsidR="00C519D1" w:rsidRDefault="00C519D1" w:rsidP="00B5191D"/>
    <w:p w:rsidR="00B73D94" w:rsidRDefault="00C519D1" w:rsidP="00B73D94">
      <w:pPr>
        <w:jc w:val="center"/>
      </w:pPr>
      <w:r>
        <w:rPr>
          <w:noProof/>
        </w:rPr>
        <w:drawing>
          <wp:inline distT="0" distB="0" distL="0" distR="0" wp14:anchorId="4FEC48F2" wp14:editId="36B7417C">
            <wp:extent cx="4999382" cy="102358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94" t="20714" r="6964" b="59345"/>
                    <a:stretch/>
                  </pic:blipFill>
                  <pic:spPr bwMode="auto">
                    <a:xfrm>
                      <a:off x="0" y="0"/>
                      <a:ext cx="5000251" cy="1023765"/>
                    </a:xfrm>
                    <a:prstGeom prst="rect">
                      <a:avLst/>
                    </a:prstGeom>
                    <a:ln>
                      <a:noFill/>
                    </a:ln>
                    <a:extLst>
                      <a:ext uri="{53640926-AAD7-44D8-BBD7-CCE9431645EC}">
                        <a14:shadowObscured xmlns:a14="http://schemas.microsoft.com/office/drawing/2010/main"/>
                      </a:ext>
                    </a:extLst>
                  </pic:spPr>
                </pic:pic>
              </a:graphicData>
            </a:graphic>
          </wp:inline>
        </w:drawing>
      </w:r>
    </w:p>
    <w:p w:rsidR="00B9195B" w:rsidRDefault="00B9195B" w:rsidP="00B73D94"/>
    <w:p w:rsidR="001018D5" w:rsidRDefault="001018D5" w:rsidP="00543FD4">
      <w:pPr>
        <w:rPr>
          <w:b/>
        </w:rPr>
      </w:pPr>
    </w:p>
    <w:p w:rsidR="00CF5673" w:rsidRDefault="00CF5673" w:rsidP="00543FD4">
      <w:pPr>
        <w:rPr>
          <w:b/>
        </w:rPr>
      </w:pPr>
    </w:p>
    <w:p w:rsidR="00543FD4" w:rsidRDefault="00543FD4" w:rsidP="00543FD4">
      <w:r>
        <w:rPr>
          <w:b/>
        </w:rPr>
        <w:t xml:space="preserve">GUI #2C. </w:t>
      </w:r>
      <w:r>
        <w:t xml:space="preserve">For calibration data, you will need to upload an excel document containing the calibrant name, </w:t>
      </w:r>
      <w:r>
        <w:rPr>
          <w:i/>
        </w:rPr>
        <w:t>m/z</w:t>
      </w:r>
      <w:r>
        <w:t xml:space="preserve"> value, reference literature ccs value, biomolecular class (“lipid”, “small molecule”, or “peptide”), and charge (1-3). A blank template (Calibration_Template.xlsx) and an example excel sheet (Calibration_Example.xlsx) can be found in the </w:t>
      </w:r>
      <w:proofErr w:type="spellStart"/>
      <w:r>
        <w:t>Templates_Examples</w:t>
      </w:r>
      <w:proofErr w:type="spellEnd"/>
      <w:r>
        <w:t xml:space="preserve"> folder. </w:t>
      </w:r>
    </w:p>
    <w:p w:rsidR="001C0E07" w:rsidRDefault="001C0E07" w:rsidP="00206C33">
      <w:pPr>
        <w:rPr>
          <w:noProof/>
        </w:rPr>
      </w:pPr>
    </w:p>
    <w:p w:rsidR="00575C8A" w:rsidRDefault="00206C33" w:rsidP="00B9195B">
      <w:pPr>
        <w:jc w:val="center"/>
      </w:pPr>
      <w:r>
        <w:rPr>
          <w:noProof/>
        </w:rPr>
        <w:drawing>
          <wp:inline distT="0" distB="0" distL="0" distR="0" wp14:anchorId="68C836A1" wp14:editId="63E4B5C6">
            <wp:extent cx="4829175" cy="971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971550"/>
                    </a:xfrm>
                    <a:prstGeom prst="rect">
                      <a:avLst/>
                    </a:prstGeom>
                  </pic:spPr>
                </pic:pic>
              </a:graphicData>
            </a:graphic>
          </wp:inline>
        </w:drawing>
      </w:r>
    </w:p>
    <w:p w:rsidR="00575C8A" w:rsidRDefault="00575C8A" w:rsidP="00B9195B">
      <w:pPr>
        <w:jc w:val="center"/>
      </w:pPr>
    </w:p>
    <w:p w:rsidR="00575C8A" w:rsidRDefault="00206C33" w:rsidP="00B9195B">
      <w:pPr>
        <w:jc w:val="center"/>
      </w:pPr>
      <w:r>
        <w:rPr>
          <w:noProof/>
        </w:rPr>
        <w:drawing>
          <wp:inline distT="0" distB="0" distL="0" distR="0" wp14:anchorId="68A9174A" wp14:editId="6FC30F13">
            <wp:extent cx="3886200" cy="21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2" t="1" r="533" b="10857"/>
                    <a:stretch/>
                  </pic:blipFill>
                  <pic:spPr bwMode="auto">
                    <a:xfrm>
                      <a:off x="0" y="0"/>
                      <a:ext cx="3889971" cy="212271"/>
                    </a:xfrm>
                    <a:prstGeom prst="rect">
                      <a:avLst/>
                    </a:prstGeom>
                    <a:ln>
                      <a:noFill/>
                    </a:ln>
                    <a:extLst>
                      <a:ext uri="{53640926-AAD7-44D8-BBD7-CCE9431645EC}">
                        <a14:shadowObscured xmlns:a14="http://schemas.microsoft.com/office/drawing/2010/main"/>
                      </a:ext>
                    </a:extLst>
                  </pic:spPr>
                </pic:pic>
              </a:graphicData>
            </a:graphic>
          </wp:inline>
        </w:drawing>
      </w:r>
    </w:p>
    <w:p w:rsidR="00575C8A" w:rsidRDefault="00575C8A" w:rsidP="00B9195B">
      <w:pPr>
        <w:jc w:val="center"/>
      </w:pPr>
    </w:p>
    <w:p w:rsidR="001018D5" w:rsidRDefault="001018D5" w:rsidP="00253A37">
      <w:pPr>
        <w:rPr>
          <w:b/>
        </w:rPr>
      </w:pPr>
    </w:p>
    <w:p w:rsidR="001018D5" w:rsidRDefault="001018D5" w:rsidP="00253A37">
      <w:pPr>
        <w:rPr>
          <w:b/>
        </w:rPr>
      </w:pPr>
    </w:p>
    <w:p w:rsidR="001018D5" w:rsidRDefault="001018D5" w:rsidP="00253A37">
      <w:pPr>
        <w:rPr>
          <w:b/>
        </w:rPr>
      </w:pPr>
    </w:p>
    <w:p w:rsidR="001018D5" w:rsidRDefault="001018D5" w:rsidP="00253A37">
      <w:pPr>
        <w:rPr>
          <w:b/>
        </w:rPr>
      </w:pPr>
    </w:p>
    <w:p w:rsidR="001018D5" w:rsidRDefault="001018D5" w:rsidP="00253A37">
      <w:pPr>
        <w:rPr>
          <w:b/>
        </w:rPr>
      </w:pPr>
    </w:p>
    <w:p w:rsidR="001018D5" w:rsidRDefault="001018D5" w:rsidP="00253A37">
      <w:pPr>
        <w:rPr>
          <w:b/>
        </w:rPr>
      </w:pPr>
    </w:p>
    <w:p w:rsidR="00253A37" w:rsidRDefault="00253A37" w:rsidP="00253A37">
      <w:r>
        <w:rPr>
          <w:b/>
        </w:rPr>
        <w:lastRenderedPageBreak/>
        <w:t xml:space="preserve">GUI #2D. </w:t>
      </w:r>
      <w:r>
        <w:t xml:space="preserve">Experimental data can be uploaded as a vendor-specific processed excel file. You will need to upload the data as an excel file containing a compound name (does not have to be a compound identity, just any data-identifying name), </w:t>
      </w:r>
      <w:r>
        <w:rPr>
          <w:i/>
        </w:rPr>
        <w:t>m/z</w:t>
      </w:r>
      <w:r>
        <w:t xml:space="preserve"> value, retention time value, and drift time value. A blank template (Experimental_Data_Template.xlsx) and an example excel sheet (Experimental_Data_Example.xlsx) can be found in </w:t>
      </w:r>
      <w:proofErr w:type="spellStart"/>
      <w:r>
        <w:t>Templates_Examples</w:t>
      </w:r>
      <w:proofErr w:type="spellEnd"/>
      <w:r>
        <w:t xml:space="preserve"> folder.</w:t>
      </w:r>
    </w:p>
    <w:p w:rsidR="00CF5673" w:rsidRPr="001F6D22" w:rsidRDefault="00CF5673" w:rsidP="00253A37"/>
    <w:p w:rsidR="008D3045" w:rsidRDefault="00253A37" w:rsidP="00B9195B">
      <w:pPr>
        <w:jc w:val="center"/>
      </w:pPr>
      <w:r>
        <w:rPr>
          <w:noProof/>
        </w:rPr>
        <w:drawing>
          <wp:inline distT="0" distB="0" distL="0" distR="0" wp14:anchorId="06D04A3B" wp14:editId="7FBC66E9">
            <wp:extent cx="5257800" cy="1095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095375"/>
                    </a:xfrm>
                    <a:prstGeom prst="rect">
                      <a:avLst/>
                    </a:prstGeom>
                  </pic:spPr>
                </pic:pic>
              </a:graphicData>
            </a:graphic>
          </wp:inline>
        </w:drawing>
      </w:r>
    </w:p>
    <w:p w:rsidR="00CF5673" w:rsidRDefault="00CF5673" w:rsidP="00B9195B">
      <w:pPr>
        <w:jc w:val="center"/>
      </w:pPr>
    </w:p>
    <w:p w:rsidR="00253A37" w:rsidRDefault="00253A37" w:rsidP="00B9195B">
      <w:pPr>
        <w:jc w:val="center"/>
      </w:pPr>
      <w:r>
        <w:rPr>
          <w:noProof/>
        </w:rPr>
        <w:drawing>
          <wp:inline distT="0" distB="0" distL="0" distR="0" wp14:anchorId="322913BF" wp14:editId="6CE75E0D">
            <wp:extent cx="43719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219075"/>
                    </a:xfrm>
                    <a:prstGeom prst="rect">
                      <a:avLst/>
                    </a:prstGeom>
                  </pic:spPr>
                </pic:pic>
              </a:graphicData>
            </a:graphic>
          </wp:inline>
        </w:drawing>
      </w:r>
    </w:p>
    <w:p w:rsidR="001C0E07" w:rsidRPr="008D3045" w:rsidRDefault="001C0E07" w:rsidP="008D3045">
      <w:pPr>
        <w:jc w:val="center"/>
      </w:pPr>
    </w:p>
    <w:p w:rsidR="00661CB6" w:rsidRDefault="00661CB6" w:rsidP="00B73D94">
      <w:pPr>
        <w:rPr>
          <w:b/>
        </w:rPr>
      </w:pPr>
    </w:p>
    <w:p w:rsidR="00B9195B" w:rsidRDefault="00E4748D" w:rsidP="00B73D94">
      <w:r>
        <w:rPr>
          <w:b/>
        </w:rPr>
        <w:t>GUI #3</w:t>
      </w:r>
      <w:r w:rsidR="00590204">
        <w:rPr>
          <w:b/>
        </w:rPr>
        <w:t xml:space="preserve"> (Calibrants in Combined Solution)</w:t>
      </w:r>
      <w:r>
        <w:rPr>
          <w:b/>
        </w:rPr>
        <w:t xml:space="preserve">. </w:t>
      </w:r>
      <w:r>
        <w:t xml:space="preserve">If you are using </w:t>
      </w:r>
      <w:r w:rsidR="00661CB6">
        <w:t xml:space="preserve">calibrants in a combined solution, you will need to upload </w:t>
      </w:r>
      <w:r w:rsidR="00590204">
        <w:t>t</w:t>
      </w:r>
      <w:r w:rsidR="00FC7F1E">
        <w:t xml:space="preserve">he raw data </w:t>
      </w:r>
      <w:r w:rsidR="00590204">
        <w:t xml:space="preserve">file </w:t>
      </w:r>
      <w:r w:rsidR="00FC7F1E">
        <w:t xml:space="preserve">collected on the calibrants </w:t>
      </w:r>
      <w:r w:rsidR="00DA0D6D">
        <w:t>as a .</w:t>
      </w:r>
      <w:proofErr w:type="spellStart"/>
      <w:r w:rsidR="00DA0D6D">
        <w:t>mzML</w:t>
      </w:r>
      <w:proofErr w:type="spellEnd"/>
      <w:r w:rsidR="00DA0D6D">
        <w:t xml:space="preserve"> file. </w:t>
      </w:r>
      <w:r w:rsidR="007E1E3C">
        <w:t xml:space="preserve">An </w:t>
      </w:r>
      <w:proofErr w:type="gramStart"/>
      <w:r w:rsidR="007E1E3C">
        <w:t>example .</w:t>
      </w:r>
      <w:proofErr w:type="spellStart"/>
      <w:r w:rsidR="007E1E3C">
        <w:t>mzML</w:t>
      </w:r>
      <w:proofErr w:type="spellEnd"/>
      <w:proofErr w:type="gramEnd"/>
      <w:r w:rsidR="007E1E3C">
        <w:t xml:space="preserve"> data file for a combined solution of lipid, small molecule, and peptide standards can be found in the </w:t>
      </w:r>
      <w:proofErr w:type="spellStart"/>
      <w:r w:rsidR="007E1E3C">
        <w:t>Templates_Examples</w:t>
      </w:r>
      <w:proofErr w:type="spellEnd"/>
      <w:r w:rsidR="007E1E3C">
        <w:t xml:space="preserve"> folder.</w:t>
      </w:r>
    </w:p>
    <w:p w:rsidR="00590204" w:rsidRDefault="00590204" w:rsidP="00B73D94"/>
    <w:p w:rsidR="00590204" w:rsidRDefault="00590204" w:rsidP="00B73D94">
      <w:r>
        <w:rPr>
          <w:noProof/>
        </w:rPr>
        <w:drawing>
          <wp:inline distT="0" distB="0" distL="0" distR="0" wp14:anchorId="05949480" wp14:editId="5D2FE8C1">
            <wp:extent cx="5943600" cy="1173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3480"/>
                    </a:xfrm>
                    <a:prstGeom prst="rect">
                      <a:avLst/>
                    </a:prstGeom>
                  </pic:spPr>
                </pic:pic>
              </a:graphicData>
            </a:graphic>
          </wp:inline>
        </w:drawing>
      </w:r>
    </w:p>
    <w:p w:rsidR="00DA0D6D" w:rsidRDefault="00DA0D6D" w:rsidP="00590204">
      <w:pPr>
        <w:rPr>
          <w:b/>
        </w:rPr>
      </w:pPr>
    </w:p>
    <w:p w:rsidR="00DF0D0B" w:rsidRDefault="00DF0D0B" w:rsidP="00DF0D0B">
      <w:pPr>
        <w:jc w:val="center"/>
        <w:rPr>
          <w:b/>
        </w:rPr>
      </w:pPr>
    </w:p>
    <w:p w:rsidR="00555668" w:rsidRDefault="00DA0D6D" w:rsidP="00A53B01">
      <w:r>
        <w:rPr>
          <w:b/>
        </w:rPr>
        <w:t>GUI #3</w:t>
      </w:r>
      <w:r w:rsidR="00004E80">
        <w:rPr>
          <w:b/>
        </w:rPr>
        <w:t xml:space="preserve"> (Calibrants in Individual Solutions)</w:t>
      </w:r>
      <w:r>
        <w:rPr>
          <w:b/>
        </w:rPr>
        <w:t xml:space="preserve">. </w:t>
      </w:r>
      <w:r>
        <w:t xml:space="preserve">If you are using calibrants in </w:t>
      </w:r>
      <w:r w:rsidR="004C217A">
        <w:t>individual</w:t>
      </w:r>
      <w:r>
        <w:t xml:space="preserve"> </w:t>
      </w:r>
      <w:r w:rsidR="00004E80">
        <w:t xml:space="preserve">class-specific </w:t>
      </w:r>
      <w:r>
        <w:t>solution</w:t>
      </w:r>
      <w:r w:rsidR="004C217A">
        <w:t>s</w:t>
      </w:r>
      <w:r>
        <w:t xml:space="preserve">, you will need to upload </w:t>
      </w:r>
      <w:r w:rsidR="00004E80">
        <w:t>the</w:t>
      </w:r>
      <w:r w:rsidR="00A53B01">
        <w:t xml:space="preserve"> raw data</w:t>
      </w:r>
      <w:r w:rsidR="00004E80">
        <w:t xml:space="preserve"> files</w:t>
      </w:r>
      <w:r w:rsidR="00A53B01">
        <w:t xml:space="preserve"> collected </w:t>
      </w:r>
      <w:r w:rsidR="00004E80">
        <w:t xml:space="preserve">for each class </w:t>
      </w:r>
      <w:r w:rsidR="00A53B01">
        <w:t>as .</w:t>
      </w:r>
      <w:proofErr w:type="spellStart"/>
      <w:r w:rsidR="00A53B01">
        <w:t>mzML</w:t>
      </w:r>
      <w:proofErr w:type="spellEnd"/>
      <w:r w:rsidR="00A53B01">
        <w:t xml:space="preserve"> files. </w:t>
      </w:r>
      <w:r w:rsidR="00D0150A">
        <w:t xml:space="preserve">Only the classes selected in GUI #2A will appear. </w:t>
      </w:r>
      <w:proofErr w:type="gramStart"/>
      <w:r w:rsidR="007E1E3C">
        <w:t>E</w:t>
      </w:r>
      <w:r w:rsidR="007E1E3C">
        <w:t>xample .</w:t>
      </w:r>
      <w:proofErr w:type="spellStart"/>
      <w:r w:rsidR="007E1E3C">
        <w:t>mzML</w:t>
      </w:r>
      <w:proofErr w:type="spellEnd"/>
      <w:proofErr w:type="gramEnd"/>
      <w:r w:rsidR="007E1E3C">
        <w:t xml:space="preserve"> data file</w:t>
      </w:r>
      <w:r w:rsidR="007E1E3C">
        <w:t>s</w:t>
      </w:r>
      <w:r w:rsidR="007E1E3C">
        <w:t xml:space="preserve"> for </w:t>
      </w:r>
      <w:r w:rsidR="007E1E3C">
        <w:t xml:space="preserve">individual </w:t>
      </w:r>
      <w:r w:rsidR="00481E16">
        <w:t xml:space="preserve">class-specific </w:t>
      </w:r>
      <w:r w:rsidR="007E1E3C">
        <w:t>solution</w:t>
      </w:r>
      <w:r w:rsidR="00481E16">
        <w:t>s</w:t>
      </w:r>
      <w:r w:rsidR="007E1E3C">
        <w:t xml:space="preserve"> </w:t>
      </w:r>
      <w:r w:rsidR="00481E16">
        <w:t>for</w:t>
      </w:r>
      <w:r w:rsidR="007E1E3C">
        <w:t xml:space="preserve"> lipid, small molecule, and peptide standards can be found in the </w:t>
      </w:r>
      <w:proofErr w:type="spellStart"/>
      <w:r w:rsidR="007E1E3C">
        <w:t>Templates_Examples</w:t>
      </w:r>
      <w:proofErr w:type="spellEnd"/>
      <w:r w:rsidR="007E1E3C">
        <w:t xml:space="preserve"> folder.</w:t>
      </w:r>
    </w:p>
    <w:p w:rsidR="00555668" w:rsidRDefault="00555668" w:rsidP="00A53B01"/>
    <w:p w:rsidR="00D0150A" w:rsidRPr="00481E16" w:rsidRDefault="00004E80" w:rsidP="00B73D94">
      <w:r>
        <w:rPr>
          <w:noProof/>
        </w:rPr>
        <w:drawing>
          <wp:inline distT="0" distB="0" distL="0" distR="0" wp14:anchorId="69FA5291" wp14:editId="029A4EE3">
            <wp:extent cx="5943600" cy="2005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5965"/>
                    </a:xfrm>
                    <a:prstGeom prst="rect">
                      <a:avLst/>
                    </a:prstGeom>
                  </pic:spPr>
                </pic:pic>
              </a:graphicData>
            </a:graphic>
          </wp:inline>
        </w:drawing>
      </w:r>
      <w:bookmarkStart w:id="0" w:name="_GoBack"/>
      <w:bookmarkEnd w:id="0"/>
    </w:p>
    <w:p w:rsidR="00D0150A" w:rsidRPr="001834E9" w:rsidRDefault="00D0150A" w:rsidP="00D0150A">
      <w:r>
        <w:rPr>
          <w:b/>
        </w:rPr>
        <w:lastRenderedPageBreak/>
        <w:t xml:space="preserve">GUI #4. </w:t>
      </w:r>
      <w:r>
        <w:t xml:space="preserve">After pressing the “Process” button, </w:t>
      </w:r>
      <w:proofErr w:type="spellStart"/>
      <w:r>
        <w:t>MOCCal</w:t>
      </w:r>
      <w:proofErr w:type="spellEnd"/>
      <w:r>
        <w:t xml:space="preserve"> will process the data. When the data processing is complete, the message below will pop up. There will be an excel file titled “</w:t>
      </w:r>
      <w:proofErr w:type="spellStart"/>
      <w:r>
        <w:t>CalibrationOutput</w:t>
      </w:r>
      <w:proofErr w:type="spellEnd"/>
      <w:r>
        <w:t xml:space="preserve">” in the Output folder containing the processed data. </w:t>
      </w:r>
    </w:p>
    <w:p w:rsidR="00D0150A" w:rsidRDefault="00D0150A" w:rsidP="00B73D94">
      <w:pPr>
        <w:rPr>
          <w:b/>
        </w:rPr>
      </w:pPr>
    </w:p>
    <w:p w:rsidR="00D0150A" w:rsidRDefault="00D0150A" w:rsidP="00567A10">
      <w:pPr>
        <w:jc w:val="center"/>
        <w:rPr>
          <w:b/>
        </w:rPr>
      </w:pPr>
      <w:r>
        <w:rPr>
          <w:noProof/>
        </w:rPr>
        <w:drawing>
          <wp:inline distT="0" distB="0" distL="0" distR="0" wp14:anchorId="25881EB9" wp14:editId="720F571A">
            <wp:extent cx="390525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1314450"/>
                    </a:xfrm>
                    <a:prstGeom prst="rect">
                      <a:avLst/>
                    </a:prstGeom>
                  </pic:spPr>
                </pic:pic>
              </a:graphicData>
            </a:graphic>
          </wp:inline>
        </w:drawing>
      </w:r>
    </w:p>
    <w:p w:rsidR="00D0150A" w:rsidRDefault="00D0150A" w:rsidP="00B73D94">
      <w:pPr>
        <w:rPr>
          <w:b/>
        </w:rPr>
      </w:pPr>
    </w:p>
    <w:p w:rsidR="00567A10" w:rsidRDefault="00567A10" w:rsidP="00B73D94">
      <w:pPr>
        <w:rPr>
          <w:b/>
        </w:rPr>
      </w:pPr>
    </w:p>
    <w:p w:rsidR="0002462D" w:rsidRDefault="00C333E9" w:rsidP="00B73D94">
      <w:pPr>
        <w:rPr>
          <w:b/>
        </w:rPr>
      </w:pPr>
      <w:r>
        <w:rPr>
          <w:b/>
        </w:rPr>
        <w:t>OUTPUT</w:t>
      </w:r>
      <w:r w:rsidR="00567A10">
        <w:rPr>
          <w:b/>
        </w:rPr>
        <w:t xml:space="preserve"> EXAMPLE</w:t>
      </w:r>
    </w:p>
    <w:p w:rsidR="00567A10" w:rsidRDefault="00567A10" w:rsidP="00B73D94"/>
    <w:p w:rsidR="00567A10" w:rsidRPr="0002462D" w:rsidRDefault="00567A10" w:rsidP="00567A10">
      <w:r>
        <w:t xml:space="preserve">For every class selected in GUI #1, there will be a corresponding calibration sheet in the output excel document containing the parameters for the optimized calibration curve as well as the calculated CCS values and CCS % error (seen as residuals) as compared to the provided literature CCS values. </w:t>
      </w:r>
    </w:p>
    <w:p w:rsidR="00C333E9" w:rsidRDefault="00C333E9" w:rsidP="00B73D94">
      <w:pPr>
        <w:rPr>
          <w:b/>
        </w:rPr>
      </w:pPr>
    </w:p>
    <w:p w:rsidR="00C333E9" w:rsidRPr="00C333E9" w:rsidRDefault="00020597" w:rsidP="00B73D94">
      <w:pPr>
        <w:rPr>
          <w:b/>
        </w:rPr>
      </w:pPr>
      <w:r>
        <w:rPr>
          <w:noProof/>
        </w:rPr>
        <w:drawing>
          <wp:inline distT="0" distB="0" distL="0" distR="0" wp14:anchorId="41BF350A" wp14:editId="70A9A3EE">
            <wp:extent cx="4362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2867025"/>
                    </a:xfrm>
                    <a:prstGeom prst="rect">
                      <a:avLst/>
                    </a:prstGeom>
                  </pic:spPr>
                </pic:pic>
              </a:graphicData>
            </a:graphic>
          </wp:inline>
        </w:drawing>
      </w:r>
    </w:p>
    <w:p w:rsidR="00B9195B" w:rsidRDefault="00B9195B" w:rsidP="00B73D94"/>
    <w:p w:rsidR="00567A10" w:rsidRDefault="00567A10" w:rsidP="00567A10">
      <w:r>
        <w:t xml:space="preserve">For experimental data, there will be a corresponding sheet in the output excel document containing the </w:t>
      </w:r>
      <w:proofErr w:type="spellStart"/>
      <w:r w:rsidR="0007519C">
        <w:t>DEIMoS</w:t>
      </w:r>
      <w:proofErr w:type="spellEnd"/>
      <w:r w:rsidR="0007519C">
        <w:t xml:space="preserve"> extracted drift time and the </w:t>
      </w:r>
      <w:proofErr w:type="spellStart"/>
      <w:r w:rsidR="0007519C">
        <w:t>MOCCal</w:t>
      </w:r>
      <w:proofErr w:type="spellEnd"/>
      <w:r w:rsidR="0007519C">
        <w:t xml:space="preserve"> </w:t>
      </w:r>
      <w:r>
        <w:t xml:space="preserve">class assignment, class-specific calculated CCS value, and the calibration effect. An example output excel sheet (CalibrationOutput_Example).xlsx can be found in the </w:t>
      </w:r>
      <w:proofErr w:type="spellStart"/>
      <w:r>
        <w:t>Templates_Examples</w:t>
      </w:r>
      <w:proofErr w:type="spellEnd"/>
      <w:r>
        <w:t xml:space="preserve"> folder. </w:t>
      </w:r>
    </w:p>
    <w:p w:rsidR="0070312B" w:rsidRDefault="0070312B" w:rsidP="00B73D94"/>
    <w:p w:rsidR="00B9195B" w:rsidRPr="00E4748D" w:rsidRDefault="00567A10" w:rsidP="00B73D94">
      <w:r>
        <w:rPr>
          <w:noProof/>
        </w:rPr>
        <w:drawing>
          <wp:inline distT="0" distB="0" distL="0" distR="0" wp14:anchorId="2880A1D2" wp14:editId="69CCB9FF">
            <wp:extent cx="5943600" cy="9168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4" t="1809" r="513" b="2279"/>
                    <a:stretch/>
                  </pic:blipFill>
                  <pic:spPr bwMode="auto">
                    <a:xfrm>
                      <a:off x="0" y="0"/>
                      <a:ext cx="5943600" cy="916816"/>
                    </a:xfrm>
                    <a:prstGeom prst="rect">
                      <a:avLst/>
                    </a:prstGeom>
                    <a:ln>
                      <a:noFill/>
                    </a:ln>
                    <a:extLst>
                      <a:ext uri="{53640926-AAD7-44D8-BBD7-CCE9431645EC}">
                        <a14:shadowObscured xmlns:a14="http://schemas.microsoft.com/office/drawing/2010/main"/>
                      </a:ext>
                    </a:extLst>
                  </pic:spPr>
                </pic:pic>
              </a:graphicData>
            </a:graphic>
          </wp:inline>
        </w:drawing>
      </w:r>
    </w:p>
    <w:sectPr w:rsidR="00B9195B" w:rsidRPr="00E4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A1FCE"/>
    <w:multiLevelType w:val="hybridMultilevel"/>
    <w:tmpl w:val="72581D3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8D"/>
    <w:rsid w:val="00004E80"/>
    <w:rsid w:val="00020597"/>
    <w:rsid w:val="0002462D"/>
    <w:rsid w:val="0007519C"/>
    <w:rsid w:val="000A633E"/>
    <w:rsid w:val="000A77D6"/>
    <w:rsid w:val="001018D5"/>
    <w:rsid w:val="001A518D"/>
    <w:rsid w:val="001C0E07"/>
    <w:rsid w:val="00206C33"/>
    <w:rsid w:val="00253A37"/>
    <w:rsid w:val="003A360D"/>
    <w:rsid w:val="003C4D1A"/>
    <w:rsid w:val="00481E16"/>
    <w:rsid w:val="004C217A"/>
    <w:rsid w:val="004C3201"/>
    <w:rsid w:val="00506727"/>
    <w:rsid w:val="00543FD4"/>
    <w:rsid w:val="00550694"/>
    <w:rsid w:val="00555668"/>
    <w:rsid w:val="00567A10"/>
    <w:rsid w:val="00575C8A"/>
    <w:rsid w:val="00590204"/>
    <w:rsid w:val="00661CB6"/>
    <w:rsid w:val="00662CFB"/>
    <w:rsid w:val="006C7CD5"/>
    <w:rsid w:val="006F67A3"/>
    <w:rsid w:val="0070312B"/>
    <w:rsid w:val="0071085A"/>
    <w:rsid w:val="007223DB"/>
    <w:rsid w:val="007674EF"/>
    <w:rsid w:val="00791AA0"/>
    <w:rsid w:val="007E1E3C"/>
    <w:rsid w:val="00812C91"/>
    <w:rsid w:val="00813683"/>
    <w:rsid w:val="008D3045"/>
    <w:rsid w:val="0092372A"/>
    <w:rsid w:val="00923F6E"/>
    <w:rsid w:val="0095032E"/>
    <w:rsid w:val="00A31FD8"/>
    <w:rsid w:val="00A53B01"/>
    <w:rsid w:val="00A60179"/>
    <w:rsid w:val="00A811A3"/>
    <w:rsid w:val="00A85715"/>
    <w:rsid w:val="00AD7EAB"/>
    <w:rsid w:val="00B5191D"/>
    <w:rsid w:val="00B73D94"/>
    <w:rsid w:val="00B9195B"/>
    <w:rsid w:val="00BF41D8"/>
    <w:rsid w:val="00C20B9A"/>
    <w:rsid w:val="00C333E9"/>
    <w:rsid w:val="00C519D1"/>
    <w:rsid w:val="00C570E3"/>
    <w:rsid w:val="00C65848"/>
    <w:rsid w:val="00C7145C"/>
    <w:rsid w:val="00CA2072"/>
    <w:rsid w:val="00CF5673"/>
    <w:rsid w:val="00D0150A"/>
    <w:rsid w:val="00DA0D6D"/>
    <w:rsid w:val="00DF0D0B"/>
    <w:rsid w:val="00E4748D"/>
    <w:rsid w:val="00EA6AD1"/>
    <w:rsid w:val="00ED0707"/>
    <w:rsid w:val="00F01157"/>
    <w:rsid w:val="00F03C81"/>
    <w:rsid w:val="00FC7F1E"/>
    <w:rsid w:val="00FD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81CE"/>
  <w15:chartTrackingRefBased/>
  <w15:docId w15:val="{A7E306B2-6291-4A85-B182-26E31C0A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rsid w:val="00EA6AD1"/>
    <w:rPr>
      <w:rFonts w:ascii="Times New Roman" w:hAnsi="Times New Roman" w:cs="Calibri"/>
      <w:noProof/>
      <w:sz w:val="24"/>
    </w:rPr>
  </w:style>
  <w:style w:type="character" w:customStyle="1" w:styleId="EndNoteBibliographyChar">
    <w:name w:val="EndNote Bibliography Char"/>
    <w:basedOn w:val="DefaultParagraphFont"/>
    <w:link w:val="EndNoteBibliography"/>
    <w:rsid w:val="00EA6AD1"/>
    <w:rPr>
      <w:rFonts w:ascii="Times New Roman" w:hAnsi="Times New Roman" w:cs="Calibri"/>
      <w:noProof/>
      <w:sz w:val="24"/>
    </w:rPr>
  </w:style>
  <w:style w:type="paragraph" w:styleId="ListParagraph">
    <w:name w:val="List Paragraph"/>
    <w:basedOn w:val="Normal"/>
    <w:uiPriority w:val="34"/>
    <w:qFormat/>
    <w:rsid w:val="006C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Franklin College University of Georgia</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Hynds</dc:creator>
  <cp:keywords/>
  <dc:description/>
  <cp:lastModifiedBy>Hannah Marie Hynds</cp:lastModifiedBy>
  <cp:revision>10</cp:revision>
  <dcterms:created xsi:type="dcterms:W3CDTF">2023-08-28T14:56:00Z</dcterms:created>
  <dcterms:modified xsi:type="dcterms:W3CDTF">2023-09-06T15:23:00Z</dcterms:modified>
</cp:coreProperties>
</file>