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955995461"/>
        <w:docPartObj>
          <w:docPartGallery w:val="Table of Contents"/>
          <w:docPartUnique/>
        </w:docPartObj>
      </w:sdtPr>
      <w:sdtEndPr>
        <w:rPr>
          <w:b/>
          <w:bCs/>
          <w:noProof/>
        </w:rPr>
      </w:sdtEndPr>
      <w:sdtContent>
        <w:p w14:paraId="4DA26884" w14:textId="77777777" w:rsidR="00B53D72" w:rsidRDefault="00B53D72">
          <w:pPr>
            <w:pStyle w:val="TOCHeading"/>
          </w:pPr>
          <w:r>
            <w:t>Contents</w:t>
          </w:r>
        </w:p>
        <w:p w14:paraId="293FB3F5" w14:textId="55A14EAF" w:rsidR="003B338E" w:rsidRDefault="00B53D72">
          <w:pPr>
            <w:pStyle w:val="TOC2"/>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46302473" w:history="1">
            <w:r w:rsidR="003B338E" w:rsidRPr="00F45AB8">
              <w:rPr>
                <w:rStyle w:val="Hyperlink"/>
                <w:noProof/>
              </w:rPr>
              <w:t>Banking Regulation, Compliance and Business Standards</w:t>
            </w:r>
            <w:r w:rsidR="003B338E">
              <w:rPr>
                <w:noProof/>
                <w:webHidden/>
              </w:rPr>
              <w:tab/>
            </w:r>
            <w:r w:rsidR="003B338E">
              <w:rPr>
                <w:noProof/>
                <w:webHidden/>
              </w:rPr>
              <w:fldChar w:fldCharType="begin"/>
            </w:r>
            <w:r w:rsidR="003B338E">
              <w:rPr>
                <w:noProof/>
                <w:webHidden/>
              </w:rPr>
              <w:instrText xml:space="preserve"> PAGEREF _Toc146302473 \h </w:instrText>
            </w:r>
            <w:r w:rsidR="003B338E">
              <w:rPr>
                <w:noProof/>
                <w:webHidden/>
              </w:rPr>
            </w:r>
            <w:r w:rsidR="003B338E">
              <w:rPr>
                <w:noProof/>
                <w:webHidden/>
              </w:rPr>
              <w:fldChar w:fldCharType="separate"/>
            </w:r>
            <w:r w:rsidR="003B338E">
              <w:rPr>
                <w:noProof/>
                <w:webHidden/>
              </w:rPr>
              <w:t>2</w:t>
            </w:r>
            <w:r w:rsidR="003B338E">
              <w:rPr>
                <w:noProof/>
                <w:webHidden/>
              </w:rPr>
              <w:fldChar w:fldCharType="end"/>
            </w:r>
          </w:hyperlink>
        </w:p>
        <w:p w14:paraId="0BE780C5" w14:textId="42A1C63C" w:rsidR="003B338E" w:rsidRDefault="003B338E">
          <w:pPr>
            <w:pStyle w:val="TOC2"/>
            <w:tabs>
              <w:tab w:val="right" w:leader="dot" w:pos="9350"/>
            </w:tabs>
            <w:rPr>
              <w:rFonts w:eastAsiaTheme="minorEastAsia"/>
              <w:noProof/>
              <w:kern w:val="2"/>
              <w14:ligatures w14:val="standardContextual"/>
            </w:rPr>
          </w:pPr>
          <w:hyperlink w:anchor="_Toc146302474" w:history="1">
            <w:r w:rsidRPr="00F45AB8">
              <w:rPr>
                <w:rStyle w:val="Hyperlink"/>
                <w:noProof/>
              </w:rPr>
              <w:t>GFH Bank follows NIST 800-53 Rev 5 Cybersecurity Framework consists of five principles:</w:t>
            </w:r>
            <w:r>
              <w:rPr>
                <w:noProof/>
                <w:webHidden/>
              </w:rPr>
              <w:tab/>
            </w:r>
            <w:r>
              <w:rPr>
                <w:noProof/>
                <w:webHidden/>
              </w:rPr>
              <w:fldChar w:fldCharType="begin"/>
            </w:r>
            <w:r>
              <w:rPr>
                <w:noProof/>
                <w:webHidden/>
              </w:rPr>
              <w:instrText xml:space="preserve"> PAGEREF _Toc146302474 \h </w:instrText>
            </w:r>
            <w:r>
              <w:rPr>
                <w:noProof/>
                <w:webHidden/>
              </w:rPr>
            </w:r>
            <w:r>
              <w:rPr>
                <w:noProof/>
                <w:webHidden/>
              </w:rPr>
              <w:fldChar w:fldCharType="separate"/>
            </w:r>
            <w:r>
              <w:rPr>
                <w:noProof/>
                <w:webHidden/>
              </w:rPr>
              <w:t>3</w:t>
            </w:r>
            <w:r>
              <w:rPr>
                <w:noProof/>
                <w:webHidden/>
              </w:rPr>
              <w:fldChar w:fldCharType="end"/>
            </w:r>
          </w:hyperlink>
        </w:p>
        <w:p w14:paraId="4B43B2F9" w14:textId="6A6C636F" w:rsidR="003B338E" w:rsidRDefault="003B338E">
          <w:pPr>
            <w:pStyle w:val="TOC2"/>
            <w:tabs>
              <w:tab w:val="right" w:leader="dot" w:pos="9350"/>
            </w:tabs>
            <w:rPr>
              <w:rFonts w:eastAsiaTheme="minorEastAsia"/>
              <w:noProof/>
              <w:kern w:val="2"/>
              <w14:ligatures w14:val="standardContextual"/>
            </w:rPr>
          </w:pPr>
          <w:hyperlink w:anchor="_Toc146302475" w:history="1">
            <w:r w:rsidRPr="00F45AB8">
              <w:rPr>
                <w:rStyle w:val="Hyperlink"/>
                <w:noProof/>
              </w:rPr>
              <w:t>System Features Based Upon User Requirements</w:t>
            </w:r>
            <w:r>
              <w:rPr>
                <w:noProof/>
                <w:webHidden/>
              </w:rPr>
              <w:tab/>
            </w:r>
            <w:r>
              <w:rPr>
                <w:noProof/>
                <w:webHidden/>
              </w:rPr>
              <w:fldChar w:fldCharType="begin"/>
            </w:r>
            <w:r>
              <w:rPr>
                <w:noProof/>
                <w:webHidden/>
              </w:rPr>
              <w:instrText xml:space="preserve"> PAGEREF _Toc146302475 \h </w:instrText>
            </w:r>
            <w:r>
              <w:rPr>
                <w:noProof/>
                <w:webHidden/>
              </w:rPr>
            </w:r>
            <w:r>
              <w:rPr>
                <w:noProof/>
                <w:webHidden/>
              </w:rPr>
              <w:fldChar w:fldCharType="separate"/>
            </w:r>
            <w:r>
              <w:rPr>
                <w:noProof/>
                <w:webHidden/>
              </w:rPr>
              <w:t>3</w:t>
            </w:r>
            <w:r>
              <w:rPr>
                <w:noProof/>
                <w:webHidden/>
              </w:rPr>
              <w:fldChar w:fldCharType="end"/>
            </w:r>
          </w:hyperlink>
        </w:p>
        <w:p w14:paraId="7F35D724" w14:textId="1FB97AB8" w:rsidR="003B338E" w:rsidRDefault="003B338E">
          <w:pPr>
            <w:pStyle w:val="TOC2"/>
            <w:tabs>
              <w:tab w:val="right" w:leader="dot" w:pos="9350"/>
            </w:tabs>
            <w:rPr>
              <w:rFonts w:eastAsiaTheme="minorEastAsia"/>
              <w:noProof/>
              <w:kern w:val="2"/>
              <w14:ligatures w14:val="standardContextual"/>
            </w:rPr>
          </w:pPr>
          <w:hyperlink w:anchor="_Toc146302476" w:history="1">
            <w:r w:rsidRPr="00F45AB8">
              <w:rPr>
                <w:rStyle w:val="Hyperlink"/>
                <w:noProof/>
              </w:rPr>
              <w:t>Example of Data Security Controls GFH Implements in Protecting Consumer Data:</w:t>
            </w:r>
            <w:r>
              <w:rPr>
                <w:noProof/>
                <w:webHidden/>
              </w:rPr>
              <w:tab/>
            </w:r>
            <w:r>
              <w:rPr>
                <w:noProof/>
                <w:webHidden/>
              </w:rPr>
              <w:fldChar w:fldCharType="begin"/>
            </w:r>
            <w:r>
              <w:rPr>
                <w:noProof/>
                <w:webHidden/>
              </w:rPr>
              <w:instrText xml:space="preserve"> PAGEREF _Toc146302476 \h </w:instrText>
            </w:r>
            <w:r>
              <w:rPr>
                <w:noProof/>
                <w:webHidden/>
              </w:rPr>
            </w:r>
            <w:r>
              <w:rPr>
                <w:noProof/>
                <w:webHidden/>
              </w:rPr>
              <w:fldChar w:fldCharType="separate"/>
            </w:r>
            <w:r>
              <w:rPr>
                <w:noProof/>
                <w:webHidden/>
              </w:rPr>
              <w:t>4</w:t>
            </w:r>
            <w:r>
              <w:rPr>
                <w:noProof/>
                <w:webHidden/>
              </w:rPr>
              <w:fldChar w:fldCharType="end"/>
            </w:r>
          </w:hyperlink>
        </w:p>
        <w:p w14:paraId="4F8B745E" w14:textId="1D1C296F" w:rsidR="003B338E" w:rsidRDefault="003B338E">
          <w:pPr>
            <w:pStyle w:val="TOC2"/>
            <w:tabs>
              <w:tab w:val="right" w:leader="dot" w:pos="9350"/>
            </w:tabs>
            <w:rPr>
              <w:rFonts w:eastAsiaTheme="minorEastAsia"/>
              <w:noProof/>
              <w:kern w:val="2"/>
              <w14:ligatures w14:val="standardContextual"/>
            </w:rPr>
          </w:pPr>
          <w:hyperlink w:anchor="_Toc146302477" w:history="1">
            <w:r w:rsidRPr="00F45AB8">
              <w:rPr>
                <w:rStyle w:val="Hyperlink"/>
                <w:noProof/>
              </w:rPr>
              <w:t>References:</w:t>
            </w:r>
            <w:r>
              <w:rPr>
                <w:noProof/>
                <w:webHidden/>
              </w:rPr>
              <w:tab/>
            </w:r>
            <w:r>
              <w:rPr>
                <w:noProof/>
                <w:webHidden/>
              </w:rPr>
              <w:fldChar w:fldCharType="begin"/>
            </w:r>
            <w:r>
              <w:rPr>
                <w:noProof/>
                <w:webHidden/>
              </w:rPr>
              <w:instrText xml:space="preserve"> PAGEREF _Toc146302477 \h </w:instrText>
            </w:r>
            <w:r>
              <w:rPr>
                <w:noProof/>
                <w:webHidden/>
              </w:rPr>
            </w:r>
            <w:r>
              <w:rPr>
                <w:noProof/>
                <w:webHidden/>
              </w:rPr>
              <w:fldChar w:fldCharType="separate"/>
            </w:r>
            <w:r>
              <w:rPr>
                <w:noProof/>
                <w:webHidden/>
              </w:rPr>
              <w:t>4</w:t>
            </w:r>
            <w:r>
              <w:rPr>
                <w:noProof/>
                <w:webHidden/>
              </w:rPr>
              <w:fldChar w:fldCharType="end"/>
            </w:r>
          </w:hyperlink>
        </w:p>
        <w:p w14:paraId="3D8830D7" w14:textId="33FC1064" w:rsidR="00B53D72" w:rsidRDefault="00B53D72">
          <w:r>
            <w:rPr>
              <w:b/>
              <w:bCs/>
              <w:noProof/>
            </w:rPr>
            <w:fldChar w:fldCharType="end"/>
          </w:r>
        </w:p>
      </w:sdtContent>
    </w:sdt>
    <w:p w14:paraId="2CC67210" w14:textId="77777777" w:rsidR="00B53D72" w:rsidRPr="00B53D72" w:rsidRDefault="00B53D72" w:rsidP="00B53D72"/>
    <w:p w14:paraId="54128E01" w14:textId="77777777" w:rsidR="00B53D72" w:rsidRDefault="00B53D72" w:rsidP="00B24CFA">
      <w:pPr>
        <w:pStyle w:val="Heading2"/>
      </w:pPr>
    </w:p>
    <w:p w14:paraId="66DE8D0F" w14:textId="77777777" w:rsidR="00B53D72" w:rsidRDefault="00B53D72">
      <w:pPr>
        <w:rPr>
          <w:rFonts w:asciiTheme="majorHAnsi" w:eastAsiaTheme="majorEastAsia" w:hAnsiTheme="majorHAnsi" w:cstheme="majorBidi"/>
          <w:color w:val="2E74B5" w:themeColor="accent1" w:themeShade="BF"/>
          <w:sz w:val="26"/>
          <w:szCs w:val="26"/>
        </w:rPr>
      </w:pPr>
      <w:r>
        <w:br w:type="page"/>
      </w:r>
    </w:p>
    <w:p w14:paraId="02D66A58" w14:textId="77777777" w:rsidR="00107344" w:rsidRPr="000962D8" w:rsidRDefault="00107344" w:rsidP="00B24CFA">
      <w:pPr>
        <w:pStyle w:val="Heading2"/>
      </w:pPr>
      <w:bookmarkStart w:id="0" w:name="_Toc146302473"/>
      <w:r w:rsidRPr="000962D8">
        <w:lastRenderedPageBreak/>
        <w:t>Banking Regulation, Compliance and Business Standards</w:t>
      </w:r>
      <w:bookmarkEnd w:id="0"/>
    </w:p>
    <w:p w14:paraId="76BA690A" w14:textId="77777777" w:rsidR="000962D8" w:rsidRPr="000962D8" w:rsidRDefault="000962D8" w:rsidP="000962D8">
      <w:r w:rsidRPr="000962D8">
        <w:t>GFH follows best industries and standards for banking regulations, compliance and standards. GFH have implemented the following guidance, which drives industries best practices into our strategic business model.  The following guidance and memorandums govern GFH Bank:</w:t>
      </w:r>
    </w:p>
    <w:p w14:paraId="685C91E1" w14:textId="77777777" w:rsidR="000962D8" w:rsidRPr="000962D8" w:rsidRDefault="000962D8" w:rsidP="000962D8">
      <w:pPr>
        <w:numPr>
          <w:ilvl w:val="0"/>
          <w:numId w:val="3"/>
        </w:numPr>
        <w:rPr>
          <w:b/>
        </w:rPr>
      </w:pPr>
      <w:r w:rsidRPr="000962D8">
        <w:rPr>
          <w:b/>
        </w:rPr>
        <w:t>Americans with Disabilities Act</w:t>
      </w:r>
    </w:p>
    <w:p w14:paraId="42554F36" w14:textId="77777777" w:rsidR="000962D8" w:rsidRPr="000962D8" w:rsidRDefault="000962D8" w:rsidP="000962D8">
      <w:pPr>
        <w:numPr>
          <w:ilvl w:val="0"/>
          <w:numId w:val="3"/>
        </w:numPr>
        <w:rPr>
          <w:b/>
        </w:rPr>
      </w:pPr>
      <w:r w:rsidRPr="000962D8">
        <w:rPr>
          <w:b/>
        </w:rPr>
        <w:t>Bank Secrecy Act</w:t>
      </w:r>
    </w:p>
    <w:p w14:paraId="5DCCA8BA" w14:textId="77777777" w:rsidR="000962D8" w:rsidRPr="000962D8" w:rsidRDefault="000962D8" w:rsidP="000962D8">
      <w:pPr>
        <w:numPr>
          <w:ilvl w:val="0"/>
          <w:numId w:val="3"/>
        </w:numPr>
        <w:rPr>
          <w:b/>
        </w:rPr>
      </w:pPr>
      <w:r w:rsidRPr="000962D8">
        <w:rPr>
          <w:b/>
        </w:rPr>
        <w:t>Bank Service Company Act</w:t>
      </w:r>
    </w:p>
    <w:p w14:paraId="0F71C6CF" w14:textId="77777777" w:rsidR="000962D8" w:rsidRPr="000962D8" w:rsidRDefault="000962D8" w:rsidP="000962D8">
      <w:pPr>
        <w:numPr>
          <w:ilvl w:val="0"/>
          <w:numId w:val="3"/>
        </w:numPr>
        <w:rPr>
          <w:b/>
        </w:rPr>
      </w:pPr>
      <w:r w:rsidRPr="000962D8">
        <w:rPr>
          <w:b/>
        </w:rPr>
        <w:t>Community Reinvestment Act</w:t>
      </w:r>
    </w:p>
    <w:p w14:paraId="1AE4A182" w14:textId="77777777" w:rsidR="000962D8" w:rsidRPr="000962D8" w:rsidRDefault="000962D8" w:rsidP="000962D8">
      <w:pPr>
        <w:numPr>
          <w:ilvl w:val="0"/>
          <w:numId w:val="3"/>
        </w:numPr>
        <w:rPr>
          <w:b/>
        </w:rPr>
      </w:pPr>
      <w:r w:rsidRPr="000962D8">
        <w:rPr>
          <w:b/>
        </w:rPr>
        <w:t>Consumer Financial Protection Act</w:t>
      </w:r>
    </w:p>
    <w:p w14:paraId="5014B571" w14:textId="77777777" w:rsidR="000962D8" w:rsidRPr="000962D8" w:rsidRDefault="000962D8" w:rsidP="000962D8">
      <w:pPr>
        <w:numPr>
          <w:ilvl w:val="0"/>
          <w:numId w:val="3"/>
        </w:numPr>
        <w:rPr>
          <w:b/>
        </w:rPr>
      </w:pPr>
      <w:r w:rsidRPr="000962D8">
        <w:rPr>
          <w:b/>
        </w:rPr>
        <w:t>Coronavirus Aid, Relief and Economic Security Act (CARES-ACT)</w:t>
      </w:r>
    </w:p>
    <w:p w14:paraId="45819940" w14:textId="77777777" w:rsidR="000962D8" w:rsidRPr="000962D8" w:rsidRDefault="000962D8" w:rsidP="000962D8">
      <w:pPr>
        <w:numPr>
          <w:ilvl w:val="0"/>
          <w:numId w:val="3"/>
        </w:numPr>
        <w:rPr>
          <w:b/>
        </w:rPr>
      </w:pPr>
      <w:r w:rsidRPr="000962D8">
        <w:rPr>
          <w:b/>
        </w:rPr>
        <w:t>Credit Card Accountability Responsibility and Disclosure Act</w:t>
      </w:r>
    </w:p>
    <w:p w14:paraId="17E106FE" w14:textId="77777777" w:rsidR="000962D8" w:rsidRPr="000962D8" w:rsidRDefault="000962D8" w:rsidP="000962D8">
      <w:pPr>
        <w:numPr>
          <w:ilvl w:val="0"/>
          <w:numId w:val="3"/>
        </w:numPr>
        <w:rPr>
          <w:b/>
        </w:rPr>
      </w:pPr>
      <w:r w:rsidRPr="000962D8">
        <w:rPr>
          <w:b/>
        </w:rPr>
        <w:t>Dodd-Frank Wall Street Reform and Consumer Protection Act</w:t>
      </w:r>
    </w:p>
    <w:p w14:paraId="2ED5F07A" w14:textId="77777777" w:rsidR="000962D8" w:rsidRPr="000962D8" w:rsidRDefault="000962D8" w:rsidP="000962D8">
      <w:pPr>
        <w:numPr>
          <w:ilvl w:val="0"/>
          <w:numId w:val="3"/>
        </w:numPr>
        <w:rPr>
          <w:b/>
        </w:rPr>
      </w:pPr>
      <w:r w:rsidRPr="000962D8">
        <w:rPr>
          <w:b/>
        </w:rPr>
        <w:t>Economic Growth, Regulatory Relief and Consumer Protection Act</w:t>
      </w:r>
    </w:p>
    <w:p w14:paraId="6077469E" w14:textId="77777777" w:rsidR="000962D8" w:rsidRPr="000962D8" w:rsidRDefault="000962D8" w:rsidP="000962D8">
      <w:pPr>
        <w:numPr>
          <w:ilvl w:val="0"/>
          <w:numId w:val="3"/>
        </w:numPr>
        <w:rPr>
          <w:b/>
        </w:rPr>
      </w:pPr>
      <w:r w:rsidRPr="000962D8">
        <w:rPr>
          <w:b/>
        </w:rPr>
        <w:t>Electronic Fund Transfer Act</w:t>
      </w:r>
    </w:p>
    <w:p w14:paraId="5ADD147B" w14:textId="77777777" w:rsidR="000962D8" w:rsidRPr="000962D8" w:rsidRDefault="000962D8" w:rsidP="000962D8">
      <w:pPr>
        <w:numPr>
          <w:ilvl w:val="0"/>
          <w:numId w:val="3"/>
        </w:numPr>
        <w:rPr>
          <w:b/>
        </w:rPr>
      </w:pPr>
      <w:r w:rsidRPr="000962D8">
        <w:rPr>
          <w:b/>
        </w:rPr>
        <w:t xml:space="preserve">Equal Credit Opportunity Act </w:t>
      </w:r>
    </w:p>
    <w:p w14:paraId="6E67A0E7" w14:textId="77777777" w:rsidR="000962D8" w:rsidRPr="000962D8" w:rsidRDefault="000962D8" w:rsidP="000962D8">
      <w:pPr>
        <w:numPr>
          <w:ilvl w:val="0"/>
          <w:numId w:val="3"/>
        </w:numPr>
        <w:rPr>
          <w:b/>
        </w:rPr>
      </w:pPr>
      <w:r w:rsidRPr="000962D8">
        <w:rPr>
          <w:b/>
        </w:rPr>
        <w:t>Expedited Funds Availability Act</w:t>
      </w:r>
    </w:p>
    <w:p w14:paraId="18949F2D" w14:textId="77777777" w:rsidR="000962D8" w:rsidRPr="000962D8" w:rsidRDefault="000962D8" w:rsidP="000962D8">
      <w:pPr>
        <w:numPr>
          <w:ilvl w:val="0"/>
          <w:numId w:val="3"/>
        </w:numPr>
        <w:rPr>
          <w:b/>
        </w:rPr>
      </w:pPr>
      <w:r w:rsidRPr="000962D8">
        <w:rPr>
          <w:b/>
        </w:rPr>
        <w:t>Fair and Accurate Credit Transactions Act</w:t>
      </w:r>
    </w:p>
    <w:p w14:paraId="18AB527F" w14:textId="77777777" w:rsidR="000962D8" w:rsidRPr="000962D8" w:rsidRDefault="000962D8" w:rsidP="000962D8">
      <w:pPr>
        <w:numPr>
          <w:ilvl w:val="0"/>
          <w:numId w:val="3"/>
        </w:numPr>
        <w:rPr>
          <w:b/>
        </w:rPr>
      </w:pPr>
      <w:r w:rsidRPr="000962D8">
        <w:rPr>
          <w:b/>
        </w:rPr>
        <w:t>Fair Debt Collection Practices Act</w:t>
      </w:r>
    </w:p>
    <w:p w14:paraId="7F88A11C" w14:textId="77777777" w:rsidR="000962D8" w:rsidRPr="000962D8" w:rsidRDefault="000962D8" w:rsidP="000962D8">
      <w:pPr>
        <w:numPr>
          <w:ilvl w:val="0"/>
          <w:numId w:val="3"/>
        </w:numPr>
        <w:rPr>
          <w:b/>
        </w:rPr>
      </w:pPr>
      <w:r w:rsidRPr="000962D8">
        <w:rPr>
          <w:b/>
        </w:rPr>
        <w:t>Fair Housing Act</w:t>
      </w:r>
    </w:p>
    <w:p w14:paraId="37999A3F" w14:textId="77777777" w:rsidR="000962D8" w:rsidRPr="000962D8" w:rsidRDefault="000962D8" w:rsidP="000962D8">
      <w:pPr>
        <w:numPr>
          <w:ilvl w:val="0"/>
          <w:numId w:val="3"/>
        </w:numPr>
        <w:rPr>
          <w:b/>
        </w:rPr>
      </w:pPr>
      <w:r w:rsidRPr="000962D8">
        <w:rPr>
          <w:b/>
        </w:rPr>
        <w:t>Federal Reserve Act</w:t>
      </w:r>
    </w:p>
    <w:p w14:paraId="1ABF2C18" w14:textId="77777777" w:rsidR="000962D8" w:rsidRPr="000962D8" w:rsidRDefault="000962D8" w:rsidP="000962D8">
      <w:pPr>
        <w:numPr>
          <w:ilvl w:val="0"/>
          <w:numId w:val="3"/>
        </w:numPr>
        <w:rPr>
          <w:b/>
        </w:rPr>
      </w:pPr>
      <w:r w:rsidRPr="000962D8">
        <w:rPr>
          <w:b/>
        </w:rPr>
        <w:t>Flood Disaster Protection Act (FDPA)</w:t>
      </w:r>
    </w:p>
    <w:p w14:paraId="330B59F4" w14:textId="77777777" w:rsidR="000962D8" w:rsidRPr="000962D8" w:rsidRDefault="000962D8" w:rsidP="000962D8">
      <w:pPr>
        <w:numPr>
          <w:ilvl w:val="0"/>
          <w:numId w:val="3"/>
        </w:numPr>
        <w:rPr>
          <w:b/>
        </w:rPr>
      </w:pPr>
      <w:r w:rsidRPr="000962D8">
        <w:rPr>
          <w:b/>
        </w:rPr>
        <w:t>Foreign Corrupt Practice Act</w:t>
      </w:r>
    </w:p>
    <w:p w14:paraId="5586B92F" w14:textId="77777777" w:rsidR="000962D8" w:rsidRPr="000962D8" w:rsidRDefault="000962D8" w:rsidP="000962D8">
      <w:pPr>
        <w:numPr>
          <w:ilvl w:val="0"/>
          <w:numId w:val="3"/>
        </w:numPr>
        <w:rPr>
          <w:b/>
        </w:rPr>
      </w:pPr>
      <w:r w:rsidRPr="000962D8">
        <w:rPr>
          <w:b/>
        </w:rPr>
        <w:t>Garnishment Rule</w:t>
      </w:r>
    </w:p>
    <w:p w14:paraId="2C7B2E38" w14:textId="77777777" w:rsidR="000962D8" w:rsidRPr="000962D8" w:rsidRDefault="000962D8" w:rsidP="000962D8">
      <w:pPr>
        <w:numPr>
          <w:ilvl w:val="0"/>
          <w:numId w:val="3"/>
        </w:numPr>
        <w:rPr>
          <w:b/>
        </w:rPr>
      </w:pPr>
      <w:r w:rsidRPr="000962D8">
        <w:rPr>
          <w:b/>
        </w:rPr>
        <w:t>General Data Protection Regulation (GDPR)</w:t>
      </w:r>
    </w:p>
    <w:p w14:paraId="0CA8F4A3" w14:textId="77777777" w:rsidR="000962D8" w:rsidRPr="000962D8" w:rsidRDefault="000962D8" w:rsidP="000962D8">
      <w:pPr>
        <w:numPr>
          <w:ilvl w:val="0"/>
          <w:numId w:val="3"/>
        </w:numPr>
        <w:rPr>
          <w:b/>
        </w:rPr>
      </w:pPr>
      <w:r w:rsidRPr="000962D8">
        <w:rPr>
          <w:b/>
        </w:rPr>
        <w:t>Gramm Leach Bliley Act</w:t>
      </w:r>
    </w:p>
    <w:p w14:paraId="48BDBFF8" w14:textId="77777777" w:rsidR="000962D8" w:rsidRPr="000962D8" w:rsidRDefault="000962D8" w:rsidP="000962D8">
      <w:pPr>
        <w:numPr>
          <w:ilvl w:val="0"/>
          <w:numId w:val="3"/>
        </w:numPr>
        <w:rPr>
          <w:b/>
        </w:rPr>
      </w:pPr>
      <w:r w:rsidRPr="000962D8">
        <w:rPr>
          <w:b/>
        </w:rPr>
        <w:t>Home Mortgage-Disclosure Act</w:t>
      </w:r>
    </w:p>
    <w:p w14:paraId="327A741F" w14:textId="77777777" w:rsidR="000962D8" w:rsidRPr="000962D8" w:rsidRDefault="000962D8" w:rsidP="000962D8">
      <w:pPr>
        <w:numPr>
          <w:ilvl w:val="0"/>
          <w:numId w:val="3"/>
        </w:numPr>
        <w:rPr>
          <w:b/>
        </w:rPr>
      </w:pPr>
      <w:r w:rsidRPr="000962D8">
        <w:rPr>
          <w:b/>
        </w:rPr>
        <w:t>Home Owners Loan Act</w:t>
      </w:r>
    </w:p>
    <w:p w14:paraId="1EC599BD" w14:textId="77777777" w:rsidR="000962D8" w:rsidRPr="000962D8" w:rsidRDefault="000962D8" w:rsidP="000962D8">
      <w:pPr>
        <w:numPr>
          <w:ilvl w:val="0"/>
          <w:numId w:val="3"/>
        </w:numPr>
        <w:rPr>
          <w:b/>
        </w:rPr>
      </w:pPr>
      <w:r w:rsidRPr="000962D8">
        <w:rPr>
          <w:b/>
        </w:rPr>
        <w:t>Military Lending Act</w:t>
      </w:r>
    </w:p>
    <w:p w14:paraId="1DA79E49" w14:textId="77777777" w:rsidR="000962D8" w:rsidRPr="000962D8" w:rsidRDefault="000962D8" w:rsidP="000962D8">
      <w:pPr>
        <w:numPr>
          <w:ilvl w:val="0"/>
          <w:numId w:val="3"/>
        </w:numPr>
        <w:rPr>
          <w:b/>
        </w:rPr>
      </w:pPr>
      <w:r w:rsidRPr="000962D8">
        <w:rPr>
          <w:b/>
        </w:rPr>
        <w:t>NIST Security Control Policies</w:t>
      </w:r>
    </w:p>
    <w:p w14:paraId="427019F5" w14:textId="77777777" w:rsidR="000962D8" w:rsidRPr="000962D8" w:rsidRDefault="000962D8" w:rsidP="000962D8">
      <w:pPr>
        <w:numPr>
          <w:ilvl w:val="0"/>
          <w:numId w:val="3"/>
        </w:numPr>
        <w:rPr>
          <w:b/>
        </w:rPr>
      </w:pPr>
      <w:r w:rsidRPr="000962D8">
        <w:rPr>
          <w:b/>
        </w:rPr>
        <w:lastRenderedPageBreak/>
        <w:t>Payment Card Industry (PCI) Data Security Standards (DSS)</w:t>
      </w:r>
    </w:p>
    <w:p w14:paraId="61A091C3" w14:textId="77777777" w:rsidR="000962D8" w:rsidRPr="000962D8" w:rsidRDefault="000962D8" w:rsidP="000962D8">
      <w:pPr>
        <w:numPr>
          <w:ilvl w:val="0"/>
          <w:numId w:val="3"/>
        </w:numPr>
        <w:rPr>
          <w:b/>
        </w:rPr>
      </w:pPr>
      <w:r w:rsidRPr="000962D8">
        <w:rPr>
          <w:b/>
        </w:rPr>
        <w:t>Real Estate Settlement Procedures Act</w:t>
      </w:r>
    </w:p>
    <w:p w14:paraId="6804C3CC" w14:textId="77777777" w:rsidR="000962D8" w:rsidRPr="000962D8" w:rsidRDefault="000962D8" w:rsidP="000962D8">
      <w:pPr>
        <w:numPr>
          <w:ilvl w:val="0"/>
          <w:numId w:val="3"/>
        </w:numPr>
        <w:rPr>
          <w:b/>
        </w:rPr>
      </w:pPr>
      <w:r w:rsidRPr="000962D8">
        <w:rPr>
          <w:b/>
        </w:rPr>
        <w:t>Risk Management Framework (RMF)</w:t>
      </w:r>
    </w:p>
    <w:p w14:paraId="19D860C6" w14:textId="77777777" w:rsidR="000962D8" w:rsidRPr="000962D8" w:rsidRDefault="000962D8" w:rsidP="000962D8">
      <w:pPr>
        <w:numPr>
          <w:ilvl w:val="0"/>
          <w:numId w:val="3"/>
        </w:numPr>
        <w:rPr>
          <w:b/>
        </w:rPr>
      </w:pPr>
      <w:r w:rsidRPr="000962D8">
        <w:rPr>
          <w:b/>
        </w:rPr>
        <w:t>Right to Financial Privacy Act</w:t>
      </w:r>
    </w:p>
    <w:p w14:paraId="1D05427B" w14:textId="77777777" w:rsidR="000962D8" w:rsidRPr="000962D8" w:rsidRDefault="000962D8" w:rsidP="000962D8">
      <w:pPr>
        <w:numPr>
          <w:ilvl w:val="0"/>
          <w:numId w:val="3"/>
        </w:numPr>
        <w:rPr>
          <w:b/>
        </w:rPr>
      </w:pPr>
      <w:r w:rsidRPr="000962D8">
        <w:rPr>
          <w:b/>
        </w:rPr>
        <w:t>Sarbanes-Oxley (SOX) act of 2002. Protecting investors from financial scams</w:t>
      </w:r>
    </w:p>
    <w:p w14:paraId="6DD42526" w14:textId="77777777" w:rsidR="000962D8" w:rsidRPr="000962D8" w:rsidRDefault="000962D8" w:rsidP="000962D8">
      <w:pPr>
        <w:numPr>
          <w:ilvl w:val="0"/>
          <w:numId w:val="3"/>
        </w:numPr>
        <w:rPr>
          <w:b/>
        </w:rPr>
      </w:pPr>
      <w:r w:rsidRPr="000962D8">
        <w:rPr>
          <w:b/>
        </w:rPr>
        <w:t xml:space="preserve">Service members Civil Relief Act </w:t>
      </w:r>
    </w:p>
    <w:p w14:paraId="7EA2130B" w14:textId="77777777" w:rsidR="000962D8" w:rsidRPr="000962D8" w:rsidRDefault="000962D8" w:rsidP="000962D8">
      <w:pPr>
        <w:numPr>
          <w:ilvl w:val="0"/>
          <w:numId w:val="3"/>
        </w:numPr>
        <w:rPr>
          <w:b/>
        </w:rPr>
      </w:pPr>
      <w:r w:rsidRPr="000962D8">
        <w:rPr>
          <w:b/>
        </w:rPr>
        <w:t>Telephone Consumer Protection Act</w:t>
      </w:r>
    </w:p>
    <w:p w14:paraId="2AC19119" w14:textId="77777777" w:rsidR="000962D8" w:rsidRPr="000962D8" w:rsidRDefault="000962D8" w:rsidP="000962D8">
      <w:pPr>
        <w:numPr>
          <w:ilvl w:val="0"/>
          <w:numId w:val="3"/>
        </w:numPr>
        <w:rPr>
          <w:b/>
        </w:rPr>
      </w:pPr>
      <w:r w:rsidRPr="000962D8">
        <w:rPr>
          <w:b/>
        </w:rPr>
        <w:t>Truth in Savings Act</w:t>
      </w:r>
    </w:p>
    <w:p w14:paraId="5EE8288C" w14:textId="77777777" w:rsidR="000962D8" w:rsidRPr="000962D8" w:rsidRDefault="000962D8" w:rsidP="000962D8">
      <w:pPr>
        <w:numPr>
          <w:ilvl w:val="0"/>
          <w:numId w:val="3"/>
        </w:numPr>
        <w:rPr>
          <w:b/>
        </w:rPr>
      </w:pPr>
      <w:r w:rsidRPr="000962D8">
        <w:rPr>
          <w:b/>
        </w:rPr>
        <w:t>Unlawful Internet Gambling Enforcement Act</w:t>
      </w:r>
    </w:p>
    <w:p w14:paraId="0B68731B" w14:textId="77777777" w:rsidR="00107344" w:rsidRDefault="00107344" w:rsidP="00B24CFA">
      <w:pPr>
        <w:pStyle w:val="Heading2"/>
      </w:pPr>
      <w:bookmarkStart w:id="1" w:name="_Toc146302474"/>
      <w:r w:rsidRPr="000962D8">
        <w:t>GFH Bank follows NIST 800-53 Rev 5 Cybersecurity Framework consist</w:t>
      </w:r>
      <w:r w:rsidR="007C5D7E">
        <w:t>s of</w:t>
      </w:r>
      <w:r w:rsidRPr="000962D8">
        <w:t xml:space="preserve"> five principles:</w:t>
      </w:r>
      <w:bookmarkEnd w:id="1"/>
    </w:p>
    <w:p w14:paraId="41148A08" w14:textId="77777777" w:rsidR="000962D8" w:rsidRPr="000962D8" w:rsidRDefault="000962D8" w:rsidP="000962D8">
      <w:r w:rsidRPr="000962D8">
        <w:rPr>
          <w:b/>
        </w:rPr>
        <w:t>Identify:</w:t>
      </w:r>
      <w:r w:rsidRPr="000962D8">
        <w:t xml:space="preserve">  System assets such as hardware and software, understanding and adhering to cybersecurity polices at both the federal, state and local levels</w:t>
      </w:r>
    </w:p>
    <w:p w14:paraId="4C0029BA" w14:textId="77777777" w:rsidR="000962D8" w:rsidRPr="000962D8" w:rsidRDefault="000962D8" w:rsidP="000962D8">
      <w:r w:rsidRPr="000962D8">
        <w:rPr>
          <w:b/>
        </w:rPr>
        <w:t>Protect</w:t>
      </w:r>
      <w:r w:rsidRPr="000962D8">
        <w:t>:   Protecting and safeguarding assets within the business organization</w:t>
      </w:r>
    </w:p>
    <w:p w14:paraId="3D4D8FB9" w14:textId="77777777" w:rsidR="000962D8" w:rsidRPr="000962D8" w:rsidRDefault="000962D8" w:rsidP="000962D8">
      <w:r w:rsidRPr="000962D8">
        <w:rPr>
          <w:b/>
        </w:rPr>
        <w:t>Detect:</w:t>
      </w:r>
      <w:r w:rsidRPr="000962D8">
        <w:t xml:space="preserve">   continuous monitoring of your network in Identifying and taking the necessary steps to mitigate anomalies in the system environment</w:t>
      </w:r>
    </w:p>
    <w:p w14:paraId="638F8D2A" w14:textId="77777777" w:rsidR="000962D8" w:rsidRPr="000962D8" w:rsidRDefault="000962D8" w:rsidP="000962D8">
      <w:r w:rsidRPr="00B13AB3">
        <w:rPr>
          <w:b/>
        </w:rPr>
        <w:t>Respond:</w:t>
      </w:r>
      <w:r w:rsidRPr="000962D8">
        <w:t xml:space="preserve"> Notification of security breaches, informing customers of data leakage maintain business operations, update cyber security policies on a semi-annual basis, understanding and knowing risk management</w:t>
      </w:r>
    </w:p>
    <w:p w14:paraId="15275FC0" w14:textId="77777777" w:rsidR="000962D8" w:rsidRPr="000962D8" w:rsidRDefault="000962D8" w:rsidP="000962D8">
      <w:r w:rsidRPr="000962D8">
        <w:rPr>
          <w:b/>
        </w:rPr>
        <w:t>Recover:</w:t>
      </w:r>
      <w:r w:rsidRPr="000962D8">
        <w:t xml:space="preserve"> Continuous Continuity of Operations from a cybersecurity incident</w:t>
      </w:r>
    </w:p>
    <w:p w14:paraId="2290F3E9" w14:textId="77777777" w:rsidR="000962D8" w:rsidRPr="000962D8" w:rsidRDefault="000962D8" w:rsidP="000962D8">
      <w:r w:rsidRPr="000962D8">
        <w:t>The National Institute of Standards and Technology (NIST) Special Publications (SP) 800-53, Rev 5 Control Mappings to ISO/IEC 27001 (July 2023): Purpose to implement, operate, monitor, review, maintain and improve information security management systems (ISMS) within the context of risks.</w:t>
      </w:r>
    </w:p>
    <w:p w14:paraId="2DE9FD19" w14:textId="77777777" w:rsidR="00107344" w:rsidRPr="000962D8" w:rsidRDefault="00107344" w:rsidP="00844A06">
      <w:pPr>
        <w:pStyle w:val="Heading2"/>
      </w:pPr>
      <w:bookmarkStart w:id="2" w:name="_Toc146302475"/>
      <w:r w:rsidRPr="000962D8">
        <w:t>System Features Based Upon User Requirements</w:t>
      </w:r>
      <w:bookmarkEnd w:id="2"/>
    </w:p>
    <w:p w14:paraId="049F7E8E" w14:textId="77777777" w:rsidR="000962D8" w:rsidRPr="000962D8" w:rsidRDefault="000962D8" w:rsidP="000962D8">
      <w:pPr>
        <w:numPr>
          <w:ilvl w:val="0"/>
          <w:numId w:val="4"/>
        </w:numPr>
      </w:pPr>
      <w:r w:rsidRPr="000962D8">
        <w:t>Intrusion Detection System (IDS)</w:t>
      </w:r>
    </w:p>
    <w:p w14:paraId="75C6B239" w14:textId="77777777" w:rsidR="000962D8" w:rsidRPr="000962D8" w:rsidRDefault="000962D8" w:rsidP="000962D8">
      <w:pPr>
        <w:numPr>
          <w:ilvl w:val="0"/>
          <w:numId w:val="4"/>
        </w:numPr>
      </w:pPr>
      <w:r w:rsidRPr="000962D8">
        <w:t>Wireless Intrusion Detection System (WIDS)</w:t>
      </w:r>
    </w:p>
    <w:p w14:paraId="62B02E17" w14:textId="77777777" w:rsidR="000962D8" w:rsidRPr="000962D8" w:rsidRDefault="000962D8" w:rsidP="000962D8">
      <w:pPr>
        <w:numPr>
          <w:ilvl w:val="0"/>
          <w:numId w:val="4"/>
        </w:numPr>
      </w:pPr>
      <w:r w:rsidRPr="000962D8">
        <w:t>Host Base Security System (HBSS)</w:t>
      </w:r>
    </w:p>
    <w:p w14:paraId="1BE50C16" w14:textId="77777777" w:rsidR="00DE713E" w:rsidRDefault="000962D8" w:rsidP="000A1404">
      <w:pPr>
        <w:numPr>
          <w:ilvl w:val="0"/>
          <w:numId w:val="4"/>
        </w:numPr>
      </w:pPr>
      <w:r w:rsidRPr="000962D8">
        <w:t>Anti-</w:t>
      </w:r>
      <w:r w:rsidR="009F554E">
        <w:t xml:space="preserve">virus </w:t>
      </w:r>
      <w:r w:rsidRPr="000962D8">
        <w:t xml:space="preserve">software (McAfee) </w:t>
      </w:r>
    </w:p>
    <w:p w14:paraId="3D0D78C4" w14:textId="77777777" w:rsidR="000962D8" w:rsidRPr="000962D8" w:rsidRDefault="009F554E" w:rsidP="000A1404">
      <w:pPr>
        <w:numPr>
          <w:ilvl w:val="0"/>
          <w:numId w:val="4"/>
        </w:numPr>
      </w:pPr>
      <w:r>
        <w:t>Patching (based upon quarterly cycle)</w:t>
      </w:r>
    </w:p>
    <w:p w14:paraId="48DEC9B3" w14:textId="77777777" w:rsidR="000962D8" w:rsidRPr="000962D8" w:rsidRDefault="00DE713E" w:rsidP="000962D8">
      <w:pPr>
        <w:numPr>
          <w:ilvl w:val="0"/>
          <w:numId w:val="4"/>
        </w:numPr>
      </w:pPr>
      <w:r>
        <w:t>Multi-</w:t>
      </w:r>
      <w:r w:rsidR="000962D8" w:rsidRPr="000962D8">
        <w:t xml:space="preserve"> factor authentications</w:t>
      </w:r>
    </w:p>
    <w:p w14:paraId="25ECB158" w14:textId="77777777" w:rsidR="000962D8" w:rsidRPr="000962D8" w:rsidRDefault="000962D8" w:rsidP="000962D8">
      <w:pPr>
        <w:numPr>
          <w:ilvl w:val="0"/>
          <w:numId w:val="4"/>
        </w:numPr>
      </w:pPr>
      <w:r w:rsidRPr="000962D8">
        <w:t>Firewall, routers, switches, SSL encryption</w:t>
      </w:r>
    </w:p>
    <w:p w14:paraId="045C443B" w14:textId="77777777" w:rsidR="00107344" w:rsidRPr="000962D8" w:rsidRDefault="000962D8" w:rsidP="00980A4D">
      <w:pPr>
        <w:numPr>
          <w:ilvl w:val="0"/>
          <w:numId w:val="4"/>
        </w:numPr>
      </w:pPr>
      <w:r w:rsidRPr="000962D8">
        <w:t>Authentication timeout notifications</w:t>
      </w:r>
    </w:p>
    <w:p w14:paraId="62B234F1" w14:textId="77777777" w:rsidR="000962D8" w:rsidRPr="000962D8" w:rsidRDefault="00980A4D" w:rsidP="00980A4D">
      <w:pPr>
        <w:pStyle w:val="Heading2"/>
      </w:pPr>
      <w:bookmarkStart w:id="3" w:name="_Toc146302476"/>
      <w:r>
        <w:lastRenderedPageBreak/>
        <w:t xml:space="preserve">Example of </w:t>
      </w:r>
      <w:r w:rsidR="000962D8" w:rsidRPr="000962D8">
        <w:t xml:space="preserve">Data Security Controls </w:t>
      </w:r>
      <w:r>
        <w:t xml:space="preserve">GFH Implements </w:t>
      </w:r>
      <w:r w:rsidR="000962D8" w:rsidRPr="000962D8">
        <w:t>in Protecting Consumer Data:</w:t>
      </w:r>
      <w:bookmarkEnd w:id="3"/>
      <w:r w:rsidR="000962D8" w:rsidRPr="000962D8">
        <w:t xml:space="preserve"> </w:t>
      </w:r>
    </w:p>
    <w:p w14:paraId="69A5F384" w14:textId="77777777" w:rsidR="000962D8" w:rsidRPr="000962D8" w:rsidRDefault="000962D8" w:rsidP="000962D8">
      <w:r w:rsidRPr="000962D8">
        <w:t>Protections against data leaks: AC-4, AC-5, AC-5, AU-13, PE-19, PS-6, SC-7, SI-4</w:t>
      </w:r>
    </w:p>
    <w:p w14:paraId="1E7BF35C" w14:textId="77777777" w:rsidR="000962D8" w:rsidRPr="000962D8" w:rsidRDefault="000962D8" w:rsidP="000962D8">
      <w:r w:rsidRPr="000962D8">
        <w:t>Asset Management: AC-4, CA-3, CA-9, PL-8, SA-17</w:t>
      </w:r>
    </w:p>
    <w:p w14:paraId="1433D330" w14:textId="77777777" w:rsidR="000962D8" w:rsidRPr="000962D8" w:rsidRDefault="000962D8" w:rsidP="000962D8">
      <w:r w:rsidRPr="000962D8">
        <w:t>Integrity checks mechanisms used to verify software, firmware, and information integrity: SI-7. SI-10</w:t>
      </w:r>
    </w:p>
    <w:p w14:paraId="233985D9" w14:textId="77777777" w:rsidR="000962D8" w:rsidRPr="000962D8" w:rsidRDefault="000962D8" w:rsidP="000962D8">
      <w:r w:rsidRPr="000962D8">
        <w:t>Monitoring for unauthorized personnel, connections, devices, and software is performed: AU-12, CA-7, CM-3, CM-8, PE-6, PE-20, SI-4</w:t>
      </w:r>
    </w:p>
    <w:p w14:paraId="70D08C27" w14:textId="77777777" w:rsidR="000962D8" w:rsidRPr="000962D8" w:rsidRDefault="000962D8" w:rsidP="000962D8">
      <w:r w:rsidRPr="000962D8">
        <w:t xml:space="preserve">Incident Response: Recovery processes and procedures are </w:t>
      </w:r>
      <w:r w:rsidR="00124D6C">
        <w:t xml:space="preserve">in place </w:t>
      </w:r>
      <w:r w:rsidRPr="000962D8">
        <w:t xml:space="preserve">to ensure restoration of systems or assets affected by cybersecurity incidents:  CP-10, IR-4, </w:t>
      </w:r>
      <w:r w:rsidR="00124D6C" w:rsidRPr="000962D8">
        <w:t>and IR</w:t>
      </w:r>
      <w:r w:rsidRPr="000962D8">
        <w:t>-8</w:t>
      </w:r>
    </w:p>
    <w:p w14:paraId="0B9DA876" w14:textId="77777777" w:rsidR="000962D8" w:rsidRPr="000962D8" w:rsidRDefault="000962D8" w:rsidP="000962D8">
      <w:pPr>
        <w:rPr>
          <w:b/>
        </w:rPr>
      </w:pPr>
      <w:r w:rsidRPr="000962D8">
        <w:rPr>
          <w:b/>
        </w:rPr>
        <w:t xml:space="preserve">*Please note: This is not complete list of the security controls. All security controls </w:t>
      </w:r>
      <w:r w:rsidR="0094559D">
        <w:rPr>
          <w:b/>
        </w:rPr>
        <w:t>can be</w:t>
      </w:r>
      <w:r w:rsidRPr="000962D8">
        <w:rPr>
          <w:b/>
        </w:rPr>
        <w:t xml:space="preserve"> tailored based upon the business environment. Please reference your organizations security policy and the NIST family of security controls for further guidance. </w:t>
      </w:r>
    </w:p>
    <w:p w14:paraId="580EEC4B" w14:textId="77777777" w:rsidR="0050046D" w:rsidRDefault="0050046D" w:rsidP="00E70D9C">
      <w:pPr>
        <w:pStyle w:val="Heading2"/>
      </w:pPr>
      <w:bookmarkStart w:id="4" w:name="_Toc146302477"/>
      <w:r>
        <w:t>References:</w:t>
      </w:r>
      <w:bookmarkEnd w:id="4"/>
    </w:p>
    <w:p w14:paraId="4F8BD555" w14:textId="77777777" w:rsidR="0050046D" w:rsidRPr="0050046D" w:rsidRDefault="0050046D" w:rsidP="0050046D">
      <w:r w:rsidRPr="0050046D">
        <w:rPr>
          <w:i/>
          <w:iCs/>
        </w:rPr>
        <w:t>Acts &amp; Regulations</w:t>
      </w:r>
      <w:r w:rsidRPr="0050046D">
        <w:t>. https://www.aba.com/banking-topics/compliance/acts. Accessed 22 Sept. 2023.</w:t>
      </w:r>
    </w:p>
    <w:p w14:paraId="5D1EEFDE" w14:textId="77777777" w:rsidR="0050046D" w:rsidRPr="0050046D" w:rsidRDefault="0050046D" w:rsidP="0050046D">
      <w:r w:rsidRPr="0050046D">
        <w:t xml:space="preserve">“Cybersecurity Framework Crosswalk.” </w:t>
      </w:r>
      <w:r w:rsidRPr="0050046D">
        <w:rPr>
          <w:i/>
          <w:iCs/>
        </w:rPr>
        <w:t>NIST</w:t>
      </w:r>
      <w:r w:rsidRPr="0050046D">
        <w:t xml:space="preserve">, Jan. 2020. </w:t>
      </w:r>
      <w:r w:rsidRPr="0050046D">
        <w:rPr>
          <w:i/>
          <w:iCs/>
        </w:rPr>
        <w:t>www.nist.gov</w:t>
      </w:r>
      <w:r w:rsidRPr="0050046D">
        <w:t>, https://www.nist.gov/privacy-framework/resource-repository/browse/crosswalks/cybersecurity-framework-crosswalk.</w:t>
      </w:r>
    </w:p>
    <w:p w14:paraId="06E4F11E" w14:textId="77777777" w:rsidR="0050046D" w:rsidRPr="0050046D" w:rsidRDefault="0050046D" w:rsidP="00C50749">
      <w:r w:rsidRPr="0050046D">
        <w:t xml:space="preserve">Initiative, Joint Task Force Transformation. </w:t>
      </w:r>
      <w:r w:rsidRPr="0050046D">
        <w:rPr>
          <w:i/>
          <w:iCs/>
        </w:rPr>
        <w:t>Managing Information Security Risk: Organization, Mission, and Information System View</w:t>
      </w:r>
      <w:r w:rsidRPr="0050046D">
        <w:t xml:space="preserve">. NIST Special Publication (SP) 800-39, National Institute of Standards and </w:t>
      </w:r>
    </w:p>
    <w:p w14:paraId="1802BABB" w14:textId="77777777" w:rsidR="0050046D" w:rsidRPr="0050046D" w:rsidRDefault="00C50749" w:rsidP="0050046D">
      <w:r w:rsidRPr="0050046D">
        <w:t xml:space="preserve"> </w:t>
      </w:r>
      <w:r w:rsidR="0050046D" w:rsidRPr="0050046D">
        <w:t xml:space="preserve">“Security and Privacy Controls for Information Systems and Organizations.” </w:t>
      </w:r>
      <w:r w:rsidR="0050046D" w:rsidRPr="0050046D">
        <w:rPr>
          <w:i/>
          <w:iCs/>
        </w:rPr>
        <w:t>Security and Privacy Controls for Information Systems and Organizations</w:t>
      </w:r>
      <w:r w:rsidR="0050046D" w:rsidRPr="0050046D">
        <w:t>, National Institute of Standards Technology, 8 July 2023, https://crsc.nis.gov/pubs/sp/800/53/r5/upd1/final.</w:t>
      </w:r>
    </w:p>
    <w:p w14:paraId="3BC25F91" w14:textId="77777777" w:rsidR="0050046D" w:rsidRDefault="0050046D" w:rsidP="0050046D">
      <w:r w:rsidRPr="0050046D">
        <w:t xml:space="preserve">“The Five Functions.” </w:t>
      </w:r>
      <w:r w:rsidRPr="0050046D">
        <w:rPr>
          <w:i/>
          <w:iCs/>
        </w:rPr>
        <w:t>NIST</w:t>
      </w:r>
      <w:r w:rsidRPr="0050046D">
        <w:t xml:space="preserve">, Apr. 2018. </w:t>
      </w:r>
      <w:r w:rsidRPr="0050046D">
        <w:rPr>
          <w:i/>
          <w:iCs/>
        </w:rPr>
        <w:t>www.nist.gov</w:t>
      </w:r>
      <w:r w:rsidRPr="0050046D">
        <w:t xml:space="preserve">, </w:t>
      </w:r>
      <w:hyperlink r:id="rId6" w:history="1">
        <w:r w:rsidR="00AD095E" w:rsidRPr="00692269">
          <w:rPr>
            <w:rStyle w:val="Hyperlink"/>
          </w:rPr>
          <w:t>https://www.nist.gov/cyberframework/online-learning/five-functions</w:t>
        </w:r>
      </w:hyperlink>
      <w:r w:rsidRPr="0050046D">
        <w:t>.</w:t>
      </w:r>
    </w:p>
    <w:p w14:paraId="2AD90A08" w14:textId="77777777" w:rsidR="0050046D" w:rsidRDefault="0050046D" w:rsidP="00CC3CD3"/>
    <w:sectPr w:rsidR="00500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2316F"/>
    <w:multiLevelType w:val="hybridMultilevel"/>
    <w:tmpl w:val="0F8E25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72FA5"/>
    <w:multiLevelType w:val="hybridMultilevel"/>
    <w:tmpl w:val="0A3E4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871029"/>
    <w:multiLevelType w:val="hybridMultilevel"/>
    <w:tmpl w:val="0F8E2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C26B37"/>
    <w:multiLevelType w:val="hybridMultilevel"/>
    <w:tmpl w:val="E744D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8708198">
    <w:abstractNumId w:val="2"/>
  </w:num>
  <w:num w:numId="2" w16cid:durableId="1041441771">
    <w:abstractNumId w:val="0"/>
  </w:num>
  <w:num w:numId="3" w16cid:durableId="789402584">
    <w:abstractNumId w:val="1"/>
  </w:num>
  <w:num w:numId="4" w16cid:durableId="755983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2D8"/>
    <w:rsid w:val="00082120"/>
    <w:rsid w:val="000962D8"/>
    <w:rsid w:val="00107344"/>
    <w:rsid w:val="00124D6C"/>
    <w:rsid w:val="001900E1"/>
    <w:rsid w:val="00300019"/>
    <w:rsid w:val="00306FE8"/>
    <w:rsid w:val="003B338E"/>
    <w:rsid w:val="0050046D"/>
    <w:rsid w:val="005624DC"/>
    <w:rsid w:val="005B3777"/>
    <w:rsid w:val="00684864"/>
    <w:rsid w:val="006D7905"/>
    <w:rsid w:val="00753174"/>
    <w:rsid w:val="00774802"/>
    <w:rsid w:val="00795F2D"/>
    <w:rsid w:val="007C4B4D"/>
    <w:rsid w:val="007C5D7E"/>
    <w:rsid w:val="00844A06"/>
    <w:rsid w:val="0094559D"/>
    <w:rsid w:val="00980A4D"/>
    <w:rsid w:val="009A6DA7"/>
    <w:rsid w:val="009F554E"/>
    <w:rsid w:val="00A4200C"/>
    <w:rsid w:val="00A85B52"/>
    <w:rsid w:val="00AD095E"/>
    <w:rsid w:val="00AE5CC6"/>
    <w:rsid w:val="00B13AB3"/>
    <w:rsid w:val="00B24CFA"/>
    <w:rsid w:val="00B35A4E"/>
    <w:rsid w:val="00B53D72"/>
    <w:rsid w:val="00B73D9D"/>
    <w:rsid w:val="00BC52A9"/>
    <w:rsid w:val="00C475B1"/>
    <w:rsid w:val="00C50749"/>
    <w:rsid w:val="00C72E0D"/>
    <w:rsid w:val="00CC3CD3"/>
    <w:rsid w:val="00CE2CA4"/>
    <w:rsid w:val="00D33AD7"/>
    <w:rsid w:val="00DB1229"/>
    <w:rsid w:val="00DE4BE2"/>
    <w:rsid w:val="00DE713E"/>
    <w:rsid w:val="00E4347C"/>
    <w:rsid w:val="00E70D9C"/>
    <w:rsid w:val="00EA2B17"/>
    <w:rsid w:val="00EB7586"/>
    <w:rsid w:val="00ED7C6E"/>
    <w:rsid w:val="00F17C72"/>
    <w:rsid w:val="00FC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0332"/>
  <w15:chartTrackingRefBased/>
  <w15:docId w15:val="{F4C74F26-FD9A-4668-A005-FAE32A0C4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D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4C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CC3C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2D8"/>
    <w:rPr>
      <w:color w:val="0563C1" w:themeColor="hyperlink"/>
      <w:u w:val="single"/>
    </w:rPr>
  </w:style>
  <w:style w:type="character" w:customStyle="1" w:styleId="Heading2Char">
    <w:name w:val="Heading 2 Char"/>
    <w:basedOn w:val="DefaultParagraphFont"/>
    <w:link w:val="Heading2"/>
    <w:uiPriority w:val="9"/>
    <w:rsid w:val="00B24CFA"/>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CC3CD3"/>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306FE8"/>
    <w:rPr>
      <w:color w:val="954F72" w:themeColor="followedHyperlink"/>
      <w:u w:val="single"/>
    </w:rPr>
  </w:style>
  <w:style w:type="character" w:customStyle="1" w:styleId="Heading1Char">
    <w:name w:val="Heading 1 Char"/>
    <w:basedOn w:val="DefaultParagraphFont"/>
    <w:link w:val="Heading1"/>
    <w:uiPriority w:val="9"/>
    <w:rsid w:val="00B53D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53D72"/>
    <w:pPr>
      <w:outlineLvl w:val="9"/>
    </w:pPr>
  </w:style>
  <w:style w:type="paragraph" w:styleId="TOC2">
    <w:name w:val="toc 2"/>
    <w:basedOn w:val="Normal"/>
    <w:next w:val="Normal"/>
    <w:autoRedefine/>
    <w:uiPriority w:val="39"/>
    <w:unhideWhenUsed/>
    <w:rsid w:val="00B53D7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748395">
      <w:bodyDiv w:val="1"/>
      <w:marLeft w:val="0"/>
      <w:marRight w:val="0"/>
      <w:marTop w:val="0"/>
      <w:marBottom w:val="0"/>
      <w:divBdr>
        <w:top w:val="none" w:sz="0" w:space="0" w:color="auto"/>
        <w:left w:val="none" w:sz="0" w:space="0" w:color="auto"/>
        <w:bottom w:val="none" w:sz="0" w:space="0" w:color="auto"/>
        <w:right w:val="none" w:sz="0" w:space="0" w:color="auto"/>
      </w:divBdr>
    </w:div>
    <w:div w:id="962886465">
      <w:bodyDiv w:val="1"/>
      <w:marLeft w:val="0"/>
      <w:marRight w:val="0"/>
      <w:marTop w:val="0"/>
      <w:marBottom w:val="0"/>
      <w:divBdr>
        <w:top w:val="none" w:sz="0" w:space="0" w:color="auto"/>
        <w:left w:val="none" w:sz="0" w:space="0" w:color="auto"/>
        <w:bottom w:val="none" w:sz="0" w:space="0" w:color="auto"/>
        <w:right w:val="none" w:sz="0" w:space="0" w:color="auto"/>
      </w:divBdr>
      <w:divsChild>
        <w:div w:id="1680887228">
          <w:marLeft w:val="480"/>
          <w:marRight w:val="0"/>
          <w:marTop w:val="0"/>
          <w:marBottom w:val="0"/>
          <w:divBdr>
            <w:top w:val="none" w:sz="0" w:space="0" w:color="auto"/>
            <w:left w:val="none" w:sz="0" w:space="0" w:color="auto"/>
            <w:bottom w:val="none" w:sz="0" w:space="0" w:color="auto"/>
            <w:right w:val="none" w:sz="0" w:space="0" w:color="auto"/>
          </w:divBdr>
          <w:divsChild>
            <w:div w:id="2043165582">
              <w:marLeft w:val="0"/>
              <w:marRight w:val="0"/>
              <w:marTop w:val="0"/>
              <w:marBottom w:val="0"/>
              <w:divBdr>
                <w:top w:val="none" w:sz="0" w:space="0" w:color="auto"/>
                <w:left w:val="none" w:sz="0" w:space="0" w:color="auto"/>
                <w:bottom w:val="none" w:sz="0" w:space="0" w:color="auto"/>
                <w:right w:val="none" w:sz="0" w:space="0" w:color="auto"/>
              </w:divBdr>
            </w:div>
            <w:div w:id="1446391565">
              <w:marLeft w:val="0"/>
              <w:marRight w:val="0"/>
              <w:marTop w:val="0"/>
              <w:marBottom w:val="0"/>
              <w:divBdr>
                <w:top w:val="none" w:sz="0" w:space="0" w:color="auto"/>
                <w:left w:val="none" w:sz="0" w:space="0" w:color="auto"/>
                <w:bottom w:val="none" w:sz="0" w:space="0" w:color="auto"/>
                <w:right w:val="none" w:sz="0" w:space="0" w:color="auto"/>
              </w:divBdr>
            </w:div>
            <w:div w:id="334693892">
              <w:marLeft w:val="0"/>
              <w:marRight w:val="0"/>
              <w:marTop w:val="0"/>
              <w:marBottom w:val="0"/>
              <w:divBdr>
                <w:top w:val="none" w:sz="0" w:space="0" w:color="auto"/>
                <w:left w:val="none" w:sz="0" w:space="0" w:color="auto"/>
                <w:bottom w:val="none" w:sz="0" w:space="0" w:color="auto"/>
                <w:right w:val="none" w:sz="0" w:space="0" w:color="auto"/>
              </w:divBdr>
            </w:div>
            <w:div w:id="1427193789">
              <w:marLeft w:val="0"/>
              <w:marRight w:val="0"/>
              <w:marTop w:val="0"/>
              <w:marBottom w:val="0"/>
              <w:divBdr>
                <w:top w:val="none" w:sz="0" w:space="0" w:color="auto"/>
                <w:left w:val="none" w:sz="0" w:space="0" w:color="auto"/>
                <w:bottom w:val="none" w:sz="0" w:space="0" w:color="auto"/>
                <w:right w:val="none" w:sz="0" w:space="0" w:color="auto"/>
              </w:divBdr>
            </w:div>
            <w:div w:id="1379285032">
              <w:marLeft w:val="0"/>
              <w:marRight w:val="0"/>
              <w:marTop w:val="0"/>
              <w:marBottom w:val="0"/>
              <w:divBdr>
                <w:top w:val="none" w:sz="0" w:space="0" w:color="auto"/>
                <w:left w:val="none" w:sz="0" w:space="0" w:color="auto"/>
                <w:bottom w:val="none" w:sz="0" w:space="0" w:color="auto"/>
                <w:right w:val="none" w:sz="0" w:space="0" w:color="auto"/>
              </w:divBdr>
            </w:div>
            <w:div w:id="18242394">
              <w:marLeft w:val="0"/>
              <w:marRight w:val="0"/>
              <w:marTop w:val="0"/>
              <w:marBottom w:val="0"/>
              <w:divBdr>
                <w:top w:val="none" w:sz="0" w:space="0" w:color="auto"/>
                <w:left w:val="none" w:sz="0" w:space="0" w:color="auto"/>
                <w:bottom w:val="none" w:sz="0" w:space="0" w:color="auto"/>
                <w:right w:val="none" w:sz="0" w:space="0" w:color="auto"/>
              </w:divBdr>
            </w:div>
            <w:div w:id="707147757">
              <w:marLeft w:val="0"/>
              <w:marRight w:val="0"/>
              <w:marTop w:val="0"/>
              <w:marBottom w:val="0"/>
              <w:divBdr>
                <w:top w:val="none" w:sz="0" w:space="0" w:color="auto"/>
                <w:left w:val="none" w:sz="0" w:space="0" w:color="auto"/>
                <w:bottom w:val="none" w:sz="0" w:space="0" w:color="auto"/>
                <w:right w:val="none" w:sz="0" w:space="0" w:color="auto"/>
              </w:divBdr>
            </w:div>
            <w:div w:id="5789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7889">
      <w:bodyDiv w:val="1"/>
      <w:marLeft w:val="0"/>
      <w:marRight w:val="0"/>
      <w:marTop w:val="0"/>
      <w:marBottom w:val="0"/>
      <w:divBdr>
        <w:top w:val="none" w:sz="0" w:space="0" w:color="auto"/>
        <w:left w:val="none" w:sz="0" w:space="0" w:color="auto"/>
        <w:bottom w:val="none" w:sz="0" w:space="0" w:color="auto"/>
        <w:right w:val="none" w:sz="0" w:space="0" w:color="auto"/>
      </w:divBdr>
      <w:divsChild>
        <w:div w:id="1471629902">
          <w:marLeft w:val="480"/>
          <w:marRight w:val="0"/>
          <w:marTop w:val="0"/>
          <w:marBottom w:val="0"/>
          <w:divBdr>
            <w:top w:val="none" w:sz="0" w:space="0" w:color="auto"/>
            <w:left w:val="none" w:sz="0" w:space="0" w:color="auto"/>
            <w:bottom w:val="none" w:sz="0" w:space="0" w:color="auto"/>
            <w:right w:val="none" w:sz="0" w:space="0" w:color="auto"/>
          </w:divBdr>
          <w:divsChild>
            <w:div w:id="828595270">
              <w:marLeft w:val="0"/>
              <w:marRight w:val="0"/>
              <w:marTop w:val="0"/>
              <w:marBottom w:val="0"/>
              <w:divBdr>
                <w:top w:val="none" w:sz="0" w:space="0" w:color="auto"/>
                <w:left w:val="none" w:sz="0" w:space="0" w:color="auto"/>
                <w:bottom w:val="none" w:sz="0" w:space="0" w:color="auto"/>
                <w:right w:val="none" w:sz="0" w:space="0" w:color="auto"/>
              </w:divBdr>
            </w:div>
            <w:div w:id="217665042">
              <w:marLeft w:val="0"/>
              <w:marRight w:val="0"/>
              <w:marTop w:val="0"/>
              <w:marBottom w:val="0"/>
              <w:divBdr>
                <w:top w:val="none" w:sz="0" w:space="0" w:color="auto"/>
                <w:left w:val="none" w:sz="0" w:space="0" w:color="auto"/>
                <w:bottom w:val="none" w:sz="0" w:space="0" w:color="auto"/>
                <w:right w:val="none" w:sz="0" w:space="0" w:color="auto"/>
              </w:divBdr>
            </w:div>
            <w:div w:id="679936832">
              <w:marLeft w:val="0"/>
              <w:marRight w:val="0"/>
              <w:marTop w:val="0"/>
              <w:marBottom w:val="0"/>
              <w:divBdr>
                <w:top w:val="none" w:sz="0" w:space="0" w:color="auto"/>
                <w:left w:val="none" w:sz="0" w:space="0" w:color="auto"/>
                <w:bottom w:val="none" w:sz="0" w:space="0" w:color="auto"/>
                <w:right w:val="none" w:sz="0" w:space="0" w:color="auto"/>
              </w:divBdr>
            </w:div>
            <w:div w:id="688020494">
              <w:marLeft w:val="0"/>
              <w:marRight w:val="0"/>
              <w:marTop w:val="0"/>
              <w:marBottom w:val="0"/>
              <w:divBdr>
                <w:top w:val="none" w:sz="0" w:space="0" w:color="auto"/>
                <w:left w:val="none" w:sz="0" w:space="0" w:color="auto"/>
                <w:bottom w:val="none" w:sz="0" w:space="0" w:color="auto"/>
                <w:right w:val="none" w:sz="0" w:space="0" w:color="auto"/>
              </w:divBdr>
            </w:div>
            <w:div w:id="766846466">
              <w:marLeft w:val="0"/>
              <w:marRight w:val="0"/>
              <w:marTop w:val="0"/>
              <w:marBottom w:val="0"/>
              <w:divBdr>
                <w:top w:val="none" w:sz="0" w:space="0" w:color="auto"/>
                <w:left w:val="none" w:sz="0" w:space="0" w:color="auto"/>
                <w:bottom w:val="none" w:sz="0" w:space="0" w:color="auto"/>
                <w:right w:val="none" w:sz="0" w:space="0" w:color="auto"/>
              </w:divBdr>
            </w:div>
            <w:div w:id="700279631">
              <w:marLeft w:val="0"/>
              <w:marRight w:val="0"/>
              <w:marTop w:val="0"/>
              <w:marBottom w:val="0"/>
              <w:divBdr>
                <w:top w:val="none" w:sz="0" w:space="0" w:color="auto"/>
                <w:left w:val="none" w:sz="0" w:space="0" w:color="auto"/>
                <w:bottom w:val="none" w:sz="0" w:space="0" w:color="auto"/>
                <w:right w:val="none" w:sz="0" w:space="0" w:color="auto"/>
              </w:divBdr>
            </w:div>
            <w:div w:id="1852641105">
              <w:marLeft w:val="0"/>
              <w:marRight w:val="0"/>
              <w:marTop w:val="0"/>
              <w:marBottom w:val="0"/>
              <w:divBdr>
                <w:top w:val="none" w:sz="0" w:space="0" w:color="auto"/>
                <w:left w:val="none" w:sz="0" w:space="0" w:color="auto"/>
                <w:bottom w:val="none" w:sz="0" w:space="0" w:color="auto"/>
                <w:right w:val="none" w:sz="0" w:space="0" w:color="auto"/>
              </w:divBdr>
            </w:div>
            <w:div w:id="763838590">
              <w:marLeft w:val="0"/>
              <w:marRight w:val="0"/>
              <w:marTop w:val="0"/>
              <w:marBottom w:val="0"/>
              <w:divBdr>
                <w:top w:val="none" w:sz="0" w:space="0" w:color="auto"/>
                <w:left w:val="none" w:sz="0" w:space="0" w:color="auto"/>
                <w:bottom w:val="none" w:sz="0" w:space="0" w:color="auto"/>
                <w:right w:val="none" w:sz="0" w:space="0" w:color="auto"/>
              </w:divBdr>
            </w:div>
            <w:div w:id="122081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ist.gov/cyberframework/online-learning/five-functions" TargetMode="Externa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ct:contentTypeSchema xmlns:ct="http://schemas.microsoft.com/office/2006/metadata/contentType" xmlns:ma="http://schemas.microsoft.com/office/2006/metadata/properties/metaAttributes" ct:_="" ma:_="" ma:contentTypeName="Document" ma:contentTypeID="0x0101001E5A8FD560113D43BE2EDF870BC61693" ma:contentTypeVersion="7" ma:contentTypeDescription="Create a new document." ma:contentTypeScope="" ma:versionID="4ce4240e655438bf230d850b30ef3477">
  <xsd:schema xmlns:xsd="http://www.w3.org/2001/XMLSchema" xmlns:xs="http://www.w3.org/2001/XMLSchema" xmlns:p="http://schemas.microsoft.com/office/2006/metadata/properties" xmlns:ns2="515706d7-300d-48d7-8ac1-973955101d06" targetNamespace="http://schemas.microsoft.com/office/2006/metadata/properties" ma:root="true" ma:fieldsID="01dc933d135a3f1a3dfbff664d88496b" ns2:_="">
    <xsd:import namespace="515706d7-300d-48d7-8ac1-973955101d0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706d7-300d-48d7-8ac1-973955101d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8085E7-B315-44F3-843A-82788FA1F9DF}">
  <ds:schemaRefs>
    <ds:schemaRef ds:uri="http://schemas.openxmlformats.org/officeDocument/2006/bibliography"/>
  </ds:schemaRefs>
</ds:datastoreItem>
</file>

<file path=customXml/itemProps2.xml><?xml version="1.0" encoding="utf-8"?>
<ds:datastoreItem xmlns:ds="http://schemas.openxmlformats.org/officeDocument/2006/customXml" ds:itemID="{1D4C4207-13F8-43BD-8988-87A7D189CC8C}"/>
</file>

<file path=customXml/itemProps3.xml><?xml version="1.0" encoding="utf-8"?>
<ds:datastoreItem xmlns:ds="http://schemas.openxmlformats.org/officeDocument/2006/customXml" ds:itemID="{A70574B8-3B11-4621-95BA-AABB4F642BCF}"/>
</file>

<file path=customXml/itemProps4.xml><?xml version="1.0" encoding="utf-8"?>
<ds:datastoreItem xmlns:ds="http://schemas.openxmlformats.org/officeDocument/2006/customXml" ds:itemID="{6F067A52-C2C6-441F-834E-DB98100E2952}"/>
</file>

<file path=docProps/app.xml><?xml version="1.0" encoding="utf-8"?>
<Properties xmlns="http://schemas.openxmlformats.org/officeDocument/2006/extended-properties" xmlns:vt="http://schemas.openxmlformats.org/officeDocument/2006/docPropsVTypes">
  <Template>Normal</Template>
  <TotalTime>4</TotalTime>
  <Pages>4</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Cummings, Sheryl CIV STRATCOM J64 (USA)</dc:creator>
  <cp:keywords/>
  <dc:description/>
  <cp:lastModifiedBy>Cummings, Sheryl CIV STRATCOM J64 (USA)</cp:lastModifiedBy>
  <cp:revision>4</cp:revision>
  <dcterms:created xsi:type="dcterms:W3CDTF">2023-09-22T23:49:00Z</dcterms:created>
  <dcterms:modified xsi:type="dcterms:W3CDTF">2023-09-23T00:14:00Z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0x0101001E5A8FD560113D43BE2EDF870BC61693</vt:lpwstr>
  </property>
</Properties>
</file>