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Confidentiality Statement </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is the exclusive property of </w:t>
      </w:r>
      <w:r w:rsidDel="00000000" w:rsidR="00000000" w:rsidRPr="00000000">
        <w:rPr>
          <w:b w:val="1"/>
          <w:bCs w:val="1"/>
          <w:rtl w:val="0"/>
        </w:rPr>
        <w:t xml:space="preserve">Akron Cybersecurity Institute Incorporated (ACII)</w:t>
      </w:r>
      <w:r w:rsidDel="00000000" w:rsidR="00000000" w:rsidRPr="00000000">
        <w:rPr>
          <w:rtl w:val="0"/>
        </w:rPr>
        <w:t xml:space="preserve">. It contains proprietary and confidential information related to ACII’s cyber defense competition, including competition structure, evaluation methodology, scenarios, and participant performance.</w:t>
      </w:r>
    </w:p>
    <w:p w:rsidR="00000000" w:rsidDel="00000000" w:rsidP="00000000" w:rsidRDefault="00000000" w:rsidRPr="00000000" w14:paraId="00000003">
      <w:pPr>
        <w:spacing w:after="240" w:before="240" w:lineRule="auto"/>
        <w:rPr/>
      </w:pPr>
      <w:r w:rsidDel="00000000" w:rsidR="00000000" w:rsidRPr="00000000">
        <w:rPr>
          <w:rtl w:val="0"/>
        </w:rPr>
        <w:t xml:space="preserve">Unauthorized duplication, redistribution, disclosure, or use of this document, in whole or in part, in any form, is prohibited without the express written consent of ACII.</w:t>
      </w:r>
    </w:p>
    <w:p w:rsidR="00000000" w:rsidDel="00000000" w:rsidP="00000000" w:rsidRDefault="00000000" w:rsidRPr="00000000" w14:paraId="00000004">
      <w:pPr>
        <w:spacing w:after="240" w:before="240" w:lineRule="auto"/>
        <w:rPr/>
      </w:pPr>
      <w:r w:rsidDel="00000000" w:rsidR="00000000" w:rsidRPr="00000000">
        <w:rPr>
          <w:rtl w:val="0"/>
        </w:rPr>
        <w:t xml:space="preserve">ACII may, at its discretion, share this document with authorized stakeholders, sponsors, academic partners, judges, or auditors for purposes such as program evaluation, accreditation, research, or demonstration of competition objectives and outcomes. Any such disclosure will be conducted under appropriate confidentiality or non-disclosure agreements where applicable.</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Disclaimer</w:t>
      </w:r>
    </w:p>
    <w:p w:rsidR="00000000" w:rsidDel="00000000" w:rsidP="00000000" w:rsidRDefault="00000000" w:rsidRPr="00000000" w14:paraId="00000006">
      <w:pPr>
        <w:spacing w:after="240" w:before="240" w:lineRule="auto"/>
        <w:rPr/>
      </w:pPr>
      <w:r w:rsidDel="00000000" w:rsidR="00000000" w:rsidRPr="00000000">
        <w:rPr>
          <w:rtl w:val="0"/>
        </w:rPr>
        <w:t xml:space="preserve">Akron Cybersecurity Institute Incorporated (ACII) operates and maintains enterprise information systems in support of ongoing business operations. These systems are actively defended against unauthorized access, disruption, and misuse while remaining available to support organizational functions.</w:t>
      </w:r>
    </w:p>
    <w:p w:rsidR="00000000" w:rsidDel="00000000" w:rsidP="00000000" w:rsidRDefault="00000000" w:rsidRPr="00000000" w14:paraId="00000007">
      <w:pPr>
        <w:spacing w:after="240" w:before="240" w:lineRule="auto"/>
        <w:rPr/>
      </w:pPr>
      <w:r w:rsidDel="00000000" w:rsidR="00000000" w:rsidRPr="00000000">
        <w:rPr>
          <w:rtl w:val="0"/>
        </w:rPr>
        <w:t xml:space="preserve">Defensive actions are performed with the expectation that business services remain operational. In the event that a system or service is degraded, disrupted, or taken offline during defensive activities or in response to malicious activity, ACII will take appropriate corrective action to restore functionality as quickly as possible and minimize operational downtime.</w:t>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rtl w:val="0"/>
        </w:rPr>
        <w:t xml:space="preserve">Security measures are implemented and adjusted in a manner that balances risk reduction with business continuity. Actions that unnecessarily disrupt services, prolong outages, or fail to restore critical systems in a timely manner are considered inconsistent with operational objectives, regardless of technical justification.</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Contact Information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005"/>
        <w:gridCol w:w="1605"/>
        <w:gridCol w:w="2505"/>
        <w:gridCol w:w="2055"/>
        <w:tblGridChange w:id="0">
          <w:tblGrid>
            <w:gridCol w:w="1860"/>
            <w:gridCol w:w="1005"/>
            <w:gridCol w:w="1605"/>
            <w:gridCol w:w="2505"/>
            <w:gridCol w:w="2055"/>
          </w:tblGrid>
        </w:tblGridChange>
      </w:tblGrid>
      <w:tr>
        <w:trPr>
          <w:cantSplit w:val="0"/>
          <w:trHeight w:val="530.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Functional 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Email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Stanley Smith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Executive Sponsor &amp; Faculty Advisor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Governance, Oversight, and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shsmith@uakron.edu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Brian Shinsky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Director of Cyber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Security Strategy, Incident Response Oversight, Executive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bs258@uakron.edu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Alan Alvarado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Deputy Director of Cyber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Security Operations Coordination, Policy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aja157@uakron.edu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Jacob Chio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Infrastructure Security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Windows Infrastructure and Firewall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jlc396@uakron.edu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Alexander York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Infrastructure Security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Windows Systems and Firewall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adm_amy130@uakron.edu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Vasile Sideris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Linux Systems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Linux Server Operations and Hardening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vgs8@uakron.edu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Nicholas 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Linux Systems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Linux Server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ng163@uakron.edu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Akron Cybersecurity Institute Incorporated (ACII)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Jake Charlton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Windows Systems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Windows Server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jc481@uakron.edu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80" w:lineRule="auto"/>
        <w:rPr>
          <w:b w:val="1"/>
          <w:bCs w:val="1"/>
          <w:sz w:val="28"/>
          <w:szCs w:val="28"/>
        </w:rPr>
      </w:pPr>
      <w:r w:rsidDel="00000000" w:rsidR="00000000" w:rsidRPr="00000000">
        <w:rPr>
          <w:b w:val="1"/>
          <w:bCs w:val="1"/>
          <w:sz w:val="28"/>
          <w:szCs w:val="28"/>
          <w:rtl w:val="0"/>
        </w:rPr>
        <w:t xml:space="preserve">Team: Team xx</w:t>
      </w:r>
    </w:p>
    <w:p w:rsidR="00000000" w:rsidDel="00000000" w:rsidP="00000000" w:rsidRDefault="00000000" w:rsidRPr="00000000" w14:paraId="00000046">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47">
      <w:pPr>
        <w:spacing w:after="80" w:lineRule="auto"/>
        <w:rPr>
          <w:b w:val="1"/>
          <w:bCs w:val="1"/>
          <w:sz w:val="28"/>
          <w:szCs w:val="28"/>
        </w:rPr>
      </w:pPr>
      <w:r w:rsidDel="00000000" w:rsidR="00000000" w:rsidRPr="00000000">
        <w:rPr>
          <w:b w:val="1"/>
          <w:bCs w:val="1"/>
          <w:sz w:val="28"/>
          <w:szCs w:val="28"/>
          <w:rtl w:val="0"/>
        </w:rPr>
        <w:t xml:space="preserve">Inject Number:</w:t>
      </w:r>
    </w:p>
    <w:p w:rsidR="00000000" w:rsidDel="00000000" w:rsidP="00000000" w:rsidRDefault="00000000" w:rsidRPr="00000000" w14:paraId="00000048">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Inject Duration:</w:t>
      </w:r>
    </w:p>
    <w:p w:rsidR="00000000" w:rsidDel="00000000" w:rsidP="00000000" w:rsidRDefault="00000000" w:rsidRPr="00000000" w14:paraId="0000004A">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4B">
      <w:pPr>
        <w:spacing w:after="80" w:lineRule="auto"/>
        <w:rPr>
          <w:b w:val="1"/>
          <w:bCs w:val="1"/>
          <w:sz w:val="28"/>
          <w:szCs w:val="28"/>
        </w:rPr>
      </w:pPr>
      <w:r w:rsidDel="00000000" w:rsidR="00000000" w:rsidRPr="00000000">
        <w:rPr>
          <w:b w:val="1"/>
          <w:bCs w:val="1"/>
          <w:sz w:val="28"/>
          <w:szCs w:val="28"/>
          <w:rtl w:val="0"/>
        </w:rPr>
        <w:t xml:space="preserve">Inject Start Date/Time: </w:t>
      </w:r>
    </w:p>
    <w:p w:rsidR="00000000" w:rsidDel="00000000" w:rsidP="00000000" w:rsidRDefault="00000000" w:rsidRPr="00000000" w14:paraId="0000004C">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4D">
      <w:pPr>
        <w:spacing w:after="80" w:lineRule="auto"/>
        <w:rPr>
          <w:b w:val="1"/>
          <w:bCs w:val="1"/>
          <w:sz w:val="28"/>
          <w:szCs w:val="28"/>
        </w:rPr>
      </w:pPr>
      <w:r w:rsidDel="00000000" w:rsidR="00000000" w:rsidRPr="00000000">
        <w:rPr>
          <w:b w:val="1"/>
          <w:bCs w:val="1"/>
          <w:sz w:val="28"/>
          <w:szCs w:val="28"/>
          <w:rtl w:val="0"/>
        </w:rPr>
        <w:t xml:space="preserve">From: IT Director</w:t>
      </w:r>
    </w:p>
    <w:p w:rsidR="00000000" w:rsidDel="00000000" w:rsidP="00000000" w:rsidRDefault="00000000" w:rsidRPr="00000000" w14:paraId="0000004E">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4F">
      <w:pPr>
        <w:spacing w:after="80" w:lineRule="auto"/>
        <w:rPr>
          <w:b w:val="1"/>
          <w:bCs w:val="1"/>
          <w:sz w:val="28"/>
          <w:szCs w:val="28"/>
        </w:rPr>
      </w:pPr>
      <w:r w:rsidDel="00000000" w:rsidR="00000000" w:rsidRPr="00000000">
        <w:rPr>
          <w:b w:val="1"/>
          <w:bCs w:val="1"/>
          <w:sz w:val="28"/>
          <w:szCs w:val="28"/>
          <w:rtl w:val="0"/>
        </w:rPr>
        <w:t xml:space="preserve">To: Enterprise IT Operations</w:t>
      </w:r>
    </w:p>
    <w:p w:rsidR="00000000" w:rsidDel="00000000" w:rsidP="00000000" w:rsidRDefault="00000000" w:rsidRPr="00000000" w14:paraId="00000050">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b w:val="1"/>
          <w:bCs w:val="1"/>
          <w:sz w:val="28"/>
          <w:szCs w:val="28"/>
          <w:rtl w:val="0"/>
        </w:rPr>
        <w:t xml:space="preserve">Subject: Finding IPT-006: Security Misconfiguration – IPv6 (Critical) </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Through IPv6 DNS poisoning, the TCMS team was able to successfully relay credentials to the Demo Corp domain controller.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Likelihood: High – IPv6 is enabled by default on Windows networks. The tools and techniques required to perform this task are trivial. Impact: Very High - If exploited, an attacker can gain domain administrator access.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 All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r w:rsidDel="00000000" w:rsidR="00000000" w:rsidRPr="00000000">
              <w:rPr>
                <w:b w:val="1"/>
                <w:bCs w:val="1"/>
                <w:u w:val="single"/>
                <w:rtl w:val="0"/>
              </w:rPr>
              <w:t xml:space="preserve">more examples:</w:t>
            </w:r>
            <w:r w:rsidDel="00000000" w:rsidR="00000000" w:rsidRPr="00000000">
              <w:rPr>
                <w:rtl w:val="0"/>
              </w:rPr>
              <w:t xml:space="preserve"> 10.x.x.x, Identified 139 machines, please see the below file for listing. ) </w:t>
            </w:r>
          </w:p>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Mitm6, Impacket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https://blog.fox-it.com/2018/01/11/mitm6-compromising-ipv4-networks -via- ipv6/ </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w:t>
            </w:r>
            <w:r w:rsidDel="00000000" w:rsidR="00000000" w:rsidRPr="00000000">
              <w:rPr>
                <w:b w:val="1"/>
                <w:bCs w:val="1"/>
                <w:u w:val="single"/>
                <w:rtl w:val="0"/>
              </w:rPr>
              <w:t xml:space="preserve">More examples:</w:t>
            </w:r>
            <w:r w:rsidDel="00000000" w:rsidR="00000000" w:rsidRPr="00000000">
              <w:rPr>
                <w:rtl w:val="0"/>
              </w:rPr>
              <w:t xml:space="preserve"> NIST SP800-53 r4 MA-6 – Timely Maintenance NIST SP800-53 r4 SI-2 – Flaw Remediation, CIS Microsoft Windows Server 2012 R2 v2.2.0 (Page 180) https://github.com/lgandx/Responder/blob/master/tools/MultiRelay.py )</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b w:val="1"/>
          <w:bCs w:val="1"/>
          <w:sz w:val="28"/>
          <w:szCs w:val="28"/>
          <w:rtl w:val="0"/>
        </w:rPr>
        <w:t xml:space="preserve">Evidence </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t xml:space="preserve">(Picture)</w:t>
      </w:r>
      <w:r w:rsidDel="00000000" w:rsidR="00000000" w:rsidRPr="00000000">
        <w:rPr>
          <w:b w:val="1"/>
          <w:bCs w:val="1"/>
          <w:rtl w:val="0"/>
        </w:rPr>
        <w:t xml:space="preserve"> </w:t>
      </w:r>
    </w:p>
    <w:p w:rsidR="00000000" w:rsidDel="00000000" w:rsidP="00000000" w:rsidRDefault="00000000" w:rsidRPr="00000000" w14:paraId="00000067">
      <w:pPr>
        <w:rPr>
          <w:b w:val="1"/>
          <w:bCs w:val="1"/>
        </w:rPr>
      </w:pPr>
      <w:r w:rsidDel="00000000" w:rsidR="00000000" w:rsidRPr="00000000">
        <w:rPr>
          <w:b w:val="1"/>
          <w:bCs w:val="1"/>
          <w:rtl w:val="0"/>
        </w:rPr>
        <w:t xml:space="preserve">Figure 24: Telnet login prompt </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b w:val="1"/>
          <w:bCs w:val="1"/>
          <w:sz w:val="28"/>
          <w:szCs w:val="28"/>
          <w:rtl w:val="0"/>
        </w:rPr>
        <w:t xml:space="preserve">Remediation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Migrate to TLS protected protocols.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(More Examples: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Enable Network Level Authentication (NLA) on the remote RDP server. This is generally done on the 'Remote' tab of the 'System' settings on Windows.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Review action and remediation steps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Apply the appropriate Microsoft patches to remediate the issue. More information on patching CVE- 2019-0708 can be found here: https://support.microsoft.com/en-us/topic/customer-guidance-forcve-2019-0708-remote-desktop-services-remote-code-execution-vulnerability-may-14- 2019- 0624e35b-5f5d-6da7-632c-27066a79262e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Make a text file for the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Enable SMB signing on all Demo Corp domain computers. Alternatively, as SMB signing can cause performance issues, disabling NTLM authentication, enforcing account tiering, and limiting local admin users can effectively help mitigate attacks. For full mitigation and detection guidance, please reference the MITRE guidance here. )</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