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480"/>
        <w:jc w:val="center"/>
      </w:pPr>
      <w:r>
        <w:rPr>
          <w:rFonts w:ascii="Liberation Sans" w:hAnsi="Liberation Sans"/>
          <w:b/>
          <w:color w:val="1F2933"/>
          <w:sz w:val="52"/>
        </w:rPr>
        <w:t>INFORME FINAL DE</w:t>
        <w:br/>
        <w:t>RESULTADOS EXPERIMENTALES</w:t>
      </w:r>
    </w:p>
    <w:p>
      <w:pPr>
        <w:spacing w:after="1040"/>
        <w:jc w:val="center"/>
      </w:pPr>
      <w:r>
        <w:rPr>
          <w:rFonts w:ascii="Liberation Sans" w:hAnsi="Liberation Sans"/>
          <w:color w:val="52606D"/>
          <w:sz w:val="32"/>
        </w:rPr>
        <w:t>Comparación entre un VAE no equivariante y un VAE</w:t>
        <w:br/>
        <w:t>equivariante continuo SO(2) para histopatología</w:t>
      </w:r>
    </w:p>
    <w:p>
      <w:pPr>
        <w:spacing w:after="1400"/>
        <w:jc w:val="center"/>
      </w:pPr>
      <w:r>
        <w:rPr>
          <w:rFonts w:ascii="Liberation Sans" w:hAnsi="Liberation Sans"/>
          <w:b/>
          <w:color w:val="1F2933"/>
          <w:sz w:val="24"/>
        </w:rPr>
        <w:t>Proyecto de tesis</w:t>
        <w:br/>
      </w:r>
      <w:r>
        <w:rPr>
          <w:rFonts w:ascii="Liberation Sans" w:hAnsi="Liberation Sans"/>
          <w:color w:val="1F2933"/>
          <w:sz w:val="24"/>
        </w:rPr>
        <w:t>Maximiliano Garavito Chtefan</w:t>
        <w:br/>
      </w:r>
      <w:r>
        <w:rPr>
          <w:rFonts w:ascii="Liberation Sans" w:hAnsi="Liberation Sans"/>
          <w:color w:val="1F2933"/>
          <w:sz w:val="24"/>
        </w:rPr>
        <w:t>Universidad Industrial de Santander</w:t>
      </w:r>
    </w:p>
    <w:p>
      <w:pPr>
        <w:jc w:val="center"/>
      </w:pPr>
      <w:r>
        <w:rPr>
          <w:color w:val="52606D"/>
          <w:sz w:val="20"/>
        </w:rPr>
        <w:t>9 de septiembre de 2026</w:t>
      </w:r>
    </w:p>
    <w:p>
      <w:r>
        <w:br w:type="page"/>
      </w:r>
    </w:p>
    <w:p>
      <w:pPr>
        <w:pStyle w:val="Heading1"/>
        <w:keepNext/>
        <w:keepLines/>
      </w:pPr>
      <w:r>
        <w:t>1. Resumen ejecutivo</w:t>
      </w:r>
    </w:p>
    <w:p>
      <w:pPr>
        <w:pStyle w:val="BodyText"/>
      </w:pPr>
      <w:r>
        <w:t>Este informe responde las solicitudes de evaluación registradas por el profesor en los issues #2, #3, #4 y #6: curvas y gráficas de resultados, MAE, MSE, PSNR, SSIM, desviación estándar, tamaño muestral, diagramas de caja, 25 reconstrucciones fijas, rotaciones de 90/180/270 grados y una visualización PCA del espacio latente para ambos modelos.</w:t>
      </w:r>
    </w:p>
    <w:p>
      <w:pPr>
        <w:pStyle w:val="BodyText"/>
      </w:pPr>
      <w:r>
        <w:rPr>
          <w:b/>
        </w:rPr>
        <w:t>Conclusión principal.</w:t>
      </w:r>
      <w:r>
        <w:t xml:space="preserve"> La evidencia completa es mixta y no permite declarar un ganador universal.</w:t>
      </w:r>
    </w:p>
    <w:p>
      <w:pPr>
        <w:pStyle w:val="ListBullet"/>
      </w:pPr>
      <w:r>
        <w:t>Reconstrucción sellada: el VAE no equivariante obtuvo un MAE promedio ligeramente menor. La diferencia primaria normal menos SO(2) fue -0,001358, pero su IC 95% por bootstrap de WSI [-0,002213; 0,000046] incluye cero; no se estableció una diferencia.</w:t>
      </w:r>
    </w:p>
    <w:p>
      <w:pPr>
        <w:pStyle w:val="ListBullet"/>
      </w:pPr>
      <w:r>
        <w:t>Diagnóstico WSI: SO(2) fue numéricamente mejor en F1 macro (0,483 frente a 0,389) y exactitud (0,609 frente a 0,522), pero el IC 95% de la diferencia de F1 macro también incluye cero.</w:t>
      </w:r>
    </w:p>
    <w:p>
      <w:pPr>
        <w:pStyle w:val="ListBullet"/>
      </w:pPr>
      <w:r>
        <w:t>Tejido: SO(2) tuvo un F1 macro numéricamente mayor en los cuatro presupuestos bajos; solo 500 etiquetas por clase tuvo un intervalo simultáneo que excluye cero. El área global bajo la curva de aprendizaje (AULC) fue inconclusa y, en el presupuesto máximo, el modelo normal tuvo mayor F1 macro.</w:t>
      </w:r>
    </w:p>
    <w:p>
      <w:pPr>
        <w:pStyle w:val="ListBullet"/>
      </w:pPr>
      <w:r>
        <w:t>Geometria rotacional post-hoc: se reprodujo y corrigio un cambio de signo que unia orientaciones opuestas en 90 y 270 grados. El aparente patrón previo queda retirado. A 1 grado, SO(2) tuvo menor razón de linealidad local normalizada por la entrada en 25/25 parches (medianas 0,601 frente a 0,649), pero el efecto fue 7,38% y no sobrevivio la robustez preespecificada: a 5 grados solo ocurrio en 8/25. No se demostro una accion reducida compartida ni una factorizacion local contenido--pose.</w:t>
      </w:r>
    </w:p>
    <w:p>
      <w:pPr>
        <w:pStyle w:val="ListBullet"/>
      </w:pPr>
      <w:r>
        <w:t>Acción en el decodificador: al transformar espacialmente el embedding final antes de decodificar, SO(2) redujo el error frente al VAE normal en 25/25 parches para el barrido de 5 grados. En rotaciones exactas de 90, 180 y 270 grados, su razón de acción fue 0,000002 frente a 0,709 normal. Esto verifica empíricamente una acción C4 compartida y sin parámetros ajustados en el decodificador de este checkpoint; no prueba equivarianza continua del encoder ni factorización contenido--pose.</w:t>
      </w:r>
    </w:p>
    <w:p>
      <w:pPr>
        <w:pStyle w:val="Heading2"/>
        <w:keepNext/>
        <w:keepLines/>
      </w:pPr>
      <w:r>
        <w:t>Lectura para la presentación</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3024"/>
            <w:shd w:fill="1F2933"/>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tcPr>
          <w:p>
            <w:pPr>
              <w:jc w:val="center"/>
            </w:pPr>
            <w:r>
              <w:rPr>
                <w:b/>
                <w:color w:val="FFFFFF"/>
                <w:sz w:val="18"/>
              </w:rPr>
              <w:t>Pregunta</w:t>
            </w:r>
          </w:p>
        </w:tc>
        <w:tc>
          <w:tcPr>
            <w:tcW w:type="dxa" w:w="6840"/>
            <w:shd w:fill="1F2933"/>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tcPr>
          <w:p>
            <w:pPr>
              <w:jc w:val="center"/>
            </w:pPr>
            <w:r>
              <w:rPr>
                <w:b/>
                <w:color w:val="FFFFFF"/>
                <w:sz w:val="18"/>
              </w:rPr>
              <w:t>Respuesta respaldada</w:t>
            </w:r>
          </w:p>
        </w:tc>
      </w:tr>
      <w:tr>
        <w:trPr>
          <w:cantSplit/>
        </w:trPr>
        <w:tc>
          <w:tcPr>
            <w:tcW w:type="dxa" w:w="3024"/>
            <w:vAlign w:val="center"/>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tcPr>
          <w:p>
            <w:pPr>
              <w:spacing w:after="0"/>
              <w:jc w:val="left"/>
            </w:pPr>
            <w:r>
              <w:rPr>
                <w:sz w:val="18"/>
              </w:rPr>
              <w:t>¿Reconstruye mejor SO(2)?</w:t>
            </w:r>
          </w:p>
        </w:tc>
        <w:tc>
          <w:tcPr>
            <w:tcW w:type="dxa" w:w="6840"/>
            <w:vAlign w:val="center"/>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tcPr>
          <w:p>
            <w:pPr>
              <w:spacing w:after="0"/>
              <w:jc w:val="center"/>
            </w:pPr>
            <w:r>
              <w:rPr>
                <w:sz w:val="18"/>
              </w:rPr>
              <w:t>No. El modelo normal es ligeramente mejor en promedio, sin diferencia primaria establecida.</w:t>
            </w:r>
          </w:p>
        </w:tc>
      </w:tr>
      <w:tr>
        <w:trPr>
          <w:cantSplit/>
        </w:trPr>
        <w:tc>
          <w:tcPr>
            <w:tcW w:type="dxa" w:w="3024"/>
            <w:vAlign w:val="center"/>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shd w:fill="F5F7F9"/>
          </w:tcPr>
          <w:p>
            <w:pPr>
              <w:spacing w:after="0"/>
              <w:jc w:val="left"/>
            </w:pPr>
            <w:r>
              <w:rPr>
                <w:sz w:val="18"/>
              </w:rPr>
              <w:t>¿Ayuda en tareas posteriores?</w:t>
            </w:r>
          </w:p>
        </w:tc>
        <w:tc>
          <w:tcPr>
            <w:tcW w:type="dxa" w:w="6840"/>
            <w:vAlign w:val="center"/>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shd w:fill="F5F7F9"/>
          </w:tcPr>
          <w:p>
            <w:pPr>
              <w:spacing w:after="0"/>
              <w:jc w:val="center"/>
            </w:pPr>
            <w:r>
              <w:rPr>
                <w:sz w:val="18"/>
              </w:rPr>
              <w:t>Hay señales favorables a SO(2) en WSI y en bajo etiquetado, pero no una superioridad general.</w:t>
            </w:r>
          </w:p>
        </w:tc>
      </w:tr>
      <w:tr>
        <w:trPr>
          <w:cantSplit/>
        </w:trPr>
        <w:tc>
          <w:tcPr>
            <w:tcW w:type="dxa" w:w="3024"/>
            <w:vAlign w:val="center"/>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tcPr>
          <w:p>
            <w:pPr>
              <w:spacing w:after="0"/>
              <w:jc w:val="left"/>
            </w:pPr>
            <w:r>
              <w:rPr>
                <w:sz w:val="18"/>
              </w:rPr>
              <w:t>¿La equivarianza es visible?</w:t>
            </w:r>
          </w:p>
        </w:tc>
        <w:tc>
          <w:tcPr>
            <w:tcW w:type="dxa" w:w="6840"/>
            <w:vAlign w:val="center"/>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tcPr>
          <w:p>
            <w:pPr>
              <w:spacing w:after="0"/>
              <w:jc w:val="center"/>
            </w:pPr>
            <w:r>
              <w:rPr>
                <w:sz w:val="18"/>
              </w:rPr>
              <w:t>Sí en el decodificador para rotaciones exactas C4: transformar el embedding rota la reconstrucción de SO(2) casi exactamente. No se verificó una acción continua compartida en mu ni campos F1 limpios.</w:t>
            </w:r>
          </w:p>
        </w:tc>
      </w:tr>
      <w:tr>
        <w:trPr>
          <w:cantSplit/>
        </w:trPr>
        <w:tc>
          <w:tcPr>
            <w:tcW w:type="dxa" w:w="3024"/>
            <w:vAlign w:val="center"/>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shd w:fill="F5F7F9"/>
          </w:tcPr>
          <w:p>
            <w:pPr>
              <w:spacing w:after="0"/>
              <w:jc w:val="left"/>
            </w:pPr>
            <w:r>
              <w:rPr>
                <w:sz w:val="18"/>
              </w:rPr>
              <w:t>¿Falta experimentar?</w:t>
            </w:r>
          </w:p>
        </w:tc>
        <w:tc>
          <w:tcPr>
            <w:tcW w:type="dxa" w:w="6840"/>
            <w:vAlign w:val="center"/>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shd w:fill="F5F7F9"/>
          </w:tcPr>
          <w:p>
            <w:pPr>
              <w:spacing w:after="0"/>
              <w:jc w:val="center"/>
            </w:pPr>
            <w:r>
              <w:rPr>
                <w:sz w:val="18"/>
              </w:rPr>
              <w:t>Los issues quedan respondidos. La geometria nueva es validación fija exploratoria y no justifica afirmar un producto global o disentanglement.</w:t>
            </w:r>
          </w:p>
        </w:tc>
      </w:tr>
    </w:tbl>
    <w:p>
      <w:pPr>
        <w:spacing w:after="0"/>
      </w:pPr>
    </w:p>
    <w:p>
      <w:pPr>
        <w:pStyle w:val="Heading1"/>
        <w:keepNext/>
        <w:keepLines/>
      </w:pPr>
      <w:r>
        <w:t>2. Pregunta experimental y comparación</w:t>
      </w:r>
    </w:p>
    <w:p>
      <w:pPr>
        <w:pStyle w:val="BodyText"/>
      </w:pPr>
      <w:r>
        <w:t>Se compararon dos codificadores variacionales entrenados sobre el mismo dominio histopatológico: una línea base convolucional no equivariante y una arquitectura con equivarianza continua SO(2). Ambos completaron 60.000 actualizaciones. Las particiones, los checkpoints y el cierre del entrenamiento precedieron al test; sin embargo, la agregación exacta y el bootstrap de reconstrucción se formalizaron después de abrir las etiquetas de los tests posteriores. Esos resultados no se usaron para cambiar modelos ni seleccionar checkpoints.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448"/>
            <w:shd w:fill="1F2933"/>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tcPr>
          <w:p>
            <w:pPr>
              <w:jc w:val="center"/>
            </w:pPr>
            <w:r>
              <w:rPr>
                <w:b/>
                <w:color w:val="FFFFFF"/>
                <w:sz w:val="17"/>
              </w:rPr>
              <w:t>Propiedad</w:t>
            </w:r>
          </w:p>
        </w:tc>
        <w:tc>
          <w:tcPr>
            <w:tcW w:type="dxa" w:w="3671"/>
            <w:shd w:fill="1F2933"/>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tcPr>
          <w:p>
            <w:pPr>
              <w:jc w:val="center"/>
            </w:pPr>
            <w:r>
              <w:rPr>
                <w:b/>
                <w:color w:val="FFFFFF"/>
                <w:sz w:val="17"/>
              </w:rPr>
              <w:t>VAE no equivariante</w:t>
            </w:r>
          </w:p>
        </w:tc>
        <w:tc>
          <w:tcPr>
            <w:tcW w:type="dxa" w:w="3671"/>
            <w:shd w:fill="1F2933"/>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tcPr>
          <w:p>
            <w:pPr>
              <w:jc w:val="center"/>
            </w:pPr>
            <w:r>
              <w:rPr>
                <w:b/>
                <w:color w:val="FFFFFF"/>
                <w:sz w:val="17"/>
              </w:rPr>
              <w:t>VAE equivariante SO(2)</w:t>
            </w:r>
          </w:p>
        </w:tc>
      </w:tr>
      <w:tr>
        <w:trPr>
          <w:cantSplit/>
        </w:trPr>
        <w:tc>
          <w:tcPr>
            <w:tcW w:type="dxa" w:w="2448"/>
            <w:vAlign w:val="center"/>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tcPr>
          <w:p>
            <w:pPr>
              <w:spacing w:after="0"/>
              <w:jc w:val="left"/>
            </w:pPr>
            <w:r>
              <w:rPr>
                <w:sz w:val="17"/>
              </w:rPr>
              <w:t>Simetría arquitectónica</w:t>
            </w:r>
          </w:p>
        </w:tc>
        <w:tc>
          <w:tcPr>
            <w:tcW w:type="dxa" w:w="3671"/>
            <w:vAlign w:val="center"/>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tcPr>
          <w:p>
            <w:pPr>
              <w:spacing w:after="0"/>
              <w:jc w:val="center"/>
            </w:pPr>
            <w:r>
              <w:rPr>
                <w:sz w:val="17"/>
              </w:rPr>
              <w:t>Sin restricción rotacional explícita</w:t>
            </w:r>
          </w:p>
        </w:tc>
        <w:tc>
          <w:tcPr>
            <w:tcW w:type="dxa" w:w="3671"/>
            <w:vAlign w:val="center"/>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tcPr>
          <w:p>
            <w:pPr>
              <w:spacing w:after="0"/>
              <w:jc w:val="center"/>
            </w:pPr>
            <w:r>
              <w:rPr>
                <w:sz w:val="17"/>
              </w:rPr>
              <w:t>Equivarianza continua SO(2)</w:t>
            </w:r>
          </w:p>
        </w:tc>
      </w:tr>
      <w:tr>
        <w:trPr>
          <w:cantSplit/>
        </w:trPr>
        <w:tc>
          <w:tcPr>
            <w:tcW w:type="dxa" w:w="2448"/>
            <w:vAlign w:val="center"/>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shd w:fill="F5F7F9"/>
          </w:tcPr>
          <w:p>
            <w:pPr>
              <w:spacing w:after="0"/>
              <w:jc w:val="left"/>
            </w:pPr>
            <w:r>
              <w:rPr>
                <w:sz w:val="17"/>
              </w:rPr>
              <w:t>Actualizaciones</w:t>
            </w:r>
          </w:p>
        </w:tc>
        <w:tc>
          <w:tcPr>
            <w:tcW w:type="dxa" w:w="3671"/>
            <w:vAlign w:val="center"/>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shd w:fill="F5F7F9"/>
          </w:tcPr>
          <w:p>
            <w:pPr>
              <w:spacing w:after="0"/>
              <w:jc w:val="center"/>
            </w:pPr>
            <w:r>
              <w:rPr>
                <w:sz w:val="17"/>
              </w:rPr>
              <w:t>60.000</w:t>
            </w:r>
          </w:p>
        </w:tc>
        <w:tc>
          <w:tcPr>
            <w:tcW w:type="dxa" w:w="3671"/>
            <w:vAlign w:val="center"/>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shd w:fill="F5F7F9"/>
          </w:tcPr>
          <w:p>
            <w:pPr>
              <w:spacing w:after="0"/>
              <w:jc w:val="center"/>
            </w:pPr>
            <w:r>
              <w:rPr>
                <w:sz w:val="17"/>
              </w:rPr>
              <w:t>60.000</w:t>
            </w:r>
          </w:p>
        </w:tc>
      </w:tr>
      <w:tr>
        <w:trPr>
          <w:cantSplit/>
        </w:trPr>
        <w:tc>
          <w:tcPr>
            <w:tcW w:type="dxa" w:w="2448"/>
            <w:vAlign w:val="center"/>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tcPr>
          <w:p>
            <w:pPr>
              <w:spacing w:after="0"/>
              <w:jc w:val="left"/>
            </w:pPr>
            <w:r>
              <w:rPr>
                <w:sz w:val="17"/>
              </w:rPr>
              <w:t>Parámetros aprendibles</w:t>
            </w:r>
          </w:p>
        </w:tc>
        <w:tc>
          <w:tcPr>
            <w:tcW w:type="dxa" w:w="3671"/>
            <w:vAlign w:val="center"/>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tcPr>
          <w:p>
            <w:pPr>
              <w:spacing w:after="0"/>
              <w:jc w:val="center"/>
            </w:pPr>
            <w:r>
              <w:rPr>
                <w:sz w:val="17"/>
              </w:rPr>
              <w:t>3.958.435</w:t>
            </w:r>
          </w:p>
        </w:tc>
        <w:tc>
          <w:tcPr>
            <w:tcW w:type="dxa" w:w="3671"/>
            <w:vAlign w:val="center"/>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tcPr>
          <w:p>
            <w:pPr>
              <w:spacing w:after="0"/>
              <w:jc w:val="center"/>
            </w:pPr>
            <w:r>
              <w:rPr>
                <w:sz w:val="17"/>
              </w:rPr>
              <w:t>1.180.035</w:t>
            </w:r>
          </w:p>
        </w:tc>
      </w:tr>
      <w:tr>
        <w:trPr>
          <w:cantSplit/>
        </w:trPr>
        <w:tc>
          <w:tcPr>
            <w:tcW w:type="dxa" w:w="2448"/>
            <w:vAlign w:val="center"/>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shd w:fill="F5F7F9"/>
          </w:tcPr>
          <w:p>
            <w:pPr>
              <w:spacing w:after="0"/>
              <w:jc w:val="left"/>
            </w:pPr>
            <w:r>
              <w:rPr>
                <w:sz w:val="17"/>
              </w:rPr>
              <w:t>Tamaño relativo</w:t>
            </w:r>
          </w:p>
        </w:tc>
        <w:tc>
          <w:tcPr>
            <w:tcW w:type="dxa" w:w="3671"/>
            <w:vAlign w:val="center"/>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shd w:fill="F5F7F9"/>
          </w:tcPr>
          <w:p>
            <w:pPr>
              <w:spacing w:after="0"/>
              <w:jc w:val="center"/>
            </w:pPr>
            <w:r>
              <w:rPr>
                <w:sz w:val="17"/>
              </w:rPr>
              <w:t>100%</w:t>
            </w:r>
          </w:p>
        </w:tc>
        <w:tc>
          <w:tcPr>
            <w:tcW w:type="dxa" w:w="3671"/>
            <w:vAlign w:val="center"/>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shd w:fill="F5F7F9"/>
          </w:tcPr>
          <w:p>
            <w:pPr>
              <w:spacing w:after="0"/>
              <w:jc w:val="center"/>
            </w:pPr>
            <w:r>
              <w:rPr>
                <w:sz w:val="17"/>
              </w:rPr>
              <w:t>29,8% del modelo normal</w:t>
            </w:r>
          </w:p>
        </w:tc>
      </w:tr>
    </w:tbl>
    <w:p>
      <w:pPr>
        <w:spacing w:after="0"/>
      </w:pPr>
    </w:p>
    <w:p>
      <w:pPr>
        <w:pStyle w:val="BodyText"/>
      </w:pPr>
      <w:r>
        <w:t>La reducción aproximada de 70,2% en parámetros es relevante para eficiencia, pero también es una limitación causal: la comparación cambia simultáneamente la simetría y la capacidad del modelo.</w:t>
      </w:r>
    </w:p>
    <w:p>
      <w:pPr>
        <w:pStyle w:val="Heading2"/>
        <w:keepNext/>
        <w:keepLines/>
      </w:pPr>
      <w:r>
        <w:t>Implementación SO(2) verificada antes del experimento</w:t>
      </w:r>
    </w:p>
    <w:p>
      <w:pPr>
        <w:pStyle w:val="BodyText"/>
      </w:pPr>
      <w:r>
        <w:t>La implementación continua SO(2) fue validada por componentes y como VAE completo antes del entrenamiento sobre datos reales. Esta verificación responde la parte de implementación del issue #6.</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951"/>
            <w:shd w:fill="1F2933"/>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tcPr>
          <w:p>
            <w:pPr>
              <w:jc w:val="center"/>
            </w:pPr>
            <w:r>
              <w:rPr>
                <w:b/>
                <w:color w:val="FFFFFF"/>
                <w:sz w:val="16"/>
              </w:rPr>
              <w:t>Componente</w:t>
            </w:r>
          </w:p>
        </w:tc>
        <w:tc>
          <w:tcPr>
            <w:tcW w:type="dxa" w:w="6696"/>
            <w:shd w:fill="1F2933"/>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tcPr>
          <w:p>
            <w:pPr>
              <w:jc w:val="center"/>
            </w:pPr>
            <w:r>
              <w:rPr>
                <w:b/>
                <w:color w:val="FFFFFF"/>
                <w:sz w:val="16"/>
              </w:rPr>
              <w:t>Evidencia de verificación</w:t>
            </w:r>
          </w:p>
        </w:tc>
      </w:tr>
      <w:tr>
        <w:trPr>
          <w:cantSplit/>
        </w:trPr>
        <w:tc>
          <w:tcPr>
            <w:tcW w:type="dxa" w:w="2951"/>
            <w:vAlign w:val="center"/>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tcPr>
          <w:p>
            <w:pPr>
              <w:spacing w:after="0"/>
              <w:jc w:val="left"/>
            </w:pPr>
            <w:r>
              <w:rPr>
                <w:sz w:val="16"/>
              </w:rPr>
              <w:t>No linealidades y normalización</w:t>
            </w:r>
          </w:p>
        </w:tc>
        <w:tc>
          <w:tcPr>
            <w:tcW w:type="dxa" w:w="6696"/>
            <w:vAlign w:val="center"/>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tcPr>
          <w:p>
            <w:pPr>
              <w:spacing w:after="0"/>
              <w:jc w:val="center"/>
            </w:pPr>
            <w:r>
              <w:rPr>
                <w:sz w:val="16"/>
              </w:rPr>
              <w:t>34 compuertas radiales F0/F1 y 40 normalizaciones: aritmética FP32, gradientes y actualizaciones finitas.</w:t>
            </w:r>
          </w:p>
        </w:tc>
      </w:tr>
      <w:tr>
        <w:trPr>
          <w:cantSplit/>
        </w:trPr>
        <w:tc>
          <w:tcPr>
            <w:tcW w:type="dxa" w:w="2951"/>
            <w:vAlign w:val="center"/>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shd w:fill="F5F7F9"/>
          </w:tcPr>
          <w:p>
            <w:pPr>
              <w:spacing w:after="0"/>
              <w:jc w:val="left"/>
            </w:pPr>
            <w:r>
              <w:rPr>
                <w:sz w:val="16"/>
              </w:rPr>
              <w:t>Remuestreo y upsampling</w:t>
            </w:r>
          </w:p>
        </w:tc>
        <w:tc>
          <w:tcPr>
            <w:tcW w:type="dxa" w:w="6696"/>
            <w:vAlign w:val="center"/>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shd w:fill="F5F7F9"/>
          </w:tcPr>
          <w:p>
            <w:pPr>
              <w:spacing w:after="0"/>
              <w:jc w:val="center"/>
            </w:pPr>
            <w:r>
              <w:rPr>
                <w:sz w:val="16"/>
              </w:rPr>
              <w:t>Seis downsamplers y seis upsamplers fijos; formas 256-128-64-32 y 32-64-128-256 verificadas.</w:t>
            </w:r>
          </w:p>
        </w:tc>
      </w:tr>
      <w:tr>
        <w:trPr>
          <w:cantSplit/>
        </w:trPr>
        <w:tc>
          <w:tcPr>
            <w:tcW w:type="dxa" w:w="2951"/>
            <w:vAlign w:val="center"/>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tcPr>
          <w:p>
            <w:pPr>
              <w:spacing w:after="0"/>
              <w:jc w:val="left"/>
            </w:pPr>
            <w:r>
              <w:rPr>
                <w:sz w:val="16"/>
              </w:rPr>
              <w:t>Muestreo VAE y estadísticas latentes</w:t>
            </w:r>
          </w:p>
        </w:tc>
        <w:tc>
          <w:tcPr>
            <w:tcW w:type="dxa" w:w="6696"/>
            <w:vAlign w:val="center"/>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tcPr>
          <w:p>
            <w:pPr>
              <w:spacing w:after="0"/>
              <w:jc w:val="center"/>
            </w:pPr>
            <w:r>
              <w:rPr>
                <w:sz w:val="16"/>
              </w:rPr>
              <w:t>mu, logvar, z con epsilon controlado, decodificador y reconstrucción comprobados en ángulos cardinales y no cardinales; mu tiene forma (B,16,32,32).</w:t>
            </w:r>
          </w:p>
        </w:tc>
      </w:tr>
      <w:tr>
        <w:trPr>
          <w:cantSplit/>
        </w:trPr>
        <w:tc>
          <w:tcPr>
            <w:tcW w:type="dxa" w:w="2951"/>
            <w:vAlign w:val="center"/>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shd w:fill="F5F7F9"/>
          </w:tcPr>
          <w:p>
            <w:pPr>
              <w:spacing w:after="0"/>
              <w:jc w:val="left"/>
            </w:pPr>
            <w:r>
              <w:rPr>
                <w:sz w:val="16"/>
              </w:rPr>
              <w:t>Referencia y runtime</w:t>
            </w:r>
          </w:p>
        </w:tc>
        <w:tc>
          <w:tcPr>
            <w:tcW w:type="dxa" w:w="6696"/>
            <w:vAlign w:val="center"/>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shd w:fill="F5F7F9"/>
          </w:tcPr>
          <w:p>
            <w:pPr>
              <w:spacing w:after="0"/>
              <w:jc w:val="center"/>
            </w:pPr>
            <w:r>
              <w:rPr>
                <w:sz w:val="16"/>
              </w:rPr>
              <w:t>escnn se usó solo como oráculo de pruebas focalizadas; no es dependencia del runtime. La implementación propia compilable pasó el prelaunch batch-25 dual T4 sin skips AMP ni recompilaciones.</w:t>
            </w:r>
          </w:p>
        </w:tc>
      </w:tr>
    </w:tbl>
    <w:p>
      <w:pPr>
        <w:spacing w:after="0"/>
      </w:pPr>
    </w:p>
    <w:p>
      <w:pPr>
        <w:pStyle w:val="Heading1"/>
        <w:keepNext/>
        <w:keepLines/>
      </w:pPr>
      <w:r>
        <w:t>3. Protocolo de evaluación</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944"/>
            <w:shd w:fill="1F2933"/>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tcPr>
          <w:p>
            <w:pPr>
              <w:jc w:val="center"/>
            </w:pPr>
            <w:r>
              <w:rPr>
                <w:b/>
                <w:color w:val="FFFFFF"/>
                <w:sz w:val="16"/>
              </w:rPr>
              <w:t>Capa de evidencia</w:t>
            </w:r>
          </w:p>
        </w:tc>
        <w:tc>
          <w:tcPr>
            <w:tcW w:type="dxa" w:w="2448"/>
            <w:shd w:fill="1F2933"/>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tcPr>
          <w:p>
            <w:pPr>
              <w:jc w:val="center"/>
            </w:pPr>
            <w:r>
              <w:rPr>
                <w:b/>
                <w:color w:val="FFFFFF"/>
                <w:sz w:val="16"/>
              </w:rPr>
              <w:t>Población</w:t>
            </w:r>
          </w:p>
        </w:tc>
        <w:tc>
          <w:tcPr>
            <w:tcW w:type="dxa" w:w="2376"/>
            <w:shd w:fill="1F2933"/>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tcPr>
          <w:p>
            <w:pPr>
              <w:jc w:val="center"/>
            </w:pPr>
            <w:r>
              <w:rPr>
                <w:b/>
                <w:color w:val="FFFFFF"/>
                <w:sz w:val="16"/>
              </w:rPr>
              <w:t>Unidad</w:t>
            </w:r>
          </w:p>
        </w:tc>
        <w:tc>
          <w:tcPr>
            <w:tcW w:type="dxa" w:w="3024"/>
            <w:shd w:fill="1F2933"/>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tcPr>
          <w:p>
            <w:pPr>
              <w:jc w:val="center"/>
            </w:pPr>
            <w:r>
              <w:rPr>
                <w:b/>
                <w:color w:val="FFFFFF"/>
                <w:sz w:val="16"/>
              </w:rPr>
              <w:t>Uso</w:t>
            </w:r>
          </w:p>
        </w:tc>
      </w:tr>
      <w:tr>
        <w:trPr>
          <w:cantSplit/>
        </w:trPr>
        <w:tc>
          <w:tcPr>
            <w:tcW w:type="dxa" w:w="1944"/>
            <w:vAlign w:val="center"/>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tcPr>
          <w:p>
            <w:pPr>
              <w:spacing w:after="0"/>
              <w:jc w:val="left"/>
            </w:pPr>
            <w:r>
              <w:rPr>
                <w:sz w:val="16"/>
              </w:rPr>
              <w:t>Validación fija</w:t>
            </w:r>
          </w:p>
        </w:tc>
        <w:tc>
          <w:tcPr>
            <w:tcW w:type="dxa" w:w="2448"/>
            <w:vAlign w:val="center"/>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tcPr>
          <w:p>
            <w:pPr>
              <w:spacing w:after="0"/>
              <w:jc w:val="center"/>
            </w:pPr>
            <w:r>
              <w:rPr>
                <w:sz w:val="16"/>
              </w:rPr>
              <w:t>25 parches predeterminados</w:t>
            </w:r>
          </w:p>
        </w:tc>
        <w:tc>
          <w:tcPr>
            <w:tcW w:type="dxa" w:w="2376"/>
            <w:vAlign w:val="center"/>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tcPr>
          <w:p>
            <w:pPr>
              <w:spacing w:after="0"/>
              <w:jc w:val="center"/>
            </w:pPr>
            <w:r>
              <w:rPr>
                <w:sz w:val="16"/>
              </w:rPr>
              <w:t>Parche</w:t>
            </w:r>
          </w:p>
        </w:tc>
        <w:tc>
          <w:tcPr>
            <w:tcW w:type="dxa" w:w="3024"/>
            <w:vAlign w:val="center"/>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tcPr>
          <w:p>
            <w:pPr>
              <w:spacing w:after="0"/>
              <w:jc w:val="center"/>
            </w:pPr>
            <w:r>
              <w:rPr>
                <w:sz w:val="16"/>
              </w:rPr>
              <w:t>Descripción y control visual; no es test sellado</w:t>
            </w:r>
          </w:p>
        </w:tc>
      </w:tr>
      <w:tr>
        <w:trPr>
          <w:cantSplit/>
        </w:trPr>
        <w:tc>
          <w:tcPr>
            <w:tcW w:type="dxa" w:w="1944"/>
            <w:vAlign w:val="center"/>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shd w:fill="F5F7F9"/>
          </w:tcPr>
          <w:p>
            <w:pPr>
              <w:spacing w:after="0"/>
              <w:jc w:val="left"/>
            </w:pPr>
            <w:r>
              <w:rPr>
                <w:sz w:val="16"/>
              </w:rPr>
              <w:t>Reconstrucción sellada</w:t>
            </w:r>
          </w:p>
        </w:tc>
        <w:tc>
          <w:tcPr>
            <w:tcW w:type="dxa" w:w="2448"/>
            <w:vAlign w:val="center"/>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shd w:fill="F5F7F9"/>
          </w:tcPr>
          <w:p>
            <w:pPr>
              <w:spacing w:after="0"/>
              <w:jc w:val="center"/>
            </w:pPr>
            <w:r>
              <w:rPr>
                <w:sz w:val="16"/>
              </w:rPr>
              <w:t>67.138 parches de 23 WSI</w:t>
            </w:r>
          </w:p>
        </w:tc>
        <w:tc>
          <w:tcPr>
            <w:tcW w:type="dxa" w:w="2376"/>
            <w:vAlign w:val="center"/>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shd w:fill="F5F7F9"/>
          </w:tcPr>
          <w:p>
            <w:pPr>
              <w:spacing w:after="0"/>
              <w:jc w:val="center"/>
            </w:pPr>
            <w:r>
              <w:rPr>
                <w:sz w:val="16"/>
              </w:rPr>
              <w:t>Parche; bootstrap por WSI</w:t>
            </w:r>
          </w:p>
        </w:tc>
        <w:tc>
          <w:tcPr>
            <w:tcW w:type="dxa" w:w="3024"/>
            <w:vAlign w:val="center"/>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shd w:fill="F5F7F9"/>
          </w:tcPr>
          <w:p>
            <w:pPr>
              <w:spacing w:after="0"/>
              <w:jc w:val="center"/>
            </w:pPr>
            <w:r>
              <w:rPr>
                <w:sz w:val="16"/>
              </w:rPr>
              <w:t>Comparación primaria de MAE y endpoints secundarios</w:t>
            </w:r>
          </w:p>
        </w:tc>
      </w:tr>
      <w:tr>
        <w:trPr>
          <w:cantSplit/>
        </w:trPr>
        <w:tc>
          <w:tcPr>
            <w:tcW w:type="dxa" w:w="1944"/>
            <w:vAlign w:val="center"/>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tcPr>
          <w:p>
            <w:pPr>
              <w:spacing w:after="0"/>
              <w:jc w:val="left"/>
            </w:pPr>
            <w:r>
              <w:rPr>
                <w:sz w:val="16"/>
              </w:rPr>
              <w:t>Diagnóstico WSI sellado</w:t>
            </w:r>
          </w:p>
        </w:tc>
        <w:tc>
          <w:tcPr>
            <w:tcW w:type="dxa" w:w="2448"/>
            <w:vAlign w:val="center"/>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tcPr>
          <w:p>
            <w:pPr>
              <w:spacing w:after="0"/>
              <w:jc w:val="center"/>
            </w:pPr>
            <w:r>
              <w:rPr>
                <w:sz w:val="16"/>
              </w:rPr>
              <w:t>23 WSI</w:t>
            </w:r>
          </w:p>
        </w:tc>
        <w:tc>
          <w:tcPr>
            <w:tcW w:type="dxa" w:w="2376"/>
            <w:vAlign w:val="center"/>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tcPr>
          <w:p>
            <w:pPr>
              <w:spacing w:after="0"/>
              <w:jc w:val="center"/>
            </w:pPr>
            <w:r>
              <w:rPr>
                <w:sz w:val="16"/>
              </w:rPr>
              <w:t>WSI</w:t>
            </w:r>
          </w:p>
        </w:tc>
        <w:tc>
          <w:tcPr>
            <w:tcW w:type="dxa" w:w="3024"/>
            <w:vAlign w:val="center"/>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tcPr>
          <w:p>
            <w:pPr>
              <w:spacing w:after="0"/>
              <w:jc w:val="center"/>
            </w:pPr>
            <w:r>
              <w:rPr>
                <w:sz w:val="16"/>
              </w:rPr>
              <w:t>F1 macro, exactitudes y entropía cruzada</w:t>
            </w:r>
          </w:p>
        </w:tc>
      </w:tr>
      <w:tr>
        <w:trPr>
          <w:cantSplit/>
        </w:trPr>
        <w:tc>
          <w:tcPr>
            <w:tcW w:type="dxa" w:w="1944"/>
            <w:vAlign w:val="center"/>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shd w:fill="F5F7F9"/>
          </w:tcPr>
          <w:p>
            <w:pPr>
              <w:spacing w:after="0"/>
              <w:jc w:val="left"/>
            </w:pPr>
            <w:r>
              <w:rPr>
                <w:sz w:val="16"/>
              </w:rPr>
              <w:t>Tejido sellado</w:t>
            </w:r>
          </w:p>
        </w:tc>
        <w:tc>
          <w:tcPr>
            <w:tcW w:type="dxa" w:w="2448"/>
            <w:vAlign w:val="center"/>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shd w:fill="F5F7F9"/>
          </w:tcPr>
          <w:p>
            <w:pPr>
              <w:spacing w:after="0"/>
              <w:jc w:val="center"/>
            </w:pPr>
            <w:r>
              <w:rPr>
                <w:sz w:val="16"/>
              </w:rPr>
              <w:t>31.572 parches de 23 WSI</w:t>
            </w:r>
          </w:p>
        </w:tc>
        <w:tc>
          <w:tcPr>
            <w:tcW w:type="dxa" w:w="2376"/>
            <w:vAlign w:val="center"/>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shd w:fill="F5F7F9"/>
          </w:tcPr>
          <w:p>
            <w:pPr>
              <w:spacing w:after="0"/>
              <w:jc w:val="center"/>
            </w:pPr>
            <w:r>
              <w:rPr>
                <w:sz w:val="16"/>
              </w:rPr>
              <w:t>Parche; remuestreo por WSI</w:t>
            </w:r>
          </w:p>
        </w:tc>
        <w:tc>
          <w:tcPr>
            <w:tcW w:type="dxa" w:w="3024"/>
            <w:vAlign w:val="center"/>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shd w:fill="F5F7F9"/>
          </w:tcPr>
          <w:p>
            <w:pPr>
              <w:spacing w:after="0"/>
              <w:jc w:val="center"/>
            </w:pPr>
            <w:r>
              <w:rPr>
                <w:sz w:val="16"/>
              </w:rPr>
              <w:t>Eficiencia de etiquetas en cinco presupuestos</w:t>
            </w:r>
          </w:p>
        </w:tc>
      </w:tr>
    </w:tbl>
    <w:p>
      <w:pPr>
        <w:spacing w:after="0"/>
      </w:pPr>
    </w:p>
    <w:p>
      <w:pPr>
        <w:pStyle w:val="BodyText"/>
      </w:pPr>
      <w:r>
        <w:rPr>
          <w:b/>
        </w:rPr>
        <w:t>Regla de inferencia.</w:t>
      </w:r>
      <w:r>
        <w:t xml:space="preserve"> En reconstrucción, MAE normalizado fue el endpoint confirmatorio. MSE, PSNR y SSIM fueron secundarios. Las desviaciones estándar de parches describen dispersión y no sustituyen los intervalos de incertidumbre por WSI.</w:t>
      </w:r>
    </w:p>
    <w:p>
      <w:pPr>
        <w:pStyle w:val="BodyText"/>
      </w:pPr>
      <w:r>
        <w:rPr>
          <w:b/>
        </w:rPr>
        <w:t>Dirección de contrastes.</w:t>
      </w:r>
      <w:r>
        <w:t xml:space="preserve"> Salvo que se indique lo contrario, las diferencias se informan como normal menos SO(2): valores negativos favorecen al modelo normal en errores (MAE/MSE) y favorecen a SO(2) en métricas donde un valor mayor es mejor (F1/exactitud).</w:t>
      </w:r>
    </w:p>
    <w:p>
      <w:r>
        <w:br w:type="page"/>
      </w:r>
    </w:p>
    <w:p>
      <w:pPr>
        <w:pStyle w:val="Heading1"/>
        <w:keepNext/>
        <w:keepLines/>
      </w:pPr>
      <w:r>
        <w:t>4. Entrenamiento y validación fija de 25 parches</w:t>
      </w:r>
    </w:p>
    <w:p>
      <w:pPr>
        <w:pStyle w:val="BodyText"/>
      </w:pPr>
      <w:r>
        <w:t>La validación fija permite comprobar convergencia, estabilidad y calidad visual con exactamente los mismos parches para ambos modelos. Sus resultados son descriptivos; no reemplazan la evaluación sellada.</w:t>
      </w:r>
    </w:p>
    <w:p>
      <w:pPr>
        <w:spacing w:before="40" w:after="60"/>
        <w:jc w:val="center"/>
        <w:keepNext/>
        <w:keepLines/>
      </w:pPr>
      <w:r>
        <w:drawing>
          <wp:inline xmlns:a="http://schemas.openxmlformats.org/drawingml/2006/main" xmlns:pic="http://schemas.openxmlformats.org/drawingml/2006/picture">
            <wp:extent cx="6172200" cy="4288054"/>
            <wp:docPr id="1" name="Picture 1" descr="Panel de seis gráficas de entrenamiento para los modelos normal y SO2 hasta 60000 actualizaciones." title="Panel de seis gráficas de entrenamiento para los modelos normal y SO2 hasta 6000"/>
            <wp:cNvGraphicFramePr>
              <a:graphicFrameLocks noChangeAspect="1"/>
            </wp:cNvGraphicFramePr>
            <a:graphic>
              <a:graphicData uri="http://schemas.openxmlformats.org/drawingml/2006/picture">
                <pic:pic>
                  <pic:nvPicPr>
                    <pic:cNvPr id="0" name="training_dashboard.png"/>
                    <pic:cNvPicPr/>
                  </pic:nvPicPr>
                  <pic:blipFill>
                    <a:blip r:embed="rId11"/>
                    <a:stretch>
                      <a:fillRect/>
                    </a:stretch>
                  </pic:blipFill>
                  <pic:spPr>
                    <a:xfrm>
                      <a:off x="0" y="0"/>
                      <a:ext cx="6172200" cy="4288054"/>
                    </a:xfrm>
                    <a:prstGeom prst="rect"/>
                  </pic:spPr>
                </pic:pic>
              </a:graphicData>
            </a:graphic>
          </wp:inline>
        </w:drawing>
      </w:r>
    </w:p>
    <w:p>
      <w:pPr>
        <w:pStyle w:val="Caption"/>
        <w:jc w:val="left"/>
        <w:keepLines/>
      </w:pPr>
      <w:r>
        <w:t>Figura 1. Panel de entrenamiento hasta 60.000 actualizaciones: objetivo, Charbonnier/L1, 1-SSIM, PSNR, diagnóstico latente de equivarianza y tasa de aprendizaje. Validación fija de 25 parches; no es test sellado.</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3168"/>
            <w:shd w:fill="1F2933"/>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tcPr>
          <w:p>
            <w:pPr>
              <w:jc w:val="center"/>
            </w:pPr>
            <w:r>
              <w:rPr>
                <w:b/>
                <w:color w:val="FFFFFF"/>
                <w:sz w:val="17"/>
              </w:rPr>
              <w:t>Métrica</w:t>
            </w:r>
          </w:p>
        </w:tc>
        <w:tc>
          <w:tcPr>
            <w:tcW w:type="dxa" w:w="2592"/>
            <w:shd w:fill="1F2933"/>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tcPr>
          <w:p>
            <w:pPr>
              <w:jc w:val="center"/>
            </w:pPr>
            <w:r>
              <w:rPr>
                <w:b/>
                <w:color w:val="FFFFFF"/>
                <w:sz w:val="17"/>
              </w:rPr>
              <w:t>Normal: media (DEp)</w:t>
            </w:r>
          </w:p>
        </w:tc>
        <w:tc>
          <w:tcPr>
            <w:tcW w:type="dxa" w:w="2592"/>
            <w:shd w:fill="1F2933"/>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tcPr>
          <w:p>
            <w:pPr>
              <w:jc w:val="center"/>
            </w:pPr>
            <w:r>
              <w:rPr>
                <w:b/>
                <w:color w:val="FFFFFF"/>
                <w:sz w:val="17"/>
              </w:rPr>
              <w:t>SO(2): media (DEp)</w:t>
            </w:r>
          </w:p>
        </w:tc>
        <w:tc>
          <w:tcPr>
            <w:tcW w:type="dxa" w:w="1296"/>
            <w:shd w:fill="1F2933"/>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tcPr>
          <w:p>
            <w:pPr>
              <w:jc w:val="center"/>
            </w:pPr>
            <w:r>
              <w:rPr>
                <w:b/>
                <w:color w:val="FFFFFF"/>
                <w:sz w:val="17"/>
              </w:rPr>
              <w:t>n</w:t>
            </w:r>
          </w:p>
        </w:tc>
      </w:tr>
      <w:tr>
        <w:trPr>
          <w:cantSplit/>
        </w:trPr>
        <w:tc>
          <w:tcPr>
            <w:tcW w:type="dxa" w:w="3168"/>
            <w:vAlign w:val="center"/>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tcPr>
          <w:p>
            <w:pPr>
              <w:spacing w:after="0"/>
              <w:jc w:val="left"/>
            </w:pPr>
            <w:r>
              <w:rPr>
                <w:sz w:val="17"/>
              </w:rPr>
              <w:t>MAE (menor es mejor)</w:t>
            </w:r>
          </w:p>
        </w:tc>
        <w:tc>
          <w:tcPr>
            <w:tcW w:type="dxa" w:w="2592"/>
            <w:vAlign w:val="center"/>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tcPr>
          <w:p>
            <w:pPr>
              <w:spacing w:after="0"/>
              <w:jc w:val="center"/>
            </w:pPr>
            <w:r>
              <w:rPr>
                <w:sz w:val="17"/>
              </w:rPr>
              <w:t>0.0608 (0.0127)</w:t>
            </w:r>
          </w:p>
        </w:tc>
        <w:tc>
          <w:tcPr>
            <w:tcW w:type="dxa" w:w="2592"/>
            <w:vAlign w:val="center"/>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tcPr>
          <w:p>
            <w:pPr>
              <w:spacing w:after="0"/>
              <w:jc w:val="center"/>
            </w:pPr>
            <w:r>
              <w:rPr>
                <w:sz w:val="17"/>
              </w:rPr>
              <w:t>0.0624 (0.0130)</w:t>
            </w:r>
          </w:p>
        </w:tc>
        <w:tc>
          <w:tcPr>
            <w:tcW w:type="dxa" w:w="1296"/>
            <w:vAlign w:val="center"/>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tcPr>
          <w:p>
            <w:pPr>
              <w:spacing w:after="0"/>
              <w:jc w:val="center"/>
            </w:pPr>
            <w:r>
              <w:rPr>
                <w:sz w:val="17"/>
              </w:rPr>
              <w:t>25 / 25</w:t>
            </w:r>
          </w:p>
        </w:tc>
      </w:tr>
      <w:tr>
        <w:trPr>
          <w:cantSplit/>
        </w:trPr>
        <w:tc>
          <w:tcPr>
            <w:tcW w:type="dxa" w:w="3168"/>
            <w:vAlign w:val="center"/>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shd w:fill="F5F7F9"/>
          </w:tcPr>
          <w:p>
            <w:pPr>
              <w:spacing w:after="0"/>
              <w:jc w:val="left"/>
            </w:pPr>
            <w:r>
              <w:rPr>
                <w:sz w:val="17"/>
              </w:rPr>
              <w:t>MSE (menor es mejor)</w:t>
            </w:r>
          </w:p>
        </w:tc>
        <w:tc>
          <w:tcPr>
            <w:tcW w:type="dxa" w:w="2592"/>
            <w:vAlign w:val="center"/>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shd w:fill="F5F7F9"/>
          </w:tcPr>
          <w:p>
            <w:pPr>
              <w:spacing w:after="0"/>
              <w:jc w:val="center"/>
            </w:pPr>
            <w:r>
              <w:rPr>
                <w:sz w:val="17"/>
              </w:rPr>
              <w:t>0.0071 (0.0028)</w:t>
            </w:r>
          </w:p>
        </w:tc>
        <w:tc>
          <w:tcPr>
            <w:tcW w:type="dxa" w:w="2592"/>
            <w:vAlign w:val="center"/>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shd w:fill="F5F7F9"/>
          </w:tcPr>
          <w:p>
            <w:pPr>
              <w:spacing w:after="0"/>
              <w:jc w:val="center"/>
            </w:pPr>
            <w:r>
              <w:rPr>
                <w:sz w:val="17"/>
              </w:rPr>
              <w:t>0.0075 (0.0029)</w:t>
            </w:r>
          </w:p>
        </w:tc>
        <w:tc>
          <w:tcPr>
            <w:tcW w:type="dxa" w:w="1296"/>
            <w:vAlign w:val="center"/>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shd w:fill="F5F7F9"/>
          </w:tcPr>
          <w:p>
            <w:pPr>
              <w:spacing w:after="0"/>
              <w:jc w:val="center"/>
            </w:pPr>
            <w:r>
              <w:rPr>
                <w:sz w:val="17"/>
              </w:rPr>
              <w:t>25 / 25</w:t>
            </w:r>
          </w:p>
        </w:tc>
      </w:tr>
      <w:tr>
        <w:trPr>
          <w:cantSplit/>
        </w:trPr>
        <w:tc>
          <w:tcPr>
            <w:tcW w:type="dxa" w:w="3168"/>
            <w:vAlign w:val="center"/>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tcPr>
          <w:p>
            <w:pPr>
              <w:spacing w:after="0"/>
              <w:jc w:val="left"/>
            </w:pPr>
            <w:r>
              <w:rPr>
                <w:sz w:val="17"/>
              </w:rPr>
              <w:t>PSNR dB (mayor es mejor)</w:t>
            </w:r>
          </w:p>
        </w:tc>
        <w:tc>
          <w:tcPr>
            <w:tcW w:type="dxa" w:w="2592"/>
            <w:vAlign w:val="center"/>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tcPr>
          <w:p>
            <w:pPr>
              <w:spacing w:after="0"/>
              <w:jc w:val="center"/>
            </w:pPr>
            <w:r>
              <w:rPr>
                <w:sz w:val="17"/>
              </w:rPr>
              <w:t>27.898 (1.839)</w:t>
            </w:r>
          </w:p>
        </w:tc>
        <w:tc>
          <w:tcPr>
            <w:tcW w:type="dxa" w:w="2592"/>
            <w:vAlign w:val="center"/>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tcPr>
          <w:p>
            <w:pPr>
              <w:spacing w:after="0"/>
              <w:jc w:val="center"/>
            </w:pPr>
            <w:r>
              <w:rPr>
                <w:sz w:val="17"/>
              </w:rPr>
              <w:t>27.645 (1.826)</w:t>
            </w:r>
          </w:p>
        </w:tc>
        <w:tc>
          <w:tcPr>
            <w:tcW w:type="dxa" w:w="1296"/>
            <w:vAlign w:val="center"/>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tcPr>
          <w:p>
            <w:pPr>
              <w:spacing w:after="0"/>
              <w:jc w:val="center"/>
            </w:pPr>
            <w:r>
              <w:rPr>
                <w:sz w:val="17"/>
              </w:rPr>
              <w:t>25 / 25</w:t>
            </w:r>
          </w:p>
        </w:tc>
      </w:tr>
      <w:tr>
        <w:trPr>
          <w:cantSplit/>
        </w:trPr>
        <w:tc>
          <w:tcPr>
            <w:tcW w:type="dxa" w:w="3168"/>
            <w:vAlign w:val="center"/>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shd w:fill="F5F7F9"/>
          </w:tcPr>
          <w:p>
            <w:pPr>
              <w:spacing w:after="0"/>
              <w:jc w:val="left"/>
            </w:pPr>
            <w:r>
              <w:rPr>
                <w:sz w:val="17"/>
              </w:rPr>
              <w:t>SSIM (mayor es mejor)</w:t>
            </w:r>
          </w:p>
        </w:tc>
        <w:tc>
          <w:tcPr>
            <w:tcW w:type="dxa" w:w="2592"/>
            <w:vAlign w:val="center"/>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shd w:fill="F5F7F9"/>
          </w:tcPr>
          <w:p>
            <w:pPr>
              <w:spacing w:after="0"/>
              <w:jc w:val="center"/>
            </w:pPr>
            <w:r>
              <w:rPr>
                <w:sz w:val="17"/>
              </w:rPr>
              <w:t>0.7308 (0.0637)</w:t>
            </w:r>
          </w:p>
        </w:tc>
        <w:tc>
          <w:tcPr>
            <w:tcW w:type="dxa" w:w="2592"/>
            <w:vAlign w:val="center"/>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shd w:fill="F5F7F9"/>
          </w:tcPr>
          <w:p>
            <w:pPr>
              <w:spacing w:after="0"/>
              <w:jc w:val="center"/>
            </w:pPr>
            <w:r>
              <w:rPr>
                <w:sz w:val="17"/>
              </w:rPr>
              <w:t>0.7170 (0.0637)</w:t>
            </w:r>
          </w:p>
        </w:tc>
        <w:tc>
          <w:tcPr>
            <w:tcW w:type="dxa" w:w="1296"/>
            <w:vAlign w:val="center"/>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shd w:fill="F5F7F9"/>
          </w:tcPr>
          <w:p>
            <w:pPr>
              <w:spacing w:after="0"/>
              <w:jc w:val="center"/>
            </w:pPr>
            <w:r>
              <w:rPr>
                <w:sz w:val="17"/>
              </w:rPr>
              <w:t>25 / 25</w:t>
            </w:r>
          </w:p>
        </w:tc>
      </w:tr>
    </w:tbl>
    <w:p>
      <w:pPr>
        <w:spacing w:after="0"/>
      </w:pPr>
    </w:p>
    <w:p>
      <w:pPr>
        <w:pStyle w:val="BodyText"/>
      </w:pPr>
      <w:r>
        <w:t>En esta muestra descriptiva, el modelo normal tuvo menor MAE/MSE y mayor PSNR/SSIM. No se aplicó inferencia estadística a la validación fija.</w:t>
      </w:r>
    </w:p>
    <w:p>
      <w:pPr>
        <w:spacing w:before="40" w:after="60"/>
        <w:jc w:val="center"/>
        <w:keepNext/>
        <w:keepLines/>
      </w:pPr>
      <w:r>
        <w:drawing>
          <wp:inline xmlns:a="http://schemas.openxmlformats.org/drawingml/2006/main" xmlns:pic="http://schemas.openxmlformats.org/drawingml/2006/picture">
            <wp:extent cx="6080760" cy="3986276"/>
            <wp:docPr id="2" name="Picture 2" descr="Cuatro diagramas de caja comparan MAE, MSE, PSNR y SSIM en 25 parches para los dos modelos." title="Cuatro diagramas de caja comparan MAE, MSE, PSNR y SSIM en 25 parches para los d"/>
            <wp:cNvGraphicFramePr>
              <a:graphicFrameLocks noChangeAspect="1"/>
            </wp:cNvGraphicFramePr>
            <a:graphic>
              <a:graphicData uri="http://schemas.openxmlformats.org/drawingml/2006/picture">
                <pic:pic>
                  <pic:nvPicPr>
                    <pic:cNvPr id="0" name="metrics_boxplots_fixed25.png"/>
                    <pic:cNvPicPr/>
                  </pic:nvPicPr>
                  <pic:blipFill>
                    <a:blip r:embed="rId12"/>
                    <a:stretch>
                      <a:fillRect/>
                    </a:stretch>
                  </pic:blipFill>
                  <pic:spPr>
                    <a:xfrm>
                      <a:off x="0" y="0"/>
                      <a:ext cx="6080760" cy="3986276"/>
                    </a:xfrm>
                    <a:prstGeom prst="rect"/>
                  </pic:spPr>
                </pic:pic>
              </a:graphicData>
            </a:graphic>
          </wp:inline>
        </w:drawing>
      </w:r>
    </w:p>
    <w:p>
      <w:pPr>
        <w:pStyle w:val="Caption"/>
        <w:jc w:val="left"/>
        <w:keepLines/>
      </w:pPr>
      <w:r>
        <w:t>Figura 2. Diagramas de caja solicitados para MAE, MSE, PSNR y SSIM en los 25 parches fijos. Cada caja resume n=25 por modelo; DEp significa desviación estándar poblacional.</w:t>
      </w:r>
    </w:p>
    <w:p>
      <w:r>
        <w:br w:type="page"/>
      </w:r>
    </w:p>
    <w:p>
      <w:pPr>
        <w:pStyle w:val="Heading1"/>
        <w:keepNext/>
        <w:keepLines/>
      </w:pPr>
      <w:r>
        <w:t>5. Reconstrucciones cualitativas fijas</w:t>
      </w:r>
    </w:p>
    <w:p>
      <w:pPr>
        <w:pStyle w:val="BodyText"/>
      </w:pPr>
      <w:r>
        <w:t>Las reconstrucciones permiten verificar que ambos modelos preservan estructura y color generales. La inspección visual complementa, pero no reemplaza, las métricas cuantitativas.</w:t>
      </w:r>
    </w:p>
    <w:p>
      <w:pPr>
        <w:spacing w:before="40" w:after="60"/>
        <w:jc w:val="center"/>
        <w:keepNext/>
        <w:keepLines/>
      </w:pPr>
      <w:r>
        <w:drawing>
          <wp:inline xmlns:a="http://schemas.openxmlformats.org/drawingml/2006/main" xmlns:pic="http://schemas.openxmlformats.org/drawingml/2006/picture">
            <wp:extent cx="6309360" cy="2606040"/>
            <wp:docPr id="3" name="Picture 3" descr="Mosaico de 25 parches originales junto con sus reconstrucciones por el VAE normal y el VAE SO2." title="Mosaico de 25 parches originales junto con sus reconstrucciones por el VAE norma"/>
            <wp:cNvGraphicFramePr>
              <a:graphicFrameLocks noChangeAspect="1"/>
            </wp:cNvGraphicFramePr>
            <a:graphic>
              <a:graphicData uri="http://schemas.openxmlformats.org/drawingml/2006/picture">
                <pic:pic>
                  <pic:nvPicPr>
                    <pic:cNvPr id="0" name="reconstructions_fixed25.png"/>
                    <pic:cNvPicPr/>
                  </pic:nvPicPr>
                  <pic:blipFill>
                    <a:blip r:embed="rId13"/>
                    <a:stretch>
                      <a:fillRect/>
                    </a:stretch>
                  </pic:blipFill>
                  <pic:spPr>
                    <a:xfrm>
                      <a:off x="0" y="0"/>
                      <a:ext cx="6309360" cy="2606040"/>
                    </a:xfrm>
                    <a:prstGeom prst="rect"/>
                  </pic:spPr>
                </pic:pic>
              </a:graphicData>
            </a:graphic>
          </wp:inline>
        </w:drawing>
      </w:r>
    </w:p>
    <w:p>
      <w:pPr>
        <w:pStyle w:val="Caption"/>
        <w:jc w:val="left"/>
        <w:keepLines/>
      </w:pPr>
      <w:r>
        <w:t>Figura 3. Originales y reconstrucciones de los 25 parches predeterminados para ambos modelos. Población: validación fija; n=25; selección fijada antes del análisis.</w:t>
      </w:r>
    </w:p>
    <w:p>
      <w:pPr>
        <w:pStyle w:val="Heading2"/>
        <w:keepNext/>
        <w:keepLines/>
      </w:pPr>
      <w:r>
        <w:t>Cómo leer esta figura</w:t>
      </w:r>
    </w:p>
    <w:p>
      <w:pPr>
        <w:pStyle w:val="ListBullet"/>
      </w:pPr>
      <w:r>
        <w:t>Buscar pérdida de bordes celulares, suavizado excesivo, cambios de color y artefactos repetitivos.</w:t>
      </w:r>
    </w:p>
    <w:p>
      <w:pPr>
        <w:pStyle w:val="ListBullet"/>
      </w:pPr>
      <w:r>
        <w:t>No elegir un modelo por un parche aislado: las métricas selladas agregan 67.138 parches.</w:t>
      </w:r>
    </w:p>
    <w:p>
      <w:pPr>
        <w:pStyle w:val="ListBullet"/>
      </w:pPr>
      <w:r>
        <w:t>La selección fija evita escoger ejemplos favorables después de observar los resultados.</w:t>
      </w:r>
    </w:p>
    <w:p>
      <w:r>
        <w:br w:type="page"/>
      </w:r>
    </w:p>
    <w:p>
      <w:pPr>
        <w:pStyle w:val="Heading1"/>
        <w:keepNext/>
        <w:keepLines/>
      </w:pPr>
      <w:r>
        <w:t>6. Reconstrucción en el test sellado</w:t>
      </w:r>
    </w:p>
    <w:p>
      <w:pPr>
        <w:pStyle w:val="BodyText"/>
      </w:pPr>
      <w:r>
        <w:t>La evaluación principal amplió la comparación a 67.138 parches procedentes de 23 WSI. Los intervalos se calcularon con 10.000 remuestras por conglomerado WSI; cubren variación entre WSI, no nuevas semillas de entrenamiento ni una nueva selección de parches.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232"/>
            <w:shd w:fill="1F2933"/>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tcPr>
          <w:p>
            <w:pPr>
              <w:jc w:val="center"/>
            </w:pPr>
            <w:r>
              <w:rPr>
                <w:b/>
                <w:color w:val="FFFFFF"/>
                <w:sz w:val="17"/>
              </w:rPr>
              <w:t>Métrica</w:t>
            </w:r>
          </w:p>
        </w:tc>
        <w:tc>
          <w:tcPr>
            <w:tcW w:type="dxa" w:w="2736"/>
            <w:shd w:fill="1F2933"/>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tcPr>
          <w:p>
            <w:pPr>
              <w:jc w:val="center"/>
            </w:pPr>
            <w:r>
              <w:rPr>
                <w:b/>
                <w:color w:val="FFFFFF"/>
                <w:sz w:val="17"/>
              </w:rPr>
              <w:t>Normal: media (DEp)</w:t>
            </w:r>
          </w:p>
        </w:tc>
        <w:tc>
          <w:tcPr>
            <w:tcW w:type="dxa" w:w="2736"/>
            <w:shd w:fill="1F2933"/>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tcPr>
          <w:p>
            <w:pPr>
              <w:jc w:val="center"/>
            </w:pPr>
            <w:r>
              <w:rPr>
                <w:b/>
                <w:color w:val="FFFFFF"/>
                <w:sz w:val="17"/>
              </w:rPr>
              <w:t>SO(2): media (DEp)</w:t>
            </w:r>
          </w:p>
        </w:tc>
        <w:tc>
          <w:tcPr>
            <w:tcW w:type="dxa" w:w="1944"/>
            <w:shd w:fill="1F2933"/>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tcPr>
          <w:p>
            <w:pPr>
              <w:jc w:val="center"/>
            </w:pPr>
            <w:r>
              <w:rPr>
                <w:b/>
                <w:color w:val="FFFFFF"/>
                <w:sz w:val="17"/>
              </w:rPr>
              <w:t>Normal - SO(2)</w:t>
            </w:r>
          </w:p>
        </w:tc>
      </w:tr>
      <w:tr>
        <w:trPr>
          <w:cantSplit/>
        </w:trPr>
        <w:tc>
          <w:tcPr>
            <w:tcW w:type="dxa" w:w="2232"/>
            <w:vAlign w:val="center"/>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tcPr>
          <w:p>
            <w:pPr>
              <w:spacing w:after="0"/>
              <w:jc w:val="left"/>
            </w:pPr>
            <w:r>
              <w:rPr>
                <w:sz w:val="17"/>
              </w:rPr>
              <w:t>MAE</w:t>
            </w:r>
          </w:p>
        </w:tc>
        <w:tc>
          <w:tcPr>
            <w:tcW w:type="dxa" w:w="2736"/>
            <w:vAlign w:val="center"/>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tcPr>
          <w:p>
            <w:pPr>
              <w:spacing w:after="0"/>
              <w:jc w:val="center"/>
            </w:pPr>
            <w:r>
              <w:rPr>
                <w:sz w:val="17"/>
              </w:rPr>
              <w:t>0.0629 (0.0239)</w:t>
            </w:r>
          </w:p>
        </w:tc>
        <w:tc>
          <w:tcPr>
            <w:tcW w:type="dxa" w:w="2736"/>
            <w:vAlign w:val="center"/>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tcPr>
          <w:p>
            <w:pPr>
              <w:spacing w:after="0"/>
              <w:jc w:val="center"/>
            </w:pPr>
            <w:r>
              <w:rPr>
                <w:sz w:val="17"/>
              </w:rPr>
              <w:t>0.0642 (0.0223)</w:t>
            </w:r>
          </w:p>
        </w:tc>
        <w:tc>
          <w:tcPr>
            <w:tcW w:type="dxa" w:w="1944"/>
            <w:vAlign w:val="center"/>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tcPr>
          <w:p>
            <w:pPr>
              <w:spacing w:after="0"/>
              <w:jc w:val="center"/>
            </w:pPr>
            <w:r>
              <w:rPr>
                <w:sz w:val="17"/>
              </w:rPr>
              <w:t>-0.0014</w:t>
            </w:r>
          </w:p>
        </w:tc>
      </w:tr>
      <w:tr>
        <w:trPr>
          <w:cantSplit/>
        </w:trPr>
        <w:tc>
          <w:tcPr>
            <w:tcW w:type="dxa" w:w="2232"/>
            <w:vAlign w:val="center"/>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shd w:fill="F5F7F9"/>
          </w:tcPr>
          <w:p>
            <w:pPr>
              <w:spacing w:after="0"/>
              <w:jc w:val="left"/>
            </w:pPr>
            <w:r>
              <w:rPr>
                <w:sz w:val="17"/>
              </w:rPr>
              <w:t>MSE</w:t>
            </w:r>
          </w:p>
        </w:tc>
        <w:tc>
          <w:tcPr>
            <w:tcW w:type="dxa" w:w="2736"/>
            <w:vAlign w:val="center"/>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shd w:fill="F5F7F9"/>
          </w:tcPr>
          <w:p>
            <w:pPr>
              <w:spacing w:after="0"/>
              <w:jc w:val="center"/>
            </w:pPr>
            <w:r>
              <w:rPr>
                <w:sz w:val="17"/>
              </w:rPr>
              <w:t>0.0080 (0.0074)</w:t>
            </w:r>
          </w:p>
        </w:tc>
        <w:tc>
          <w:tcPr>
            <w:tcW w:type="dxa" w:w="2736"/>
            <w:vAlign w:val="center"/>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shd w:fill="F5F7F9"/>
          </w:tcPr>
          <w:p>
            <w:pPr>
              <w:spacing w:after="0"/>
              <w:jc w:val="center"/>
            </w:pPr>
            <w:r>
              <w:rPr>
                <w:sz w:val="17"/>
              </w:rPr>
              <w:t>0.0083 (0.0067)</w:t>
            </w:r>
          </w:p>
        </w:tc>
        <w:tc>
          <w:tcPr>
            <w:tcW w:type="dxa" w:w="1944"/>
            <w:vAlign w:val="center"/>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shd w:fill="F5F7F9"/>
          </w:tcPr>
          <w:p>
            <w:pPr>
              <w:spacing w:after="0"/>
              <w:jc w:val="center"/>
            </w:pPr>
            <w:r>
              <w:rPr>
                <w:sz w:val="17"/>
              </w:rPr>
              <w:t>-0.0003</w:t>
            </w:r>
          </w:p>
        </w:tc>
      </w:tr>
      <w:tr>
        <w:trPr>
          <w:cantSplit/>
        </w:trPr>
        <w:tc>
          <w:tcPr>
            <w:tcW w:type="dxa" w:w="2232"/>
            <w:vAlign w:val="center"/>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tcPr>
          <w:p>
            <w:pPr>
              <w:spacing w:after="0"/>
              <w:jc w:val="left"/>
            </w:pPr>
            <w:r>
              <w:rPr>
                <w:sz w:val="17"/>
              </w:rPr>
              <w:t>PSNR (dB)</w:t>
            </w:r>
          </w:p>
        </w:tc>
        <w:tc>
          <w:tcPr>
            <w:tcW w:type="dxa" w:w="2736"/>
            <w:vAlign w:val="center"/>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tcPr>
          <w:p>
            <w:pPr>
              <w:spacing w:after="0"/>
              <w:jc w:val="center"/>
            </w:pPr>
            <w:r>
              <w:rPr>
                <w:sz w:val="17"/>
              </w:rPr>
              <w:t>27.923 (2.721)</w:t>
            </w:r>
          </w:p>
        </w:tc>
        <w:tc>
          <w:tcPr>
            <w:tcW w:type="dxa" w:w="2736"/>
            <w:vAlign w:val="center"/>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tcPr>
          <w:p>
            <w:pPr>
              <w:spacing w:after="0"/>
              <w:jc w:val="center"/>
            </w:pPr>
            <w:r>
              <w:rPr>
                <w:sz w:val="17"/>
              </w:rPr>
              <w:t>27.658 (2.595)</w:t>
            </w:r>
          </w:p>
        </w:tc>
        <w:tc>
          <w:tcPr>
            <w:tcW w:type="dxa" w:w="1944"/>
            <w:vAlign w:val="center"/>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tcPr>
          <w:p>
            <w:pPr>
              <w:spacing w:after="0"/>
              <w:jc w:val="center"/>
            </w:pPr>
            <w:r>
              <w:rPr>
                <w:sz w:val="17"/>
              </w:rPr>
              <w:t>+0.264</w:t>
            </w:r>
          </w:p>
        </w:tc>
      </w:tr>
      <w:tr>
        <w:trPr>
          <w:cantSplit/>
        </w:trPr>
        <w:tc>
          <w:tcPr>
            <w:tcW w:type="dxa" w:w="2232"/>
            <w:vAlign w:val="center"/>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shd w:fill="F5F7F9"/>
          </w:tcPr>
          <w:p>
            <w:pPr>
              <w:spacing w:after="0"/>
              <w:jc w:val="left"/>
            </w:pPr>
            <w:r>
              <w:rPr>
                <w:sz w:val="17"/>
              </w:rPr>
              <w:t>SSIM</w:t>
            </w:r>
          </w:p>
        </w:tc>
        <w:tc>
          <w:tcPr>
            <w:tcW w:type="dxa" w:w="2736"/>
            <w:vAlign w:val="center"/>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shd w:fill="F5F7F9"/>
          </w:tcPr>
          <w:p>
            <w:pPr>
              <w:spacing w:after="0"/>
              <w:jc w:val="center"/>
            </w:pPr>
            <w:r>
              <w:rPr>
                <w:sz w:val="17"/>
              </w:rPr>
              <w:t>0.7575 (0.0842)</w:t>
            </w:r>
          </w:p>
        </w:tc>
        <w:tc>
          <w:tcPr>
            <w:tcW w:type="dxa" w:w="2736"/>
            <w:vAlign w:val="center"/>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shd w:fill="F5F7F9"/>
          </w:tcPr>
          <w:p>
            <w:pPr>
              <w:spacing w:after="0"/>
              <w:jc w:val="center"/>
            </w:pPr>
            <w:r>
              <w:rPr>
                <w:sz w:val="17"/>
              </w:rPr>
              <w:t>0.7436 (0.0862)</w:t>
            </w:r>
          </w:p>
        </w:tc>
        <w:tc>
          <w:tcPr>
            <w:tcW w:type="dxa" w:w="1944"/>
            <w:vAlign w:val="center"/>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shd w:fill="F5F7F9"/>
          </w:tcPr>
          <w:p>
            <w:pPr>
              <w:spacing w:after="0"/>
              <w:jc w:val="center"/>
            </w:pPr>
            <w:r>
              <w:rPr>
                <w:sz w:val="17"/>
              </w:rPr>
              <w:t>+0.0139</w:t>
            </w:r>
          </w:p>
        </w:tc>
      </w:tr>
    </w:tbl>
    <w:p>
      <w:pPr>
        <w:spacing w:after="0"/>
      </w:pPr>
    </w:p>
    <w:p>
      <w:pPr>
        <w:pStyle w:val="BodyText"/>
      </w:pPr>
      <w:r>
        <w:rPr>
          <w:b/>
        </w:rPr>
        <w:t>Resultado primario.</w:t>
      </w:r>
      <w:r>
        <w:t xml:space="preserve"> MAE: 0,062872 para el modelo normal y 0,064230 para SO(2). Diferencia normal menos SO(2) = -0,001358; IC 95% [-0,002213; 0,000046]. Como el intervalo incluye cero, no se estableció una diferencia de reconstrucción primaria.</w:t>
      </w:r>
    </w:p>
    <w:p>
      <w:pPr>
        <w:pStyle w:val="BodyText"/>
      </w:pPr>
      <w:r>
        <w:rPr>
          <w:b/>
        </w:rPr>
        <w:t>Endpoints secundarios.</w:t>
      </w:r>
      <w:r>
        <w:t xml:space="preserve"> PSNR y SSIM favorecen descriptivamente al modelo normal, y sus intervalos exploratorios no cruzan cero. Se mantienen como resultados secundarios: no sustituyen la conclusión del endpoint primario.</w:t>
      </w:r>
    </w:p>
    <w:p>
      <w:pPr>
        <w:spacing w:before="40" w:after="60"/>
        <w:jc w:val="center"/>
        <w:keepNext/>
        <w:keepLines/>
      </w:pPr>
      <w:r>
        <w:drawing>
          <wp:inline xmlns:a="http://schemas.openxmlformats.org/drawingml/2006/main" xmlns:pic="http://schemas.openxmlformats.org/drawingml/2006/picture">
            <wp:extent cx="6035040" cy="3822192"/>
            <wp:docPr id="4" name="Picture 4" descr="Diagramas de caja del test sellado comparan las cuatro métricas de reconstrucción entre ambos modelos." title="Diagramas de caja del test sellado comparan las cuatro métricas de reconstrucció"/>
            <wp:cNvGraphicFramePr>
              <a:graphicFrameLocks noChangeAspect="1"/>
            </wp:cNvGraphicFramePr>
            <a:graphic>
              <a:graphicData uri="http://schemas.openxmlformats.org/drawingml/2006/picture">
                <pic:pic>
                  <pic:nvPicPr>
                    <pic:cNvPr id="0" name="patch_metric_boxplots.png"/>
                    <pic:cNvPicPr/>
                  </pic:nvPicPr>
                  <pic:blipFill>
                    <a:blip r:embed="rId14"/>
                    <a:stretch>
                      <a:fillRect/>
                    </a:stretch>
                  </pic:blipFill>
                  <pic:spPr>
                    <a:xfrm>
                      <a:off x="0" y="0"/>
                      <a:ext cx="6035040" cy="3822192"/>
                    </a:xfrm>
                    <a:prstGeom prst="rect"/>
                  </pic:spPr>
                </pic:pic>
              </a:graphicData>
            </a:graphic>
          </wp:inline>
        </w:drawing>
      </w:r>
    </w:p>
    <w:p>
      <w:pPr>
        <w:pStyle w:val="Caption"/>
        <w:jc w:val="left"/>
        <w:keepLines/>
      </w:pPr>
      <w:r>
        <w:t>Figura 4. Distribuciones por parche en el test sellado: 67.138 parches por modelo, agrupados en 23 WSI. Las cajas describen dispersión de parches; no son intervalos inferenciales. La tabla superior proporciona la escala numérica.</w:t>
      </w:r>
    </w:p>
    <w:p>
      <w:r>
        <w:br w:type="page"/>
      </w:r>
    </w:p>
    <w:p>
      <w:pPr>
        <w:pStyle w:val="Heading1"/>
        <w:keepNext/>
        <w:keepLines/>
      </w:pPr>
      <w:r>
        <w:t>7. Consistencia entre WSI</w:t>
      </w:r>
    </w:p>
    <w:p>
      <w:pPr>
        <w:pStyle w:val="BodyText"/>
      </w:pPr>
      <w:r>
        <w:t>La vista pareada por WSI evita que el gran número de parches oculte la unidad biológica. En 22 de los 23 WSI, el MAE medio del modelo normal fue menor; un WSI mostró el patrón contrario. Aún así, la incertidumbre del estimando primario ponderado por parches alcanza el cero.</w:t>
      </w:r>
    </w:p>
    <w:p>
      <w:pPr>
        <w:spacing w:before="40" w:after="60"/>
        <w:jc w:val="center"/>
        <w:keepNext/>
        <w:keepLines/>
      </w:pPr>
      <w:r>
        <w:drawing>
          <wp:inline xmlns:a="http://schemas.openxmlformats.org/drawingml/2006/main" xmlns:pic="http://schemas.openxmlformats.org/drawingml/2006/picture">
            <wp:extent cx="6217920" cy="3627120"/>
            <wp:docPr id="5" name="Picture 5" descr="Gráfica pareada con 23 lineas que conectan el MAE de cada WSI para el modelo normal y el modelo SO2." title="Gráfica pareada con 23 lineas que conectan el MAE de cada WSI para el modelo nor"/>
            <wp:cNvGraphicFramePr>
              <a:graphicFrameLocks noChangeAspect="1"/>
            </wp:cNvGraphicFramePr>
            <a:graphic>
              <a:graphicData uri="http://schemas.openxmlformats.org/drawingml/2006/picture">
                <pic:pic>
                  <pic:nvPicPr>
                    <pic:cNvPr id="0" name="paired_wsi_mae.png"/>
                    <pic:cNvPicPr/>
                  </pic:nvPicPr>
                  <pic:blipFill>
                    <a:blip r:embed="rId15"/>
                    <a:stretch>
                      <a:fillRect/>
                    </a:stretch>
                  </pic:blipFill>
                  <pic:spPr>
                    <a:xfrm>
                      <a:off x="0" y="0"/>
                      <a:ext cx="6217920" cy="3627120"/>
                    </a:xfrm>
                    <a:prstGeom prst="rect"/>
                  </pic:spPr>
                </pic:pic>
              </a:graphicData>
            </a:graphic>
          </wp:inline>
        </w:drawing>
      </w:r>
    </w:p>
    <w:p>
      <w:pPr>
        <w:pStyle w:val="Caption"/>
        <w:jc w:val="left"/>
        <w:keepLines/>
      </w:pPr>
      <w:r>
        <w:t>Figura 5. MAE medio pareado por WSI en el test sellado (n=23 WSI). Cada línea conecta exactamente el mismo WSI bajo ambos modelos.</w:t>
      </w:r>
    </w:p>
    <w:p>
      <w:pPr>
        <w:pStyle w:val="Heading2"/>
        <w:keepNext/>
        <w:keepLines/>
      </w:pPr>
      <w:r>
        <w:t>Interpretación</w:t>
      </w:r>
    </w:p>
    <w:p>
      <w:pPr>
        <w:pStyle w:val="BodyText"/>
      </w:pPr>
      <w:r>
        <w:t>El patrón por WSI sugiere una pequeña ventaja de fidelidad para el modelo normal, coherente con los endpoints secundarios. Sin embargo, el objetivo del experimento no era optimizar solo píxeles: también se evaluó si las representaciones resultaban útiles para diagnóstico y tejido.</w:t>
      </w:r>
    </w:p>
    <w:p>
      <w:r>
        <w:br w:type="page"/>
      </w:r>
    </w:p>
    <w:p>
      <w:pPr>
        <w:pStyle w:val="Heading1"/>
        <w:keepNext/>
        <w:keepLines/>
      </w:pPr>
      <w:r>
        <w:t>8. Geometría de la acción rotacional en el espacio latente</w:t>
      </w:r>
    </w:p>
    <w:p>
      <w:pPr>
        <w:pStyle w:val="BodyText"/>
      </w:pPr>
      <w:r>
        <w:t>Este análisis es un trabajo post-hoc, exploratorio y exclusivo de los 25 parches fijos de validación. No accedió al test sellado, no reentrenó los VAE y no cambió checkpoints. Su pregunta principal no fue si cada parche dibuja un ciclo —resultado casi trivial para un codificador continuo— sino si una misma acción rotacional reducida transfiere entre parches y permite separar aproximadamente contenido y pose.</w:t>
      </w:r>
    </w:p>
    <w:p>
      <w:pPr>
        <w:pStyle w:val="Heading2"/>
        <w:keepNext/>
        <w:keepLines/>
      </w:pPr>
      <w:r>
        <w:t>Control exacto a cuartos de vuelta</w:t>
      </w:r>
    </w:p>
    <w:p>
      <w:pPr>
        <w:pStyle w:val="BodyText"/>
      </w:pPr>
      <w:r>
        <w:t>La comparación solicitada originalmente a 90, 180 y 270 grados usa exclusivamente torch.rot90 y permanece válida. La figura conserva el parche predeterminado de rango 12 y compara reconstruir la entrada rotada con transformar espacialmente el latente antes de decodificar.</w:t>
      </w:r>
    </w:p>
    <w:p>
      <w:pPr>
        <w:spacing w:before="40" w:after="60"/>
        <w:jc w:val="center"/>
        <w:keepNext/>
        <w:keepLines/>
      </w:pPr>
      <w:r>
        <w:drawing>
          <wp:inline xmlns:a="http://schemas.openxmlformats.org/drawingml/2006/main" xmlns:pic="http://schemas.openxmlformats.org/drawingml/2006/picture">
            <wp:extent cx="5943600" cy="4801892"/>
            <wp:docPr id="6" name="Picture 6" descr="Cuadrícula de rotaciones que compara imagen objetivo, reconstrucción de entrada rotada y reconstrucción de latente rotado para ambos modelos." title="Cuadrícula de rotaciones que compara imagen objetivo, reconstrucción de entrada "/>
            <wp:cNvGraphicFramePr>
              <a:graphicFrameLocks noChangeAspect="1"/>
            </wp:cNvGraphicFramePr>
            <a:graphic>
              <a:graphicData uri="http://schemas.openxmlformats.org/drawingml/2006/picture">
                <pic:pic>
                  <pic:nvPicPr>
                    <pic:cNvPr id="0" name="rotated_input_vs_latent.png"/>
                    <pic:cNvPicPr/>
                  </pic:nvPicPr>
                  <pic:blipFill>
                    <a:blip r:embed="rId16"/>
                    <a:stretch>
                      <a:fillRect/>
                    </a:stretch>
                  </pic:blipFill>
                  <pic:spPr>
                    <a:xfrm>
                      <a:off x="0" y="0"/>
                      <a:ext cx="5943600" cy="4801892"/>
                    </a:xfrm>
                    <a:prstGeom prst="rect"/>
                  </pic:spPr>
                </pic:pic>
              </a:graphicData>
            </a:graphic>
          </wp:inline>
        </w:drawing>
      </w:r>
    </w:p>
    <w:p>
      <w:pPr>
        <w:pStyle w:val="Caption"/>
        <w:jc w:val="left"/>
        <w:keepLines/>
      </w:pPr>
      <w:r>
        <w:t>Figura 6. Comparación cualitativa a 0, 90, 180 y 270 grados: verdad objetivo, reconstrucción de la entrada rotada y reconstrucción después de transformar el latente. n=1, selector rank 12 del fixed-25; no es resultado poblacional ni test sellado.</w:t>
      </w:r>
    </w:p>
    <w:p>
      <w:pPr>
        <w:pStyle w:val="Heading2"/>
        <w:keepNext/>
        <w:keepLines/>
      </w:pPr>
      <w:r>
        <w:t>Resultado cuantitativo complementario</w:t>
      </w:r>
    </w:p>
    <w:p>
      <w:pPr>
        <w:pStyle w:val="BodyText"/>
      </w:pPr>
      <w:r>
        <w:t>En el único parche mostrado, la diferencia MAE entre las dos rutas de decodificación fue 0,1002/0,1097/0,0988 para el VAE normal y 0,0118/0,0130/0,0109 para SO(2) a 90/180/270 grados. Esto respalda una mayor consistencia entre rutas en ese ejemplo, pero n=1 impide generalizarlo.</w:t>
      </w:r>
    </w:p>
    <w:p>
      <w:pPr>
        <w:pStyle w:val="BodyText"/>
      </w:pPr>
      <w:r>
        <w:t>En el proxy enmascarado de residuo latente para los 25 parches, menor es mejor. Las medianas aceptadas fueron 1,327492/1,303358/1,326518 para el modelo normal y 1,472552/1,417673/1,486783 para SO(2). Este control exacto no favorece a SO(2) en la salida posterior final.</w:t>
      </w:r>
    </w:p>
    <w:p>
      <w:pPr>
        <w:pStyle w:val="Heading2"/>
        <w:keepNext/>
        <w:keepLines/>
      </w:pPr>
      <w:r>
        <w:t>Acción decodificada y comparación pareada</w:t>
      </w:r>
    </w:p>
    <w:p>
      <w:pPr>
        <w:pStyle w:val="BodyText"/>
      </w:pPr>
      <w:r>
        <w:t>El experimento complementario de Spec 0051 evaluó dos rutas sobre los mismos 25 parches. La razón de acción compara D(rho_T mu(x)) con T D(mu(x)); la razón de canonicalización compara D(rho_T^-1 mu(Tx)) con D(mu(x)). Cada denominador es el error de dejar el embedding sin la transformación correspondiente. Por tanto, 1,00 representa la línea base de no actuar y 0,50 exige conservar como máximo la mitad de ese error. Este 0,50 es un criterio funcional absoluto fijado antes de ver la salida; no decide qué VAE es mejor. La comparación entre modelos es pareada sobre los mismos parches y se resume también por sus 16 WSI de origen.</w:t>
      </w:r>
    </w:p>
    <w:p>
      <w:pPr>
        <w:pStyle w:val="BodyText"/>
      </w:pPr>
      <w:r>
        <w:t>En el barrido 0, 5, ..., 355 grados, SO(2) tuvo menor error que el modelo normal en 25/25 parches y 16/16 medianas por WSI. La razón de acción mediana fue 0,550 SO(2) frente a 0,713 normal, una reducción relativa de 22,88%; la diferencia pareada SO(2) menos normal por bootstrap descriptivo de WSI fue -0,150 [-0,163; -0,124]. Para canonicalización, las medianas fueron 0,513 frente a 0,661, reducción de 22,33%, con diferencia -0,156 [-0,177; -0,128]. El conjunto constituye una ventaja comparativa consistente de SO(2) en la consistencia de rutas decodificadas. H1 y H2 completos permanecen no respaldados porque sus reglas conjuntivas exigían además una mediana SO(2) &lt;=0,50; ambos valores quedaron ligeramente por encima. Ese criterio absoluto no anula la comparación pareada.</w:t>
      </w:r>
    </w:p>
    <w:p>
      <w:pPr>
        <w:spacing w:before="40" w:after="60"/>
        <w:jc w:val="center"/>
        <w:keepNext/>
        <w:keepLines/>
      </w:pPr>
      <w:r>
        <w:drawing>
          <wp:inline xmlns:a="http://schemas.openxmlformats.org/drawingml/2006/main" xmlns:pic="http://schemas.openxmlformats.org/drawingml/2006/picture">
            <wp:extent cx="5989320" cy="2928112"/>
            <wp:docPr id="7" name="Picture 7" descr="Dos gráficos pareados muestran menor razón de error para SO2 en los 25 parches; una línea horizontal identifica el criterio absoluto 0,50." title="Dos gráficos pareados muestran menor razón de error para SO2 en los 25 parches; "/>
            <wp:cNvGraphicFramePr>
              <a:graphicFrameLocks noChangeAspect="1"/>
            </wp:cNvGraphicFramePr>
            <a:graphic>
              <a:graphicData uri="http://schemas.openxmlformats.org/drawingml/2006/picture">
                <pic:pic>
                  <pic:nvPicPr>
                    <pic:cNvPr id="0" name="decoded_transform_population.png"/>
                    <pic:cNvPicPr/>
                  </pic:nvPicPr>
                  <pic:blipFill>
                    <a:blip r:embed="rId17"/>
                    <a:stretch>
                      <a:fillRect/>
                    </a:stretch>
                  </pic:blipFill>
                  <pic:spPr>
                    <a:xfrm>
                      <a:off x="0" y="0"/>
                      <a:ext cx="5989320" cy="2928112"/>
                    </a:xfrm>
                    <a:prstGeom prst="rect"/>
                  </pic:spPr>
                </pic:pic>
              </a:graphicData>
            </a:graphic>
          </wp:inline>
        </w:drawing>
      </w:r>
    </w:p>
    <w:p>
      <w:pPr>
        <w:pStyle w:val="Caption"/>
        <w:jc w:val="left"/>
        <w:keepLines/>
      </w:pPr>
      <w:r>
        <w:t>Figura 6a. Razones pareadas de acción espacial y canonicalización decodificadas para los 25 parches fijos de validación, con rotaciones 0, 5, ..., 355 grados. Cada línea une el mismo parche. SO(2) es menor en 25/25 pares en ambas métricas. El eje parte de cero y la línea gris discontinua marca el criterio funcional absoluto 0,50; los intervalos resumen primero por WSI y remuestrean las 16 WSI, sin inferencia poblacional.</w:t>
      </w:r>
    </w:p>
    <w:p>
      <w:pPr>
        <w:pStyle w:val="BodyText"/>
      </w:pPr>
      <w:r>
        <w:t>El resultado exacto es mucho más fuerte. Agregando 90, 180 y 270 grados, la razón de acción fue 0,00000218 SO(2) frente a 0,709453 normal, con error absoluto numéricamente cercano a cero y señal de pose no nula. La canonicalización decodificada fue 0,088854 frente a 0,710638. Así, el decodificador SO(2) realiza numéricamente la misma acción espacial C4 para todos los parches fijos, sin ajustar parámetros por parche. Esto reconcilia la observación visual con el residuo desfavorable de mu: el posterior crudo no coincide mejor bajo ese proxy, pero las dos rutas convergen después de decodificar. El experimento no identifica un espacio nulo del decodificador.</w:t>
      </w:r>
    </w:p>
    <w:p>
      <w:pPr>
        <w:pStyle w:val="BodyText"/>
      </w:pPr>
      <w:r>
        <w:t>Los ángulos no cardinales siguen siendo aproximados: al excluir vecindades de 5 grados alrededor de los cardinales, las razones SO(2) suben a 0,568 para acción y 0,524 para canonicalización. Además, la ruta completa D(mu(Tx)) frente a T D(mu(x)) favoreció al VAE normal en 25/25 parches, con medianas 0,174 normal y 0,210 SO(2). Por ello, el hallazgo no equivale a una superioridad general del encoder o del autoencoder.</w:t>
      </w:r>
    </w:p>
    <w:p>
      <w:pPr>
        <w:pStyle w:val="BodyText"/>
      </w:pPr>
      <w:r>
        <w:t>En los cuatro flips exactos, SO(2) tuvo razones descriptivamente menores, pero sólo la reflexión respecto a la diagonal principal cumplió simultáneamente los criterios de entrada, acción y canonicalización. Las reflexiones horizontal, vertical y antidiagonal no pasaron. No se demostró equivarianza completa D4 ni O(2).</w:t>
      </w:r>
    </w:p>
    <w:p>
      <w:pPr>
        <w:spacing w:before="40" w:after="60"/>
        <w:jc w:val="center"/>
        <w:keepNext/>
        <w:keepLines/>
      </w:pPr>
      <w:r>
        <w:drawing>
          <wp:inline xmlns:a="http://schemas.openxmlformats.org/drawingml/2006/main" xmlns:pic="http://schemas.openxmlformats.org/drawingml/2006/picture">
            <wp:extent cx="5989320" cy="3061208"/>
            <wp:docPr id="8" name="Picture 8" descr="Tres gráficos de barras comparan los modelos en rotaciones exactas y cuatro reflexiones, con una referencia horizontal en 0,50." title="Tres gráficos de barras comparan los modelos en rotaciones exactas y cuatro refl"/>
            <wp:cNvGraphicFramePr>
              <a:graphicFrameLocks noChangeAspect="1"/>
            </wp:cNvGraphicFramePr>
            <a:graphic>
              <a:graphicData uri="http://schemas.openxmlformats.org/drawingml/2006/picture">
                <pic:pic>
                  <pic:nvPicPr>
                    <pic:cNvPr id="0" name="decoded_transform_exact.png"/>
                    <pic:cNvPicPr/>
                  </pic:nvPicPr>
                  <pic:blipFill>
                    <a:blip r:embed="rId18"/>
                    <a:stretch>
                      <a:fillRect/>
                    </a:stretch>
                  </pic:blipFill>
                  <pic:spPr>
                    <a:xfrm>
                      <a:off x="0" y="0"/>
                      <a:ext cx="5989320" cy="3061208"/>
                    </a:xfrm>
                    <a:prstGeom prst="rect"/>
                  </pic:spPr>
                </pic:pic>
              </a:graphicData>
            </a:graphic>
          </wp:inline>
        </w:drawing>
      </w:r>
    </w:p>
    <w:p>
      <w:pPr>
        <w:pStyle w:val="Caption"/>
        <w:jc w:val="left"/>
        <w:keepLines/>
      </w:pPr>
      <w:r>
        <w:t>Figura 6b. Medianas de acción latente, canonicalización y conmutación de entrada a salida para las siete transformaciones no identidad del grupo D4 exacto. Las rotaciones R90/R180/R270 muestran la acción C4 casi exacta del decodificador SO(2). Entre los flips, sólo Fd cumple la regla completa para ese checkpoint. La línea gris discontinua marca el criterio absoluto 0,50; n=25 parches fijos de validación.</w:t>
      </w:r>
    </w:p>
    <w:p>
      <w:pPr>
        <w:pStyle w:val="BodyText"/>
      </w:pPr>
      <w:r>
        <w:t>En estas métricas, los objetivos son transformaciones de la reconstrucción producida por cada modelo, no imágenes originales independientes. El análisis evalúa consistencia entre rutas de transformación y decodificación; no reemplaza las métricas selladas de fidelidad de reconstrucción.</w:t>
      </w:r>
    </w:p>
    <w:p>
      <w:pPr>
        <w:pStyle w:val="Heading2"/>
        <w:keepNext/>
        <w:keepLines/>
      </w:pPr>
      <w:r>
        <w:t>Defecto de convención, reparación y alcance</w:t>
      </w:r>
    </w:p>
    <w:p>
      <w:pPr>
        <w:pStyle w:val="BodyText"/>
      </w:pPr>
      <w:r>
        <w:t>El barrido denso anterior mezclaba dos convenciones: los múltiplos de 90 grados usaban la orientación positiva de torch.rot90, mientras que la matriz afín no cardinal convergía a la orientación opuesta. Al unir puntos consecutivos aparecían los segmentos rectos observados cerca de 90 y 270 grados. Esa evidencia, incluidas las Figuras 7, 8a y 8b anteriores y la afirmación universal 25/25, queda explícitamente supersedida.</w:t>
      </w:r>
    </w:p>
    <w:p>
      <w:pPr>
        <w:pStyle w:val="BodyText"/>
      </w:pPr>
      <w:r>
        <w:t>La reparación usa una sola interpolación bilineal continua en todo el ciclo 0--359 y reserva torch.rot90 como control independiente. Fixtures asimétricos de impulso, flecha y borde dieron error cardinal exactamente cero en CPU y GPU; el RMS máximo a ambos lados de un cardinal fue 0,00000520, el error máximo de orientación 0,0193 grados y los errores de inversión/composición quedaron por debajo de 0,024, atribuibles a interpolación. En el parche 12, los pasos RMS de entrada 87--88, 88--89, 89--90, 90--91 y 91--92 fueron 0,1011/0,1025/0,1118/0,1129/0,1035: desapareció el salto previo de aproximadamente 0,24.</w:t>
      </w:r>
    </w:p>
    <w:p>
      <w:pPr>
        <w:pStyle w:val="Heading2"/>
        <w:keepNext/>
        <w:keepLines/>
      </w:pPr>
      <w:r>
        <w:t>Órbitas por parche y ausencia de acción reducida</w:t>
      </w:r>
    </w:p>
    <w:p>
      <w:pPr>
        <w:spacing w:before="40" w:after="60"/>
        <w:jc w:val="center"/>
        <w:keepNext/>
        <w:keepLines/>
      </w:pPr>
      <w:r>
        <w:drawing>
          <wp:inline xmlns:a="http://schemas.openxmlformats.org/drawingml/2006/main" xmlns:pic="http://schemas.openxmlformats.org/drawingml/2006/picture">
            <wp:extent cx="5943600" cy="4245429"/>
            <wp:docPr id="9" name="Picture 9" descr="Trayectorias tridimensionales y varianza explicada de las órbitas corregidas para los rangos preseleccionados 0 y 12." title="Trayectorias tridimensionales y varianza explicada de las órbitas corregidas par"/>
            <wp:cNvGraphicFramePr>
              <a:graphicFrameLocks noChangeAspect="1"/>
            </wp:cNvGraphicFramePr>
            <a:graphic>
              <a:graphicData uri="http://schemas.openxmlformats.org/drawingml/2006/picture">
                <pic:pic>
                  <pic:nvPicPr>
                    <pic:cNvPr id="0" name="03-local-pca-ranks-00-12.png"/>
                    <pic:cNvPicPr/>
                  </pic:nvPicPr>
                  <pic:blipFill>
                    <a:blip r:embed="rId19"/>
                    <a:stretch>
                      <a:fillRect/>
                    </a:stretch>
                  </pic:blipFill>
                  <pic:spPr>
                    <a:xfrm>
                      <a:off x="0" y="0"/>
                      <a:ext cx="5943600" cy="4245429"/>
                    </a:xfrm>
                    <a:prstGeom prst="rect"/>
                  </pic:spPr>
                </pic:pic>
              </a:graphicData>
            </a:graphic>
          </wp:inline>
        </w:drawing>
      </w:r>
    </w:p>
    <w:p>
      <w:pPr>
        <w:pStyle w:val="Caption"/>
        <w:jc w:val="left"/>
        <w:keepLines/>
      </w:pPr>
      <w:r>
        <w:t>Figura 7. Geometría PCA local corregida de los rangos 0 y 12, elegidos antes de ver la salida. Cada parche y modelo usa coordenadas propias; signos, ejes y escalas no se comparan entre paneles. En los 25 parches fijos, las seis primeras PC capturan medianas de solo 11,09% normal y 10,86% SO(2), de modo que estas proyecciones son descriptivas.</w:t>
      </w:r>
    </w:p>
    <w:p>
      <w:pPr>
        <w:pStyle w:val="BodyText"/>
      </w:pPr>
      <w:r>
        <w:t>La PCA de una órbita completa estima un subespacio lineal que contiene variación rotacional; no identifica por sí sola el vector tangente ni una acción común. Los tangentes de órbita necesitaron medianas de 120/114 dimensiones para explicar 90% de su variación (normal/SO(2)), y los subespacios locales entre parches fueron casi ortogonales. No apareció un plano tangente crudo compartido de baja dimensión.</w:t>
      </w:r>
    </w:p>
    <w:p>
      <w:pPr>
        <w:pStyle w:val="BodyText"/>
      </w:pPr>
      <w:r>
        <w:t>Los mosaicos siguientes muestran los 25 ciclos ya corregidos. No se seleccionaron ejemplos por apariencia: se fijaron los rangos 0 y 12. Cada panel ajusta una PCA local con ejes isótropos; las métricas se calcularon sobre mu crudo dentro del disco latente de radio 14, no sobre la proyección.</w:t>
      </w:r>
    </w:p>
    <w:p>
      <w:pPr>
        <w:spacing w:before="40" w:after="60"/>
        <w:jc w:val="center"/>
        <w:keepNext/>
        <w:keepLines/>
      </w:pPr>
      <w:r>
        <w:drawing>
          <wp:inline xmlns:a="http://schemas.openxmlformats.org/drawingml/2006/main" xmlns:pic="http://schemas.openxmlformats.org/drawingml/2006/picture">
            <wp:extent cx="6172200" cy="5760720"/>
            <wp:docPr id="10" name="Picture 10" descr="Primera cuadrícula de órbitas PCA corregidas para los parches fijos 00 a 14." title="Primera cuadrícula de órbitas PCA corregidas para los parches fijos 00 a 14."/>
            <wp:cNvGraphicFramePr>
              <a:graphicFrameLocks noChangeAspect="1"/>
            </wp:cNvGraphicFramePr>
            <a:graphic>
              <a:graphicData uri="http://schemas.openxmlformats.org/drawingml/2006/picture">
                <pic:pic>
                  <pic:nvPicPr>
                    <pic:cNvPr id="0" name="orbit_population_patches_00_14.png"/>
                    <pic:cNvPicPr/>
                  </pic:nvPicPr>
                  <pic:blipFill>
                    <a:blip r:embed="rId20"/>
                    <a:stretch>
                      <a:fillRect/>
                    </a:stretch>
                  </pic:blipFill>
                  <pic:spPr>
                    <a:xfrm>
                      <a:off x="0" y="0"/>
                      <a:ext cx="6172200" cy="5760720"/>
                    </a:xfrm>
                    <a:prstGeom prst="rect"/>
                  </pic:spPr>
                </pic:pic>
              </a:graphicData>
            </a:graphic>
          </wp:inline>
        </w:drawing>
      </w:r>
    </w:p>
    <w:p>
      <w:pPr>
        <w:pStyle w:val="Caption"/>
        <w:jc w:val="left"/>
        <w:keepLines/>
      </w:pPr>
      <w:r>
        <w:t>Figura 8a. Órbitas corregidas de los parches fijos 00--14 a intervalos de 1 grado. Los segmentos largos espurios de la versión anterior ya no aparecen. Cada par usa una PCA propia y escala isótropa.</w:t>
      </w:r>
    </w:p>
    <w:p>
      <w:r>
        <w:br w:type="page"/>
      </w:r>
    </w:p>
    <w:p>
      <w:pPr>
        <w:spacing w:before="40" w:after="60"/>
        <w:jc w:val="center"/>
        <w:keepNext/>
        <w:keepLines/>
      </w:pPr>
      <w:r>
        <w:drawing>
          <wp:inline xmlns:a="http://schemas.openxmlformats.org/drawingml/2006/main" xmlns:pic="http://schemas.openxmlformats.org/drawingml/2006/picture">
            <wp:extent cx="6172200" cy="5760720"/>
            <wp:docPr id="11" name="Picture 11" descr="Segunda cuadrícula de órbitas PCA corregidas para los parches fijos 15 a 24." title="Segunda cuadrícula de órbitas PCA corregidas para los parches fijos 15 a 24."/>
            <wp:cNvGraphicFramePr>
              <a:graphicFrameLocks noChangeAspect="1"/>
            </wp:cNvGraphicFramePr>
            <a:graphic>
              <a:graphicData uri="http://schemas.openxmlformats.org/drawingml/2006/picture">
                <pic:pic>
                  <pic:nvPicPr>
                    <pic:cNvPr id="0" name="orbit_population_patches_15_24.png"/>
                    <pic:cNvPicPr/>
                  </pic:nvPicPr>
                  <pic:blipFill>
                    <a:blip r:embed="rId21"/>
                    <a:stretch>
                      <a:fillRect/>
                    </a:stretch>
                  </pic:blipFill>
                  <pic:spPr>
                    <a:xfrm>
                      <a:off x="0" y="0"/>
                      <a:ext cx="6172200" cy="5760720"/>
                    </a:xfrm>
                    <a:prstGeom prst="rect"/>
                  </pic:spPr>
                </pic:pic>
              </a:graphicData>
            </a:graphic>
          </wp:inline>
        </w:drawing>
      </w:r>
    </w:p>
    <w:p>
      <w:pPr>
        <w:pStyle w:val="Caption"/>
        <w:jc w:val="left"/>
        <w:keepLines/>
      </w:pPr>
      <w:r>
        <w:t>Figura 8b. Órbitas corregidas de los parches fijos 15--24 a intervalos de 1 grado. La forma puede compararse dentro de cada panel, no como un sistema de coordenadas común entre parches o modelos.</w:t>
      </w:r>
    </w:p>
    <w:p>
      <w:pPr>
        <w:pStyle w:val="Heading2"/>
        <w:keepNext/>
        <w:keepLines/>
      </w:pPr>
      <w:r>
        <w:t>Regularidad y controles de la trayectoria de entrada</w:t>
      </w:r>
    </w:p>
    <w:p>
      <w:pPr>
        <w:pStyle w:val="BodyText"/>
      </w:pPr>
      <w:r>
        <w:t>A 1 grado, la razón de linealidad local normalizada por la entrada fue menor para SO(2) en 25/25: medianas 0.601 frente a 0.649 normal, una reducción relativa de 7,38%. El intervalo bootstrap descriptivo de la mediana pareada SO(2) menos normal fue [-0.051; -0.046]. Sin embargo, el umbral preregistrado exigía al menos 10% y robustez de escala: a 5 grados SO(2) fue menor sólo en 8/25 y las medianas se invirtieron ligeramente (1.033 frente a 1.032). H1 no pasó.</w:t>
      </w:r>
    </w:p>
    <w:p>
      <w:pPr>
        <w:pStyle w:val="BodyText"/>
      </w:pPr>
      <w:r>
        <w:t>El CV crudo del paso a 1 grado favoreció al modelo normal: medianas 0.0125 normal y 0.0167 SO(2), con SO(2) menor en sólo 3/25. Tras normalizar por el recorrido de entrada, la comparación cambió a 0.0181/0.0164 y 18/25. La dependencia de resolución, normalización e interpolación impide afirmar una ventaja general de regularidad.</w:t>
      </w:r>
    </w:p>
    <w:p>
      <w:pPr>
        <w:spacing w:before="40" w:after="60"/>
        <w:jc w:val="center"/>
        <w:keepNext/>
        <w:keepLines/>
      </w:pPr>
      <w:r>
        <w:drawing>
          <wp:inline xmlns:a="http://schemas.openxmlformats.org/drawingml/2006/main" xmlns:pic="http://schemas.openxmlformats.org/drawingml/2006/picture">
            <wp:extent cx="5989320" cy="1576137"/>
            <wp:docPr id="12" name="Picture 12" descr="Comparación descriptiva de los 25 parches fijos: linealidad local, curvatura y uniformidad del paso con controles de la ruta de entrada." title="Comparación descriptiva de los 25 parches fijos: linealidad local, curvatura y u"/>
            <wp:cNvGraphicFramePr>
              <a:graphicFrameLocks noChangeAspect="1"/>
            </wp:cNvGraphicFramePr>
            <a:graphic>
              <a:graphicData uri="http://schemas.openxmlformats.org/drawingml/2006/picture">
                <pic:pic>
                  <pic:nvPicPr>
                    <pic:cNvPr id="0" name="population_input_controls_fixed25.png"/>
                    <pic:cNvPicPr/>
                  </pic:nvPicPr>
                  <pic:blipFill>
                    <a:blip r:embed="rId22"/>
                    <a:stretch>
                      <a:fillRect/>
                    </a:stretch>
                  </pic:blipFill>
                  <pic:spPr>
                    <a:xfrm>
                      <a:off x="0" y="0"/>
                      <a:ext cx="5989320" cy="1576137"/>
                    </a:xfrm>
                    <a:prstGeom prst="rect"/>
                  </pic:spPr>
                </pic:pic>
              </a:graphicData>
            </a:graphic>
          </wp:inline>
        </w:drawing>
      </w:r>
    </w:p>
    <w:p>
      <w:pPr>
        <w:pStyle w:val="Caption"/>
        <w:jc w:val="left"/>
        <w:keepLines/>
      </w:pPr>
      <w:r>
        <w:t>Figura 8c. Métricas de los 25 parches fijos y controles de la trayectoria de entrada para 1, 2 y 5 grados, con y sin vecindades cardinales. La mejora descriptiva a 1 grado no superó el criterio preregistrado ni fue robusta a 5 grados.</w:t>
      </w:r>
    </w:p>
    <w:p>
      <w:pPr>
        <w:pStyle w:val="Heading2"/>
        <w:keepNext/>
        <w:keepLines/>
      </w:pPr>
      <w:r>
        <w:t>Organización armónica y campos internos F1</w:t>
      </w:r>
    </w:p>
    <w:p>
      <w:pPr>
        <w:pStyle w:val="BodyText"/>
      </w:pPr>
      <w:r>
        <w:t>La fracción mediana de la energía orbital cruda total capturada por m=1,...,6 dentro de PC1--PC6 fue 0.107 normal y 0.106 SO(2); SO(2) fue mayor en sólo 9/25. El número efectivo de frecuencias fue 4.135/3.982; la reducción de SO(2), aunque presente en 18/25, fue 3,7%, por debajo del 10% fijado. H2 no pasó y las seis PC sólo capturan cerca de 11% de la variación total.</w:t>
      </w:r>
    </w:p>
    <w:p>
      <w:pPr>
        <w:spacing w:before="40" w:after="60"/>
        <w:jc w:val="center"/>
        <w:keepNext/>
        <w:keepLines/>
      </w:pPr>
      <w:r>
        <w:drawing>
          <wp:inline xmlns:a="http://schemas.openxmlformats.org/drawingml/2006/main" xmlns:pic="http://schemas.openxmlformats.org/drawingml/2006/picture">
            <wp:extent cx="5897880" cy="4083148"/>
            <wp:docPr id="13" name="Picture 13" descr="Mapas de calor de potencia armónica entre frecuencias cero y seis para las seis primeras coordenadas PCA." title="Mapas de calor de potencia armónica entre frecuencias cero y seis para las seis "/>
            <wp:cNvGraphicFramePr>
              <a:graphicFrameLocks noChangeAspect="1"/>
            </wp:cNvGraphicFramePr>
            <a:graphic>
              <a:graphicData uri="http://schemas.openxmlformats.org/drawingml/2006/picture">
                <pic:pic>
                  <pic:nvPicPr>
                    <pic:cNvPr id="0" name="04-pc1-pc6-harmonics.png"/>
                    <pic:cNvPicPr/>
                  </pic:nvPicPr>
                  <pic:blipFill>
                    <a:blip r:embed="rId23"/>
                    <a:stretch>
                      <a:fillRect/>
                    </a:stretch>
                  </pic:blipFill>
                  <pic:spPr>
                    <a:xfrm>
                      <a:off x="0" y="0"/>
                      <a:ext cx="5897880" cy="4083148"/>
                    </a:xfrm>
                    <a:prstGeom prst="rect"/>
                  </pic:spPr>
                </pic:pic>
              </a:graphicData>
            </a:graphic>
          </wp:inline>
        </w:drawing>
      </w:r>
    </w:p>
    <w:p>
      <w:pPr>
        <w:pStyle w:val="Caption"/>
        <w:jc w:val="left"/>
        <w:keepLines/>
      </w:pPr>
      <w:r>
        <w:t>Figura 8d. Energía armónica de PC1--PC6 para los ejemplos preseleccionados. Las escalas de color son internas a cada panel; múltiples frecuencias pueden surgir legítimamente al rotar textura espacial. No apareció una concentración SO(2) específica robusta.</w:t>
      </w:r>
    </w:p>
    <w:p>
      <w:pPr>
        <w:pStyle w:val="BodyText"/>
      </w:pPr>
      <w:r>
        <w:t>Antes de mu_head, la arquitectura contiene 48 copias F0 y 48 copias F1; la salida posterior mu contiene 16 campos espaciales F0 y ninguna copia F1 explícita. Se midieron las 48 F1 mediante vectores complejos promediados y, para evitar cancelación espacial, mediante el campo completo compensando rotación interna y de coordenadas. Ninguna de las 48 cumplió simultáneamente pureza m=1, pendiente de fase, amplitud y residuo; el residuo completo mediano por parche fue 1,906 y el RMSE de fase mediano 1,671 radianes. H3 no pasó. Esto no invalida la construcción del tipo de campo, pero impide afirmar que el checkpoint entrenado verificó esa ley empíricamente.</w:t>
      </w:r>
    </w:p>
    <w:p>
      <w:pPr>
        <w:spacing w:before="40" w:after="60"/>
        <w:jc w:val="center"/>
        <w:keepNext/>
        <w:keepLines/>
      </w:pPr>
      <w:r>
        <w:drawing>
          <wp:inline xmlns:a="http://schemas.openxmlformats.org/drawingml/2006/main" xmlns:pic="http://schemas.openxmlformats.org/drawingml/2006/picture">
            <wp:extent cx="5897880" cy="3370217"/>
            <wp:docPr id="14" name="Picture 14" descr="Resumen por copia F1 de pureza armónica, error de fase, estabilidad de amplitud y residuo de equivarianza del campo completo." title="Resumen por copia F1 de pureza armónica, error de fase, estabilidad de amplitud "/>
            <wp:cNvGraphicFramePr>
              <a:graphicFrameLocks noChangeAspect="1"/>
            </wp:cNvGraphicFramePr>
            <a:graphic>
              <a:graphicData uri="http://schemas.openxmlformats.org/drawingml/2006/picture">
                <pic:pic>
                  <pic:nvPicPr>
                    <pic:cNvPr id="0" name="05-all48-f1-summary.png"/>
                    <pic:cNvPicPr/>
                  </pic:nvPicPr>
                  <pic:blipFill>
                    <a:blip r:embed="rId24"/>
                    <a:stretch>
                      <a:fillRect/>
                    </a:stretch>
                  </pic:blipFill>
                  <pic:spPr>
                    <a:xfrm>
                      <a:off x="0" y="0"/>
                      <a:ext cx="5897880" cy="3370217"/>
                    </a:xfrm>
                    <a:prstGeom prst="rect"/>
                  </pic:spPr>
                </pic:pic>
              </a:graphicData>
            </a:graphic>
          </wp:inline>
        </w:drawing>
      </w:r>
    </w:p>
    <w:p>
      <w:pPr>
        <w:pStyle w:val="Caption"/>
        <w:jc w:val="left"/>
        <w:keepLines/>
      </w:pPr>
      <w:r>
        <w:t>Figura 8e. Diagnóstico de las 48 copias internas F1. Resultado: 0/48 copias limpias bajo los umbrales fijados; el residuo de campo completo confirma que la fase inestable no se explica únicamente por cancelación del promedio espacial.</w:t>
      </w:r>
    </w:p>
    <w:p>
      <w:pPr>
        <w:pStyle w:val="Heading2"/>
        <w:keepNext/>
        <w:keepLines/>
      </w:pPr>
      <w:r>
        <w:t>Acción compartida y factorización</w:t>
      </w:r>
    </w:p>
    <w:p>
      <w:pPr>
        <w:pStyle w:val="BodyText"/>
      </w:pPr>
      <w:r>
        <w:t>La partición derivada de hashes fijó 17 parches para ajuste y 8 para evaluación; se ajustó con ángulos múltiplos de 5 grados y se evaluaron los demás. Entre d=1,...,6, la regla fijada seleccionó d=1, que es necesariamente una acción ortogonal continua nula. En held-out, el NRMSE/R2 fue 1,420/-1,017 normal y 1,450/-1,103 SO(2); ningún parche (0/8 en ambos modelos) mejoró frente a identidad. Incluso d=6 capturó sólo 0,15%/0,24% de la varianza held-out. Por tanto, H4 no pasó y no se demostró una acción reducida compartida. La ley de grupo casi exacta de exp(theta A) es una propiedad numérica impuesta por la parametrización, no evidencia de que A prediga las órbitas.</w:t>
      </w:r>
    </w:p>
    <w:p>
      <w:pPr>
        <w:spacing w:before="40" w:after="60"/>
        <w:jc w:val="center"/>
        <w:keepNext/>
        <w:keepLines/>
      </w:pPr>
      <w:r>
        <w:drawing>
          <wp:inline xmlns:a="http://schemas.openxmlformats.org/drawingml/2006/main" xmlns:pic="http://schemas.openxmlformats.org/drawingml/2006/picture">
            <wp:extent cx="5989320" cy="4278086"/>
            <wp:docPr id="15" name="Picture 15" descr="Curvas de NRMSE, R2 y captura de varianza held-out para generadores compartidos de una a seis dimensiones." title="Curvas de NRMSE, R2 y captura de varianza held-out para generadores compartidos "/>
            <wp:cNvGraphicFramePr>
              <a:graphicFrameLocks noChangeAspect="1"/>
            </wp:cNvGraphicFramePr>
            <a:graphic>
              <a:graphicData uri="http://schemas.openxmlformats.org/drawingml/2006/picture">
                <pic:pic>
                  <pic:nvPicPr>
                    <pic:cNvPr id="0" name="06-shared-generator-vs-dimension.png"/>
                    <pic:cNvPicPr/>
                  </pic:nvPicPr>
                  <pic:blipFill>
                    <a:blip r:embed="rId25"/>
                    <a:stretch>
                      <a:fillRect/>
                    </a:stretch>
                  </pic:blipFill>
                  <pic:spPr>
                    <a:xfrm>
                      <a:off x="0" y="0"/>
                      <a:ext cx="5989320" cy="4278086"/>
                    </a:xfrm>
                    <a:prstGeom prst="rect"/>
                  </pic:spPr>
                </pic:pic>
              </a:graphicData>
            </a:graphic>
          </wp:inline>
        </w:drawing>
      </w:r>
    </w:p>
    <w:p>
      <w:pPr>
        <w:pStyle w:val="Caption"/>
        <w:jc w:val="left"/>
        <w:keepLines/>
      </w:pPr>
      <w:r>
        <w:t>Figura 8f. Rendimiento held-out del generador compartido frente a dimensión. La dimensión seleccionada fue d=1, línea base nula; ninguna dimensión mostró una ventaja específica de SO(2) sobre identidad o el control de ángulos barajados.</w:t>
      </w:r>
    </w:p>
    <w:p>
      <w:pPr>
        <w:pStyle w:val="BodyText"/>
      </w:pPr>
      <w:r>
        <w:t>La acción espacial conocida sobre mu también tuvo residuos altos: medianas 1.675 normal y 1.668 SO(2), con 0/25 por debajo del umbral 0,25. Su canonicalización redujo la varianza intraórbita a cerca de 0,34 de la identidad, pero aumentó la varianza entre parches unas 4,7--4,8 veces; W/B quedó en 3,235 normal y 3,344 SO(2). Como esa acción espacial sobre mu no fue verificada, la reducción no respalda separación contenido--pose. Con la acción aprendida d=1, canonicalizar equivale exactamente a identidad y los probes de ángulo no mejoran. H6 queda no resuelta —no apoyada—, no rechazada.</w:t>
      </w:r>
    </w:p>
    <w:p>
      <w:pPr>
        <w:spacing w:before="40" w:after="60"/>
        <w:jc w:val="center"/>
        <w:keepNext/>
        <w:keepLines/>
      </w:pPr>
      <w:r>
        <w:drawing>
          <wp:inline xmlns:a="http://schemas.openxmlformats.org/drawingml/2006/main" xmlns:pic="http://schemas.openxmlformats.org/drawingml/2006/picture">
            <wp:extent cx="5897880" cy="2680855"/>
            <wp:docPr id="16" name="Picture 16" descr="Comparación de varianza intraórbita, varianza entre parches, recuperación de identidad y fuga angular tras canonicalización." title="Comparación de varianza intraórbita, varianza entre parches, recuperación de ide"/>
            <wp:cNvGraphicFramePr>
              <a:graphicFrameLocks noChangeAspect="1"/>
            </wp:cNvGraphicFramePr>
            <a:graphic>
              <a:graphicData uri="http://schemas.openxmlformats.org/drawingml/2006/picture">
                <pic:pic>
                  <pic:nvPicPr>
                    <pic:cNvPr id="0" name="07-canonicalization-factorization.png"/>
                    <pic:cNvPicPr/>
                  </pic:nvPicPr>
                  <pic:blipFill>
                    <a:blip r:embed="rId26"/>
                    <a:stretch>
                      <a:fillRect/>
                    </a:stretch>
                  </pic:blipFill>
                  <pic:spPr>
                    <a:xfrm>
                      <a:off x="0" y="0"/>
                      <a:ext cx="5897880" cy="2680855"/>
                    </a:xfrm>
                    <a:prstGeom prst="rect"/>
                  </pic:spPr>
                </pic:pic>
              </a:graphicData>
            </a:graphic>
          </wp:inline>
        </w:drawing>
      </w:r>
    </w:p>
    <w:p>
      <w:pPr>
        <w:pStyle w:val="Caption"/>
        <w:jc w:val="left"/>
        <w:keepLines/>
      </w:pPr>
      <w:r>
        <w:t>Figura 8g. Canonicalización mediante la acción espacial conocida y la acción reducida aprendida. La conocida no satisface el residuo de equivarianza y la aprendida coincide con identidad; no hay evidencia válida de factorización local.</w:t>
      </w:r>
    </w:p>
    <w:p>
      <w:pPr>
        <w:pStyle w:val="Heading2"/>
        <w:keepNext/>
        <w:keepLines/>
      </w:pPr>
      <w:r>
        <w:t>Interpretación geométrica</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15"/>
            <w:shd w:fill="1F2933"/>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tcPr>
          <w:p>
            <w:pPr>
              <w:jc w:val="center"/>
            </w:pPr>
            <w:r>
              <w:rPr>
                <w:b/>
                <w:color w:val="FFFFFF"/>
                <w:sz w:val="16"/>
              </w:rPr>
              <w:t>Nivel</w:t>
            </w:r>
          </w:p>
        </w:tc>
        <w:tc>
          <w:tcPr>
            <w:tcW w:type="dxa" w:w="5112"/>
            <w:shd w:fill="1F2933"/>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tcPr>
          <w:p>
            <w:pPr>
              <w:jc w:val="center"/>
            </w:pPr>
            <w:r>
              <w:rPr>
                <w:b/>
                <w:color w:val="FFFFFF"/>
                <w:sz w:val="16"/>
              </w:rPr>
              <w:t>Qué significa aquí</w:t>
            </w:r>
          </w:p>
        </w:tc>
        <w:tc>
          <w:tcPr>
            <w:tcW w:type="dxa" w:w="2520"/>
            <w:shd w:fill="1F2933"/>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tcPr>
          <w:p>
            <w:pPr>
              <w:jc w:val="center"/>
            </w:pPr>
            <w:r>
              <w:rPr>
                <w:b/>
                <w:color w:val="FFFFFF"/>
                <w:sz w:val="16"/>
              </w:rPr>
              <w:t>Resultado</w:t>
            </w:r>
          </w:p>
        </w:tc>
      </w:tr>
      <w:tr>
        <w:trPr>
          <w:cantSplit/>
        </w:trPr>
        <w:tc>
          <w:tcPr>
            <w:tcW w:type="dxa" w:w="2015"/>
            <w:vAlign w:val="center"/>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tcPr>
          <w:p>
            <w:pPr>
              <w:spacing w:after="0"/>
              <w:jc w:val="left"/>
            </w:pPr>
            <w:r>
              <w:rPr>
                <w:sz w:val="16"/>
              </w:rPr>
              <w:t>Órbita por parche</w:t>
            </w:r>
          </w:p>
        </w:tc>
        <w:tc>
          <w:tcPr>
            <w:tcW w:type="dxa" w:w="5112"/>
            <w:vAlign w:val="center"/>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tcPr>
          <w:p>
            <w:pPr>
              <w:spacing w:after="0"/>
              <w:jc w:val="center"/>
            </w:pPr>
            <w:r>
              <w:rPr>
                <w:sz w:val="16"/>
              </w:rPr>
              <w:t>Curva de mu al rotar una imagen</w:t>
            </w:r>
          </w:p>
        </w:tc>
        <w:tc>
          <w:tcPr>
            <w:tcW w:type="dxa" w:w="2520"/>
            <w:vAlign w:val="center"/>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tcPr>
          <w:p>
            <w:pPr>
              <w:spacing w:after="0"/>
              <w:jc w:val="center"/>
            </w:pPr>
            <w:r>
              <w:rPr>
                <w:sz w:val="16"/>
              </w:rPr>
              <w:t>Continua tras reparar el operador; evidencia descriptiva</w:t>
            </w:r>
          </w:p>
        </w:tc>
      </w:tr>
      <w:tr>
        <w:trPr>
          <w:cantSplit/>
        </w:trPr>
        <w:tc>
          <w:tcPr>
            <w:tcW w:type="dxa" w:w="2015"/>
            <w:vAlign w:val="center"/>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shd w:fill="F5F7F9"/>
          </w:tcPr>
          <w:p>
            <w:pPr>
              <w:spacing w:after="0"/>
              <w:jc w:val="left"/>
            </w:pPr>
            <w:r>
              <w:rPr>
                <w:sz w:val="16"/>
              </w:rPr>
              <w:t>Acción espacial C4 prescrita</w:t>
            </w:r>
          </w:p>
        </w:tc>
        <w:tc>
          <w:tcPr>
            <w:tcW w:type="dxa" w:w="5112"/>
            <w:vAlign w:val="center"/>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shd w:fill="F5F7F9"/>
          </w:tcPr>
          <w:p>
            <w:pPr>
              <w:spacing w:after="0"/>
              <w:jc w:val="center"/>
            </w:pPr>
            <w:r>
              <w:rPr>
                <w:sz w:val="16"/>
              </w:rPr>
              <w:t>La arquitectura prescribe rho; se prueba su conmutación con el decoder</w:t>
            </w:r>
          </w:p>
        </w:tc>
        <w:tc>
          <w:tcPr>
            <w:tcW w:type="dxa" w:w="2520"/>
            <w:vAlign w:val="center"/>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shd w:fill="F5F7F9"/>
          </w:tcPr>
          <w:p>
            <w:pPr>
              <w:spacing w:after="0"/>
              <w:jc w:val="center"/>
            </w:pPr>
            <w:r>
              <w:rPr>
                <w:sz w:val="16"/>
              </w:rPr>
              <w:t>Verificada empíricamente en 25/25 para R90, R180 y R270</w:t>
            </w:r>
          </w:p>
        </w:tc>
      </w:tr>
      <w:tr>
        <w:trPr>
          <w:cantSplit/>
        </w:trPr>
        <w:tc>
          <w:tcPr>
            <w:tcW w:type="dxa" w:w="2015"/>
            <w:vAlign w:val="center"/>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tcPr>
          <w:p>
            <w:pPr>
              <w:spacing w:after="0"/>
              <w:jc w:val="left"/>
            </w:pPr>
            <w:r>
              <w:rPr>
                <w:sz w:val="16"/>
              </w:rPr>
              <w:t>Acción reducida aprendida</w:t>
            </w:r>
          </w:p>
        </w:tc>
        <w:tc>
          <w:tcPr>
            <w:tcW w:type="dxa" w:w="5112"/>
            <w:vAlign w:val="center"/>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tcPr>
          <w:p>
            <w:pPr>
              <w:spacing w:after="0"/>
              <w:jc w:val="center"/>
            </w:pPr>
            <w:r>
              <w:rPr>
                <w:sz w:val="16"/>
              </w:rPr>
              <w:t>Un mismo exp(theta A) predice parches y ángulos nuevos</w:t>
            </w:r>
          </w:p>
        </w:tc>
        <w:tc>
          <w:tcPr>
            <w:tcW w:type="dxa" w:w="2520"/>
            <w:vAlign w:val="center"/>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tcPr>
          <w:p>
            <w:pPr>
              <w:spacing w:after="0"/>
              <w:jc w:val="center"/>
            </w:pPr>
            <w:r>
              <w:rPr>
                <w:sz w:val="16"/>
              </w:rPr>
              <w:t>No demostrada</w:t>
            </w:r>
          </w:p>
        </w:tc>
      </w:tr>
      <w:tr>
        <w:trPr>
          <w:cantSplit/>
        </w:trPr>
        <w:tc>
          <w:tcPr>
            <w:tcW w:type="dxa" w:w="2015"/>
            <w:vAlign w:val="center"/>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shd w:fill="F5F7F9"/>
          </w:tcPr>
          <w:p>
            <w:pPr>
              <w:spacing w:after="0"/>
              <w:jc w:val="left"/>
            </w:pPr>
            <w:r>
              <w:rPr>
                <w:sz w:val="16"/>
              </w:rPr>
              <w:t>Factorización local</w:t>
            </w:r>
          </w:p>
        </w:tc>
        <w:tc>
          <w:tcPr>
            <w:tcW w:type="dxa" w:w="5112"/>
            <w:vAlign w:val="center"/>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shd w:fill="F5F7F9"/>
          </w:tcPr>
          <w:p>
            <w:pPr>
              <w:spacing w:after="0"/>
              <w:jc w:val="center"/>
            </w:pPr>
            <w:r>
              <w:rPr>
                <w:sz w:val="16"/>
              </w:rPr>
              <w:t>Q(-theta) estabiliza contenido sin borrar diferencias</w:t>
            </w:r>
          </w:p>
        </w:tc>
        <w:tc>
          <w:tcPr>
            <w:tcW w:type="dxa" w:w="2520"/>
            <w:vAlign w:val="center"/>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shd w:fill="F5F7F9"/>
          </w:tcPr>
          <w:p>
            <w:pPr>
              <w:spacing w:after="0"/>
              <w:jc w:val="center"/>
            </w:pPr>
            <w:r>
              <w:rPr>
                <w:sz w:val="16"/>
              </w:rPr>
              <w:t>No apoyada; no resuelta sin acción reducida válida</w:t>
            </w:r>
          </w:p>
        </w:tc>
      </w:tr>
      <w:tr>
        <w:trPr>
          <w:cantSplit/>
        </w:trPr>
        <w:tc>
          <w:tcPr>
            <w:tcW w:type="dxa" w:w="2015"/>
            <w:vAlign w:val="center"/>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tcPr>
          <w:p>
            <w:pPr>
              <w:spacing w:after="0"/>
              <w:jc w:val="left"/>
            </w:pPr>
            <w:r>
              <w:rPr>
                <w:sz w:val="16"/>
              </w:rPr>
              <w:t>Producto global</w:t>
            </w:r>
          </w:p>
        </w:tc>
        <w:tc>
          <w:tcPr>
            <w:tcW w:type="dxa" w:w="5112"/>
            <w:vAlign w:val="center"/>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tcPr>
          <w:p>
            <w:pPr>
              <w:spacing w:after="0"/>
              <w:jc w:val="center"/>
            </w:pPr>
            <w:r>
              <w:rPr>
                <w:sz w:val="16"/>
              </w:rPr>
              <w:t>Un SO(2) x R^n único sobre toda la representación</w:t>
            </w:r>
          </w:p>
        </w:tc>
        <w:tc>
          <w:tcPr>
            <w:tcW w:type="dxa" w:w="2520"/>
            <w:vAlign w:val="center"/>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tcPr>
          <w:p>
            <w:pPr>
              <w:spacing w:after="0"/>
              <w:jc w:val="center"/>
            </w:pPr>
            <w:r>
              <w:rPr>
                <w:sz w:val="16"/>
              </w:rPr>
              <w:t>Fuera de alcance e imposible de concluir con 25 parches</w:t>
            </w:r>
          </w:p>
        </w:tc>
      </w:tr>
    </w:tbl>
    <w:p>
      <w:pPr>
        <w:spacing w:after="0"/>
      </w:pPr>
    </w:p>
    <w:p>
      <w:pPr>
        <w:pStyle w:val="BodyText"/>
      </w:pPr>
      <w:r>
        <w:t>Prescrito por arquitectura: existen tipos F0/F1 y una acción espacial candidata rho. Verificado empíricamente: el operador de entrada corregido y la conmutación casi exacta del decodificador del checkpoint SO(2) con C4 en 25/25; no la equivarianza continua del encoder. Observado en el checkpoint entrenado, sin atribución causal: la ventaja comparativa en consistencia de rutas decodificadas para ángulos interpolados, junto con órbitas crudas complejas y de alta dimensionalidad. Transferencia entre parches: la acción espacial C4 no usa parámetros por parche, pero ninguna acción reducida aprendida superó identidad. Lectura tipo fibrado: la canonicalización decodificada bajo giros C4 exactos fue fuerte, pero no exacta, y no define un cociente de contenido ni fases locales fiables; una interpretación de fibras, gauges o topología permanece especulativa.</w:t>
      </w:r>
    </w:p>
    <w:p>
      <w:r>
        <w:br w:type="page"/>
      </w:r>
    </w:p>
    <w:p>
      <w:pPr>
        <w:pStyle w:val="Heading1"/>
        <w:keepNext/>
        <w:keepLines/>
      </w:pPr>
      <w:r>
        <w:t>9. Visualización PCA del espacio latente</w:t>
      </w:r>
    </w:p>
    <w:p>
      <w:pPr>
        <w:pStyle w:val="BodyText"/>
      </w:pPr>
      <w:r>
        <w:t>La visualización tipo EQ-VAE proyecta descriptores latentes espaciales a tres componentes principales y los presenta como falso color. Su propósito es mostrar organización espacial dentro del latente; PCA es un sistema de coordenadas, no una métrica de calidad ni de equivarianza.</w:t>
      </w:r>
    </w:p>
    <w:p>
      <w:pPr>
        <w:spacing w:before="40" w:after="60"/>
        <w:jc w:val="center"/>
        <w:keepNext/>
        <w:keepLines/>
      </w:pPr>
      <w:r>
        <w:drawing>
          <wp:inline xmlns:a="http://schemas.openxmlformats.org/drawingml/2006/main" xmlns:pic="http://schemas.openxmlformats.org/drawingml/2006/picture">
            <wp:extent cx="5897880" cy="4914900"/>
            <wp:docPr id="17" name="Picture 17" descr="Visualización PCA en falso color compara mapas latentes espaciales del modelo normal y del modelo SO2." title="Visualización PCA en falso color compara mapas latentes espaciales del modelo no"/>
            <wp:cNvGraphicFramePr>
              <a:graphicFrameLocks noChangeAspect="1"/>
            </wp:cNvGraphicFramePr>
            <a:graphic>
              <a:graphicData uri="http://schemas.openxmlformats.org/drawingml/2006/picture">
                <pic:pic>
                  <pic:nvPicPr>
                    <pic:cNvPr id="0" name="05-paper-style-latent-pca.png"/>
                    <pic:cNvPicPr/>
                  </pic:nvPicPr>
                  <pic:blipFill>
                    <a:blip r:embed="rId27"/>
                    <a:stretch>
                      <a:fillRect/>
                    </a:stretch>
                  </pic:blipFill>
                  <pic:spPr>
                    <a:xfrm>
                      <a:off x="0" y="0"/>
                      <a:ext cx="5897880" cy="4914900"/>
                    </a:xfrm>
                    <a:prstGeom prst="rect"/>
                  </pic:spPr>
                </pic:pic>
              </a:graphicData>
            </a:graphic>
          </wp:inline>
        </w:drawing>
      </w:r>
    </w:p>
    <w:p>
      <w:pPr>
        <w:pStyle w:val="Caption"/>
        <w:jc w:val="left"/>
        <w:keepLines/>
      </w:pPr>
      <w:r>
        <w:t>Figura 9. Visualización PCA-RGB de cuatro parches mostrados (ranks 0, 8, 12 y 24) de la fuente fixed-25. Los modelos usan ajustes PCA separados; los colores y rangos no deben compararse como magnitudes absolutas entre modelos.</w:t>
      </w:r>
    </w:p>
    <w:p>
      <w:pPr>
        <w:pStyle w:val="BodyText"/>
      </w:pPr>
      <w:r>
        <w:t>La coherencia local mediana r_edge fue 1,4567 para el modelo normal y 1,4676 para SO(2); menor es más coherente bajo este proxy. La diferencia no respalda una ventaja de coherencia local para SO(2). Un lector RGB local exploratorio también obtuvo R2=0,286 para normal y R2=0,189 para SO(2). Ninguno de estos diagnósticos es un endpoint confirmatorio.</w:t>
      </w:r>
    </w:p>
    <w:p>
      <w:r>
        <w:br w:type="page"/>
      </w:r>
    </w:p>
    <w:p>
      <w:pPr>
        <w:pStyle w:val="Heading1"/>
        <w:keepNext/>
        <w:keepLines/>
      </w:pPr>
      <w:r>
        <w:t>10. Diagnóstico WSI en el test sellado</w:t>
      </w:r>
    </w:p>
    <w:p>
      <w:pPr>
        <w:pStyle w:val="Heading2"/>
        <w:keepNext/>
        <w:keepLines/>
      </w:pPr>
      <w:r>
        <w:t>Desarrollo supervisado y selección</w:t>
      </w:r>
    </w:p>
    <w:p>
      <w:pPr>
        <w:pStyle w:val="BodyText"/>
      </w:pPr>
      <w:r>
        <w:t>Los clasificadores se ajustaron después de congelar cada representación. En MIL se usaron 106 WSI de entrenamiento y 23 WSI de validación; ambos entrenamientos terminaron por parada temprana. La pérdida de train se registró en línea antes de cada actualización y se resume por ventanas de 53 actualizaciones, una WSI por actualización, mientras que el F1 y la entropía cruzada de validación se calcularon con el modelo fijo en cada frontera. Para tejido se entrenó un clasificador por representación y presupuesto con subconjuntos balanceados. La validación sirvió para seleccionar checkpoints y no se reutiliza como evidencia del test sellado.</w:t>
      </w:r>
    </w:p>
    <w:p>
      <w:pPr>
        <w:spacing w:before="40" w:after="60"/>
        <w:jc w:val="center"/>
        <w:keepNext/>
        <w:keepLines/>
      </w:pPr>
      <w:r>
        <w:drawing>
          <wp:inline xmlns:a="http://schemas.openxmlformats.org/drawingml/2006/main" xmlns:pic="http://schemas.openxmlformats.org/drawingml/2006/picture">
            <wp:extent cx="6309360" cy="3441469"/>
            <wp:docPr id="18" name="Picture 18" descr="Tres paneles muestran F1 macro de validación WSI, entropía cruzada de train y validación WSI, y el mejor F1 macro de validación tisular por presupuesto." title="Tres paneles muestran F1 macro de validación WSI, entropía cruzada de train y va"/>
            <wp:cNvGraphicFramePr>
              <a:graphicFrameLocks noChangeAspect="1"/>
            </wp:cNvGraphicFramePr>
            <a:graphic>
              <a:graphicData uri="http://schemas.openxmlformats.org/drawingml/2006/picture">
                <pic:pic>
                  <pic:nvPicPr>
                    <pic:cNvPr id="0" name="supervised_development.png"/>
                    <pic:cNvPicPr/>
                  </pic:nvPicPr>
                  <pic:blipFill>
                    <a:blip r:embed="rId28"/>
                    <a:stretch>
                      <a:fillRect/>
                    </a:stretch>
                  </pic:blipFill>
                  <pic:spPr>
                    <a:xfrm>
                      <a:off x="0" y="0"/>
                      <a:ext cx="6309360" cy="3441469"/>
                    </a:xfrm>
                    <a:prstGeom prst="rect"/>
                  </pic:spPr>
                </pic:pic>
              </a:graphicData>
            </a:graphic>
          </wp:inline>
        </w:drawing>
      </w:r>
    </w:p>
    <w:p>
      <w:pPr>
        <w:pStyle w:val="Caption"/>
        <w:jc w:val="left"/>
        <w:keepLines/>
      </w:pPr>
      <w:r>
        <w:t>Figura 10. Desarrollo supervisado. Arriba izquierda: F1 macro de validación MIL; los puntos resaltan los checkpoints seleccionados (0,448 normal en la actualización 3.127 y 0,591 SO(2) en 5.671). Arriba derecha: entropía cruzada de train registrada en línea y promediada por cada ventana de 53 actualizaciones, junto con la entropía cruzada de validación en cada frontera. Como el modelo cambia dentro de cada ventana, la curva de train diagnostica la optimización y no equivale a evaluar un checkpoint fijo sobre todo train. Abajo: mejor F1 macro de validación tisular por presupuesto. Ningún panel es test sellado ni variación entre semillas.</w:t>
      </w:r>
    </w:p>
    <w:p>
      <w:pPr>
        <w:pStyle w:val="Heading2"/>
        <w:keepNext/>
        <w:keepLines/>
      </w:pPr>
      <w:r>
        <w:t>Resultado WSI sellado</w:t>
      </w:r>
    </w:p>
    <w:p>
      <w:pPr>
        <w:pStyle w:val="BodyText"/>
      </w:pPr>
      <w:r>
        <w:t>Se entrenó una única trayectoria de clasificador MIL por representación y se evaluó una sola vez sobre 23 WSI sellados. La tarea contiene cinco diagnósticos; LGSC y MC tienen solo dos WSI cada uno, por lo que las conclusiones por clase son frágiles.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376"/>
            <w:shd w:fill="1F2933"/>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tcPr>
          <w:p>
            <w:pPr>
              <w:jc w:val="center"/>
            </w:pPr>
            <w:r>
              <w:rPr>
                <w:b/>
                <w:color w:val="FFFFFF"/>
                <w:sz w:val="17"/>
              </w:rPr>
              <w:t>Métrica</w:t>
            </w:r>
          </w:p>
        </w:tc>
        <w:tc>
          <w:tcPr>
            <w:tcW w:type="dxa" w:w="1440"/>
            <w:shd w:fill="1F2933"/>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tcPr>
          <w:p>
            <w:pPr>
              <w:jc w:val="center"/>
            </w:pPr>
            <w:r>
              <w:rPr>
                <w:b/>
                <w:color w:val="FFFFFF"/>
                <w:sz w:val="17"/>
              </w:rPr>
              <w:t>Normal</w:t>
            </w:r>
          </w:p>
        </w:tc>
        <w:tc>
          <w:tcPr>
            <w:tcW w:type="dxa" w:w="1440"/>
            <w:shd w:fill="1F2933"/>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tcPr>
          <w:p>
            <w:pPr>
              <w:jc w:val="center"/>
            </w:pPr>
            <w:r>
              <w:rPr>
                <w:b/>
                <w:color w:val="FFFFFF"/>
                <w:sz w:val="17"/>
              </w:rPr>
              <w:t>SO(2)</w:t>
            </w:r>
          </w:p>
        </w:tc>
        <w:tc>
          <w:tcPr>
            <w:tcW w:type="dxa" w:w="4392"/>
            <w:shd w:fill="1F2933"/>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tcPr>
          <w:p>
            <w:pPr>
              <w:jc w:val="center"/>
            </w:pPr>
            <w:r>
              <w:rPr>
                <w:b/>
                <w:color w:val="FFFFFF"/>
                <w:sz w:val="17"/>
              </w:rPr>
              <w:t>Normal - SO(2) [IC 95%]</w:t>
            </w:r>
          </w:p>
        </w:tc>
      </w:tr>
      <w:tr>
        <w:trPr>
          <w:cantSplit/>
        </w:trPr>
        <w:tc>
          <w:tcPr>
            <w:tcW w:type="dxa" w:w="2376"/>
            <w:vAlign w:val="center"/>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tcPr>
          <w:p>
            <w:pPr>
              <w:spacing w:after="0"/>
              <w:jc w:val="left"/>
            </w:pPr>
            <w:r>
              <w:rPr>
                <w:sz w:val="17"/>
              </w:rPr>
              <w:t>F1 macro</w:t>
            </w:r>
          </w:p>
        </w:tc>
        <w:tc>
          <w:tcPr>
            <w:tcW w:type="dxa" w:w="1440"/>
            <w:vAlign w:val="center"/>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tcPr>
          <w:p>
            <w:pPr>
              <w:spacing w:after="0"/>
              <w:jc w:val="center"/>
            </w:pPr>
            <w:r>
              <w:rPr>
                <w:sz w:val="17"/>
              </w:rPr>
              <w:t>0.389</w:t>
            </w:r>
          </w:p>
        </w:tc>
        <w:tc>
          <w:tcPr>
            <w:tcW w:type="dxa" w:w="1440"/>
            <w:vAlign w:val="center"/>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tcPr>
          <w:p>
            <w:pPr>
              <w:spacing w:after="0"/>
              <w:jc w:val="center"/>
            </w:pPr>
            <w:r>
              <w:rPr>
                <w:sz w:val="17"/>
              </w:rPr>
              <w:t>0.483</w:t>
            </w:r>
          </w:p>
        </w:tc>
        <w:tc>
          <w:tcPr>
            <w:tcW w:type="dxa" w:w="4392"/>
            <w:vAlign w:val="center"/>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tcPr>
          <w:p>
            <w:pPr>
              <w:spacing w:after="0"/>
              <w:jc w:val="center"/>
            </w:pPr>
            <w:r>
              <w:rPr>
                <w:sz w:val="17"/>
              </w:rPr>
              <w:t>-0.095 [-0.207; +0.050]</w:t>
            </w:r>
          </w:p>
        </w:tc>
      </w:tr>
      <w:tr>
        <w:trPr>
          <w:cantSplit/>
        </w:trPr>
        <w:tc>
          <w:tcPr>
            <w:tcW w:type="dxa" w:w="2376"/>
            <w:vAlign w:val="center"/>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shd w:fill="F5F7F9"/>
          </w:tcPr>
          <w:p>
            <w:pPr>
              <w:spacing w:after="0"/>
              <w:jc w:val="left"/>
            </w:pPr>
            <w:r>
              <w:rPr>
                <w:sz w:val="17"/>
              </w:rPr>
              <w:t>Exactitud balanceada</w:t>
            </w:r>
          </w:p>
        </w:tc>
        <w:tc>
          <w:tcPr>
            <w:tcW w:type="dxa" w:w="1440"/>
            <w:vAlign w:val="center"/>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shd w:fill="F5F7F9"/>
          </w:tcPr>
          <w:p>
            <w:pPr>
              <w:spacing w:after="0"/>
              <w:jc w:val="center"/>
            </w:pPr>
            <w:r>
              <w:rPr>
                <w:sz w:val="17"/>
              </w:rPr>
              <w:t>0.510</w:t>
            </w:r>
          </w:p>
        </w:tc>
        <w:tc>
          <w:tcPr>
            <w:tcW w:type="dxa" w:w="1440"/>
            <w:vAlign w:val="center"/>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shd w:fill="F5F7F9"/>
          </w:tcPr>
          <w:p>
            <w:pPr>
              <w:spacing w:after="0"/>
              <w:jc w:val="center"/>
            </w:pPr>
            <w:r>
              <w:rPr>
                <w:sz w:val="17"/>
              </w:rPr>
              <w:t>0.503</w:t>
            </w:r>
          </w:p>
        </w:tc>
        <w:tc>
          <w:tcPr>
            <w:tcW w:type="dxa" w:w="4392"/>
            <w:vAlign w:val="center"/>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shd w:fill="F5F7F9"/>
          </w:tcPr>
          <w:p>
            <w:pPr>
              <w:spacing w:after="0"/>
              <w:jc w:val="center"/>
            </w:pPr>
            <w:r>
              <w:rPr>
                <w:sz w:val="17"/>
              </w:rPr>
              <w:t>+0.007 [-0.167; +0.180]</w:t>
            </w:r>
          </w:p>
        </w:tc>
      </w:tr>
      <w:tr>
        <w:trPr>
          <w:cantSplit/>
        </w:trPr>
        <w:tc>
          <w:tcPr>
            <w:tcW w:type="dxa" w:w="2376"/>
            <w:vAlign w:val="center"/>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tcPr>
          <w:p>
            <w:pPr>
              <w:spacing w:after="0"/>
              <w:jc w:val="left"/>
            </w:pPr>
            <w:r>
              <w:rPr>
                <w:sz w:val="17"/>
              </w:rPr>
              <w:t>Exactitud</w:t>
            </w:r>
          </w:p>
        </w:tc>
        <w:tc>
          <w:tcPr>
            <w:tcW w:type="dxa" w:w="1440"/>
            <w:vAlign w:val="center"/>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tcPr>
          <w:p>
            <w:pPr>
              <w:spacing w:after="0"/>
              <w:jc w:val="center"/>
            </w:pPr>
            <w:r>
              <w:rPr>
                <w:sz w:val="17"/>
              </w:rPr>
              <w:t>0.522</w:t>
            </w:r>
          </w:p>
        </w:tc>
        <w:tc>
          <w:tcPr>
            <w:tcW w:type="dxa" w:w="1440"/>
            <w:vAlign w:val="center"/>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tcPr>
          <w:p>
            <w:pPr>
              <w:spacing w:after="0"/>
              <w:jc w:val="center"/>
            </w:pPr>
            <w:r>
              <w:rPr>
                <w:sz w:val="17"/>
              </w:rPr>
              <w:t>0.609</w:t>
            </w:r>
          </w:p>
        </w:tc>
        <w:tc>
          <w:tcPr>
            <w:tcW w:type="dxa" w:w="4392"/>
            <w:vAlign w:val="center"/>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tcPr>
          <w:p>
            <w:pPr>
              <w:spacing w:after="0"/>
              <w:jc w:val="center"/>
            </w:pPr>
            <w:r>
              <w:rPr>
                <w:sz w:val="17"/>
              </w:rPr>
              <w:t>-0.087 [-0.217; +0.043]</w:t>
            </w:r>
          </w:p>
        </w:tc>
      </w:tr>
      <w:tr>
        <w:trPr>
          <w:cantSplit/>
        </w:trPr>
        <w:tc>
          <w:tcPr>
            <w:tcW w:type="dxa" w:w="2376"/>
            <w:vAlign w:val="center"/>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shd w:fill="F5F7F9"/>
          </w:tcPr>
          <w:p>
            <w:pPr>
              <w:spacing w:after="0"/>
              <w:jc w:val="left"/>
            </w:pPr>
            <w:r>
              <w:rPr>
                <w:sz w:val="17"/>
              </w:rPr>
              <w:t>Entropía cruzada</w:t>
            </w:r>
          </w:p>
        </w:tc>
        <w:tc>
          <w:tcPr>
            <w:tcW w:type="dxa" w:w="1440"/>
            <w:vAlign w:val="center"/>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shd w:fill="F5F7F9"/>
          </w:tcPr>
          <w:p>
            <w:pPr>
              <w:spacing w:after="0"/>
              <w:jc w:val="center"/>
            </w:pPr>
            <w:r>
              <w:rPr>
                <w:sz w:val="17"/>
              </w:rPr>
              <w:t>1.323</w:t>
            </w:r>
          </w:p>
        </w:tc>
        <w:tc>
          <w:tcPr>
            <w:tcW w:type="dxa" w:w="1440"/>
            <w:vAlign w:val="center"/>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shd w:fill="F5F7F9"/>
          </w:tcPr>
          <w:p>
            <w:pPr>
              <w:spacing w:after="0"/>
              <w:jc w:val="center"/>
            </w:pPr>
            <w:r>
              <w:rPr>
                <w:sz w:val="17"/>
              </w:rPr>
              <w:t>0.993</w:t>
            </w:r>
          </w:p>
        </w:tc>
        <w:tc>
          <w:tcPr>
            <w:tcW w:type="dxa" w:w="4392"/>
            <w:vAlign w:val="center"/>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shd w:fill="F5F7F9"/>
          </w:tcPr>
          <w:p>
            <w:pPr>
              <w:spacing w:after="0"/>
              <w:jc w:val="center"/>
            </w:pPr>
            <w:r>
              <w:rPr>
                <w:sz w:val="17"/>
              </w:rPr>
              <w:t>+0.330 [+0.135; +0.524]</w:t>
            </w:r>
          </w:p>
        </w:tc>
      </w:tr>
    </w:tbl>
    <w:p>
      <w:pPr>
        <w:spacing w:after="0"/>
      </w:pPr>
    </w:p>
    <w:p>
      <w:pPr>
        <w:spacing w:before="40" w:after="60"/>
        <w:jc w:val="center"/>
        <w:keepNext/>
        <w:keepLines/>
      </w:pPr>
      <w:r>
        <w:drawing>
          <wp:inline xmlns:a="http://schemas.openxmlformats.org/drawingml/2006/main" xmlns:pic="http://schemas.openxmlformats.org/drawingml/2006/picture">
            <wp:extent cx="5989320" cy="3034589"/>
            <wp:docPr id="19" name="Picture 19" descr="Gráfica de barras de F1 macro, exactitud balanceada y exactitud para 23 WSI bajo ambos modelos." title="Gráfica de barras de F1 macro, exactitud balanceada y exactitud para 23 WSI bajo"/>
            <wp:cNvGraphicFramePr>
              <a:graphicFrameLocks noChangeAspect="1"/>
            </wp:cNvGraphicFramePr>
            <a:graphic>
              <a:graphicData uri="http://schemas.openxmlformats.org/drawingml/2006/picture">
                <pic:pic>
                  <pic:nvPicPr>
                    <pic:cNvPr id="0" name="mil_test_summary.png"/>
                    <pic:cNvPicPr/>
                  </pic:nvPicPr>
                  <pic:blipFill>
                    <a:blip r:embed="rId29"/>
                    <a:stretch>
                      <a:fillRect/>
                    </a:stretch>
                  </pic:blipFill>
                  <pic:spPr>
                    <a:xfrm>
                      <a:off x="0" y="0"/>
                      <a:ext cx="5989320" cy="3034589"/>
                    </a:xfrm>
                    <a:prstGeom prst="rect"/>
                  </pic:spPr>
                </pic:pic>
              </a:graphicData>
            </a:graphic>
          </wp:inline>
        </w:drawing>
      </w:r>
    </w:p>
    <w:p>
      <w:pPr>
        <w:pStyle w:val="Caption"/>
        <w:jc w:val="left"/>
        <w:keepLines/>
      </w:pPr>
      <w:r>
        <w:t>Figura 11. Métricas de diagnóstico WSI en el test sellado (n=23 WSI). SO(2) es numéricamente mayor en F1 macro y exactitud; la diferencia de F1 macro no está establecida porque su IC 95% incluye cero.</w:t>
      </w:r>
    </w:p>
    <w:p>
      <w:pPr>
        <w:pStyle w:val="BodyText"/>
      </w:pPr>
      <w:r>
        <w:t>La entropía cruzada, endpoint secundario, fue menor para SO(2) y su intervalo pareado favorece a SO(2). Este resultado debe interpretarse junto con el único entrenamiento del clasificador, el test pequeño y el bajo soporte de dos clases.</w:t>
      </w:r>
    </w:p>
    <w:p>
      <w:r>
        <w:br w:type="page"/>
      </w:r>
    </w:p>
    <w:p>
      <w:pPr>
        <w:pStyle w:val="Heading2"/>
        <w:keepNext/>
        <w:keepLines/>
      </w:pPr>
      <w:r>
        <w:t>Desglose por clase en diagnóstico WSI</w:t>
      </w:r>
    </w:p>
    <w:p>
      <w:pPr>
        <w:pStyle w:val="BodyText"/>
      </w:pPr>
      <w:r>
        <w:t>Las matrices permiten ver que la diferencia global no se distribuye uniformemente. SO(2) obtuvo F1 mayor en CC, EC, HGSC y LGSC, mientras que el modelo normal obtuvo F1 mayor en MC. En particular, el VAE normal no recuperó casos EC ni LGSC y SO(2) no recuperó MC. Estas observaciones son descriptivas: los soportes por clase son CC=5, EC=6, HGSC=8, LGSC=2 y MC=2 WSI.</w:t>
      </w:r>
    </w:p>
    <w:p>
      <w:pPr>
        <w:spacing w:before="40" w:after="60"/>
        <w:jc w:val="center"/>
        <w:keepNext/>
        <w:keepLines/>
      </w:pPr>
      <w:r>
        <w:drawing>
          <wp:inline xmlns:a="http://schemas.openxmlformats.org/drawingml/2006/main" xmlns:pic="http://schemas.openxmlformats.org/drawingml/2006/picture">
            <wp:extent cx="5897880" cy="4751070"/>
            <wp:docPr id="20" name="Picture 20" descr="Dos matrices de confusion y barras de F1 por clase comparan los clasificadores WSI normal y SO2 en 23 láminas." title="Dos matrices de confusion y barras de F1 por clase comparan los clasificadores W"/>
            <wp:cNvGraphicFramePr>
              <a:graphicFrameLocks noChangeAspect="1"/>
            </wp:cNvGraphicFramePr>
            <a:graphic>
              <a:graphicData uri="http://schemas.openxmlformats.org/drawingml/2006/picture">
                <pic:pic>
                  <pic:nvPicPr>
                    <pic:cNvPr id="0" name="mil_test_class_detail.png"/>
                    <pic:cNvPicPr/>
                  </pic:nvPicPr>
                  <pic:blipFill>
                    <a:blip r:embed="rId30"/>
                    <a:stretch>
                      <a:fillRect/>
                    </a:stretch>
                  </pic:blipFill>
                  <pic:spPr>
                    <a:xfrm>
                      <a:off x="0" y="0"/>
                      <a:ext cx="5897880" cy="4751070"/>
                    </a:xfrm>
                    <a:prstGeom prst="rect"/>
                  </pic:spPr>
                </pic:pic>
              </a:graphicData>
            </a:graphic>
          </wp:inline>
        </w:drawing>
      </w:r>
    </w:p>
    <w:p>
      <w:pPr>
        <w:pStyle w:val="Caption"/>
        <w:jc w:val="left"/>
        <w:keepLines/>
      </w:pPr>
      <w:r>
        <w:t>Figura 12. Matrices de confusion normalizadas por clase real y F1 por diagnóstico en el test sellado. Cada celda incluye conteo y porcentaje dentro de su fila; los soportes 5/6/8/2/2 muestran por que LGSC y MC no permiten conclusiones estables por clase.</w:t>
      </w:r>
    </w:p>
    <w:p>
      <w:pPr>
        <w:pStyle w:val="Heading2"/>
        <w:keepNext/>
        <w:keepLines/>
      </w:pPr>
      <w:r>
        <w:t>Atribución espacial a parches</w:t>
      </w:r>
    </w:p>
    <w:p>
      <w:pPr>
        <w:pStyle w:val="BodyText"/>
      </w:pPr>
      <w:r>
        <w:t>No se incluyó un mapa de atención por WSI porque la corrida sellada almacenó logits, predicción, tamaño de bolsa e identidad y resumen del grafo, pero no compuertas por parche. La atención local describe intercambio entre vecinos; las compuertas sigmoidales del resumen global no son probabilidades ni atribuciones causales o específicas de clase. Generar un mapa exige una nueva inferencia instrumentada sobre latentes y pesos congelados y, para superponerlo sobre tejido real, acceso al thumbnail o WSI. Un análisis futuro debería preseleccionar el WSI antes de inspeccionar el mapa, usar la misma escala espacial para ambos modelos y etiquetar el resultado como intensidad de lectura interna o sensibilidad post-hoc, no como explicación causal.</w:t>
      </w:r>
    </w:p>
    <w:p>
      <w:r>
        <w:br w:type="page"/>
      </w:r>
    </w:p>
    <w:p>
      <w:pPr>
        <w:pStyle w:val="Heading1"/>
        <w:keepNext/>
        <w:keepLines/>
      </w:pPr>
      <w:r>
        <w:t>11. Eficiencia de etiquetas en tejido</w:t>
      </w:r>
    </w:p>
    <w:p>
      <w:pPr>
        <w:pStyle w:val="BodyText"/>
      </w:pPr>
      <w:r>
        <w:t>La prueba de tejido usó 31.572 parches de 23 WSI: 21.796 tumorales, 8.500 de estroma y 1.276 de necrosis. La necrosis aparece en solo cinco WSI. Se compararon cinco presupuestos de etiquetas por clase con intervalos simultáneos para controlar la familia de contrastes. El bootstrap se estratificó por soporte tisular observado: 2 WSI con solo tumor, 16 con tumor y estroma, y 5 con los tres tejidos.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872"/>
            <w:shd w:fill="1F2933"/>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tcPr>
          <w:p>
            <w:pPr>
              <w:jc w:val="center"/>
            </w:pPr>
            <w:r>
              <w:rPr>
                <w:b/>
                <w:color w:val="FFFFFF"/>
                <w:sz w:val="16"/>
              </w:rPr>
              <w:t>Etiquetas/clase</w:t>
            </w:r>
          </w:p>
        </w:tc>
        <w:tc>
          <w:tcPr>
            <w:tcW w:type="dxa" w:w="1944"/>
            <w:shd w:fill="1F2933"/>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tcPr>
          <w:p>
            <w:pPr>
              <w:jc w:val="center"/>
            </w:pPr>
            <w:r>
              <w:rPr>
                <w:b/>
                <w:color w:val="FFFFFF"/>
                <w:sz w:val="16"/>
              </w:rPr>
              <w:t>F1 macro normal</w:t>
            </w:r>
          </w:p>
        </w:tc>
        <w:tc>
          <w:tcPr>
            <w:tcW w:type="dxa" w:w="1944"/>
            <w:shd w:fill="1F2933"/>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tcPr>
          <w:p>
            <w:pPr>
              <w:jc w:val="center"/>
            </w:pPr>
            <w:r>
              <w:rPr>
                <w:b/>
                <w:color w:val="FFFFFF"/>
                <w:sz w:val="16"/>
              </w:rPr>
              <w:t>F1 macro SO(2)</w:t>
            </w:r>
          </w:p>
        </w:tc>
        <w:tc>
          <w:tcPr>
            <w:tcW w:type="dxa" w:w="3888"/>
            <w:shd w:fill="1F2933"/>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tcPr>
          <w:p>
            <w:pPr>
              <w:jc w:val="center"/>
            </w:pPr>
            <w:r>
              <w:rPr>
                <w:b/>
                <w:color w:val="FFFFFF"/>
                <w:sz w:val="16"/>
              </w:rPr>
              <w:t>Normal - SO(2), IC simultáneo 95%</w:t>
            </w:r>
          </w:p>
        </w:tc>
      </w:tr>
      <w:tr>
        <w:trPr>
          <w:cantSplit/>
        </w:trPr>
        <w:tc>
          <w:tcPr>
            <w:tcW w:type="dxa" w:w="1872"/>
            <w:vAlign w:val="center"/>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tcPr>
          <w:p>
            <w:pPr>
              <w:spacing w:after="0"/>
              <w:jc w:val="left"/>
            </w:pPr>
            <w:r>
              <w:rPr>
                <w:sz w:val="16"/>
              </w:rPr>
              <w:t>250</w:t>
            </w:r>
          </w:p>
        </w:tc>
        <w:tc>
          <w:tcPr>
            <w:tcW w:type="dxa" w:w="1944"/>
            <w:vAlign w:val="center"/>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tcPr>
          <w:p>
            <w:pPr>
              <w:spacing w:after="0"/>
              <w:jc w:val="center"/>
            </w:pPr>
            <w:r>
              <w:rPr>
                <w:sz w:val="16"/>
              </w:rPr>
              <w:t>0.508</w:t>
            </w:r>
          </w:p>
        </w:tc>
        <w:tc>
          <w:tcPr>
            <w:tcW w:type="dxa" w:w="1944"/>
            <w:vAlign w:val="center"/>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tcPr>
          <w:p>
            <w:pPr>
              <w:spacing w:after="0"/>
              <w:jc w:val="center"/>
            </w:pPr>
            <w:r>
              <w:rPr>
                <w:sz w:val="16"/>
              </w:rPr>
              <w:t>0.523</w:t>
            </w:r>
          </w:p>
        </w:tc>
        <w:tc>
          <w:tcPr>
            <w:tcW w:type="dxa" w:w="3888"/>
            <w:vAlign w:val="center"/>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tcPr>
          <w:p>
            <w:pPr>
              <w:spacing w:after="0"/>
              <w:jc w:val="center"/>
            </w:pPr>
            <w:r>
              <w:rPr>
                <w:sz w:val="16"/>
              </w:rPr>
              <w:t>-0.015 [-0.072; +0.041]</w:t>
            </w:r>
          </w:p>
        </w:tc>
      </w:tr>
      <w:tr>
        <w:trPr>
          <w:cantSplit/>
        </w:trPr>
        <w:tc>
          <w:tcPr>
            <w:tcW w:type="dxa" w:w="1872"/>
            <w:vAlign w:val="center"/>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shd w:fill="F5F7F9"/>
          </w:tcPr>
          <w:p>
            <w:pPr>
              <w:spacing w:after="0"/>
              <w:jc w:val="left"/>
            </w:pPr>
            <w:r>
              <w:rPr>
                <w:sz w:val="16"/>
              </w:rPr>
              <w:t>500</w:t>
            </w:r>
          </w:p>
        </w:tc>
        <w:tc>
          <w:tcPr>
            <w:tcW w:type="dxa" w:w="1944"/>
            <w:vAlign w:val="center"/>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shd w:fill="F5F7F9"/>
          </w:tcPr>
          <w:p>
            <w:pPr>
              <w:spacing w:after="0"/>
              <w:jc w:val="center"/>
            </w:pPr>
            <w:r>
              <w:rPr>
                <w:sz w:val="16"/>
              </w:rPr>
              <w:t>0.511</w:t>
            </w:r>
          </w:p>
        </w:tc>
        <w:tc>
          <w:tcPr>
            <w:tcW w:type="dxa" w:w="1944"/>
            <w:vAlign w:val="center"/>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shd w:fill="F5F7F9"/>
          </w:tcPr>
          <w:p>
            <w:pPr>
              <w:spacing w:after="0"/>
              <w:jc w:val="center"/>
            </w:pPr>
            <w:r>
              <w:rPr>
                <w:sz w:val="16"/>
              </w:rPr>
              <w:t>0.575</w:t>
            </w:r>
          </w:p>
        </w:tc>
        <w:tc>
          <w:tcPr>
            <w:tcW w:type="dxa" w:w="3888"/>
            <w:vAlign w:val="center"/>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shd w:fill="F5F7F9"/>
          </w:tcPr>
          <w:p>
            <w:pPr>
              <w:spacing w:after="0"/>
              <w:jc w:val="center"/>
            </w:pPr>
            <w:r>
              <w:rPr>
                <w:sz w:val="16"/>
              </w:rPr>
              <w:t>-0.064 [-0.121; -0.008]</w:t>
            </w:r>
          </w:p>
        </w:tc>
      </w:tr>
      <w:tr>
        <w:trPr>
          <w:cantSplit/>
        </w:trPr>
        <w:tc>
          <w:tcPr>
            <w:tcW w:type="dxa" w:w="1872"/>
            <w:vAlign w:val="center"/>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tcPr>
          <w:p>
            <w:pPr>
              <w:spacing w:after="0"/>
              <w:jc w:val="left"/>
            </w:pPr>
            <w:r>
              <w:rPr>
                <w:sz w:val="16"/>
              </w:rPr>
              <w:t>1.000</w:t>
            </w:r>
          </w:p>
        </w:tc>
        <w:tc>
          <w:tcPr>
            <w:tcW w:type="dxa" w:w="1944"/>
            <w:vAlign w:val="center"/>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tcPr>
          <w:p>
            <w:pPr>
              <w:spacing w:after="0"/>
              <w:jc w:val="center"/>
            </w:pPr>
            <w:r>
              <w:rPr>
                <w:sz w:val="16"/>
              </w:rPr>
              <w:t>0.582</w:t>
            </w:r>
          </w:p>
        </w:tc>
        <w:tc>
          <w:tcPr>
            <w:tcW w:type="dxa" w:w="1944"/>
            <w:vAlign w:val="center"/>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tcPr>
          <w:p>
            <w:pPr>
              <w:spacing w:after="0"/>
              <w:jc w:val="center"/>
            </w:pPr>
            <w:r>
              <w:rPr>
                <w:sz w:val="16"/>
              </w:rPr>
              <w:t>0.598</w:t>
            </w:r>
          </w:p>
        </w:tc>
        <w:tc>
          <w:tcPr>
            <w:tcW w:type="dxa" w:w="3888"/>
            <w:vAlign w:val="center"/>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tcPr>
          <w:p>
            <w:pPr>
              <w:spacing w:after="0"/>
              <w:jc w:val="center"/>
            </w:pPr>
            <w:r>
              <w:rPr>
                <w:sz w:val="16"/>
              </w:rPr>
              <w:t>-0.016 [-0.072; +0.041]</w:t>
            </w:r>
          </w:p>
        </w:tc>
      </w:tr>
      <w:tr>
        <w:trPr>
          <w:cantSplit/>
        </w:trPr>
        <w:tc>
          <w:tcPr>
            <w:tcW w:type="dxa" w:w="1872"/>
            <w:vAlign w:val="center"/>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shd w:fill="F5F7F9"/>
          </w:tcPr>
          <w:p>
            <w:pPr>
              <w:spacing w:after="0"/>
              <w:jc w:val="left"/>
            </w:pPr>
            <w:r>
              <w:rPr>
                <w:sz w:val="16"/>
              </w:rPr>
              <w:t>2.500</w:t>
            </w:r>
          </w:p>
        </w:tc>
        <w:tc>
          <w:tcPr>
            <w:tcW w:type="dxa" w:w="1944"/>
            <w:vAlign w:val="center"/>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shd w:fill="F5F7F9"/>
          </w:tcPr>
          <w:p>
            <w:pPr>
              <w:spacing w:after="0"/>
              <w:jc w:val="center"/>
            </w:pPr>
            <w:r>
              <w:rPr>
                <w:sz w:val="16"/>
              </w:rPr>
              <w:t>0.701</w:t>
            </w:r>
          </w:p>
        </w:tc>
        <w:tc>
          <w:tcPr>
            <w:tcW w:type="dxa" w:w="1944"/>
            <w:vAlign w:val="center"/>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shd w:fill="F5F7F9"/>
          </w:tcPr>
          <w:p>
            <w:pPr>
              <w:spacing w:after="0"/>
              <w:jc w:val="center"/>
            </w:pPr>
            <w:r>
              <w:rPr>
                <w:sz w:val="16"/>
              </w:rPr>
              <w:t>0.714</w:t>
            </w:r>
          </w:p>
        </w:tc>
        <w:tc>
          <w:tcPr>
            <w:tcW w:type="dxa" w:w="3888"/>
            <w:vAlign w:val="center"/>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shd w:fill="F5F7F9"/>
          </w:tcPr>
          <w:p>
            <w:pPr>
              <w:spacing w:after="0"/>
              <w:jc w:val="center"/>
            </w:pPr>
            <w:r>
              <w:rPr>
                <w:sz w:val="16"/>
              </w:rPr>
              <w:t>-0.013 [-0.069; +0.044]</w:t>
            </w:r>
          </w:p>
        </w:tc>
      </w:tr>
      <w:tr>
        <w:trPr>
          <w:cantSplit/>
        </w:trPr>
        <w:tc>
          <w:tcPr>
            <w:tcW w:type="dxa" w:w="1872"/>
            <w:vAlign w:val="center"/>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tcPr>
          <w:p>
            <w:pPr>
              <w:spacing w:after="0"/>
              <w:jc w:val="left"/>
            </w:pPr>
            <w:r>
              <w:rPr>
                <w:sz w:val="16"/>
              </w:rPr>
              <w:t>5.671</w:t>
            </w:r>
          </w:p>
        </w:tc>
        <w:tc>
          <w:tcPr>
            <w:tcW w:type="dxa" w:w="1944"/>
            <w:vAlign w:val="center"/>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tcPr>
          <w:p>
            <w:pPr>
              <w:spacing w:after="0"/>
              <w:jc w:val="center"/>
            </w:pPr>
            <w:r>
              <w:rPr>
                <w:sz w:val="16"/>
              </w:rPr>
              <w:t>0.766</w:t>
            </w:r>
          </w:p>
        </w:tc>
        <w:tc>
          <w:tcPr>
            <w:tcW w:type="dxa" w:w="1944"/>
            <w:vAlign w:val="center"/>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tcPr>
          <w:p>
            <w:pPr>
              <w:spacing w:after="0"/>
              <w:jc w:val="center"/>
            </w:pPr>
            <w:r>
              <w:rPr>
                <w:sz w:val="16"/>
              </w:rPr>
              <w:t>0.710</w:t>
            </w:r>
          </w:p>
        </w:tc>
        <w:tc>
          <w:tcPr>
            <w:tcW w:type="dxa" w:w="3888"/>
            <w:vAlign w:val="center"/>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tcPr>
          <w:p>
            <w:pPr>
              <w:spacing w:after="0"/>
              <w:jc w:val="center"/>
            </w:pPr>
            <w:r>
              <w:rPr>
                <w:sz w:val="16"/>
              </w:rPr>
              <w:t>+0.055 [-0.001; +0.112]</w:t>
            </w:r>
          </w:p>
        </w:tc>
      </w:tr>
    </w:tbl>
    <w:p>
      <w:pPr>
        <w:spacing w:after="0"/>
      </w:pPr>
    </w:p>
    <w:p>
      <w:pPr>
        <w:spacing w:before="40" w:after="60"/>
        <w:jc w:val="center"/>
        <w:keepNext/>
        <w:keepLines/>
      </w:pPr>
      <w:r>
        <w:drawing>
          <wp:inline xmlns:a="http://schemas.openxmlformats.org/drawingml/2006/main" xmlns:pic="http://schemas.openxmlformats.org/drawingml/2006/picture">
            <wp:extent cx="5989320" cy="3194304"/>
            <wp:docPr id="21" name="Picture 21" descr="Gráfica lineal de F1 macro a cinco presupuestos de etiquetas por clase para ambos modelos; 500 está marcado como diferencia establecida." title="Gráfica lineal de F1 macro a cinco presupuestos de etiquetas por clase para ambo"/>
            <wp:cNvGraphicFramePr>
              <a:graphicFrameLocks noChangeAspect="1"/>
            </wp:cNvGraphicFramePr>
            <a:graphic>
              <a:graphicData uri="http://schemas.openxmlformats.org/drawingml/2006/picture">
                <pic:pic>
                  <pic:nvPicPr>
                    <pic:cNvPr id="0" name="tissue_label_efficiency.png"/>
                    <pic:cNvPicPr/>
                  </pic:nvPicPr>
                  <pic:blipFill>
                    <a:blip r:embed="rId31"/>
                    <a:stretch>
                      <a:fillRect/>
                    </a:stretch>
                  </pic:blipFill>
                  <pic:spPr>
                    <a:xfrm>
                      <a:off x="0" y="0"/>
                      <a:ext cx="5989320" cy="3194304"/>
                    </a:xfrm>
                    <a:prstGeom prst="rect"/>
                  </pic:spPr>
                </pic:pic>
              </a:graphicData>
            </a:graphic>
          </wp:inline>
        </w:drawing>
      </w:r>
    </w:p>
    <w:p>
      <w:pPr>
        <w:pStyle w:val="Caption"/>
        <w:jc w:val="left"/>
        <w:keepLines/>
      </w:pPr>
      <w:r>
        <w:t>Figura 13. Curvas de F1 macro por presupuesto en el test sellado de tejido: 31.572 parches de 23 WSI. Solo 500 etiquetas por clase presenta un intervalo simultáneo que excluye cero y favorece a SO(2).</w:t>
      </w:r>
    </w:p>
    <w:p>
      <w:pPr>
        <w:pStyle w:val="BodyText"/>
      </w:pPr>
      <w:r>
        <w:rPr>
          <w:b/>
        </w:rPr>
        <w:t>Resumen global.</w:t>
      </w:r>
      <w:r>
        <w:t xml:space="preserve"> La AULC trapezoidal normalizada sobre log10(etiquetas por clase), sin suavizado, fue 0.615 para normal y 0.631 para SO(2). Diferencia normal menos SO(2) = -0.016; IC simultáneo 95% [-0.073; +0.040]. El intervalo incluye cero: la ventaja global es inconclusa. Esta AULC resume el F1 macro medio en el rango logaritmico preespecificado; no demuestra que un modelo necesite menos etiquetas.</w:t>
      </w:r>
    </w:p>
    <w:p>
      <w:pPr>
        <w:spacing w:before="40" w:after="60"/>
        <w:jc w:val="center"/>
        <w:keepNext/>
        <w:keepLines/>
      </w:pPr>
      <w:r>
        <w:drawing>
          <wp:inline xmlns:a="http://schemas.openxmlformats.org/drawingml/2006/main" xmlns:pic="http://schemas.openxmlformats.org/drawingml/2006/picture">
            <wp:extent cx="5989320" cy="2994660"/>
            <wp:docPr id="22" name="Picture 22" descr="Tres curvas comparan F1 de tumor, estroma y necrosis a cinco presupuestos para los modelos normal y SO2." title="Tres curvas comparan F1 de tumor, estroma y necrosis a cinco presupuestos para l"/>
            <wp:cNvGraphicFramePr>
              <a:graphicFrameLocks noChangeAspect="1"/>
            </wp:cNvGraphicFramePr>
            <a:graphic>
              <a:graphicData uri="http://schemas.openxmlformats.org/drawingml/2006/picture">
                <pic:pic>
                  <pic:nvPicPr>
                    <pic:cNvPr id="0" name="tissue_label_efficiency_by_class.png"/>
                    <pic:cNvPicPr/>
                  </pic:nvPicPr>
                  <pic:blipFill>
                    <a:blip r:embed="rId32"/>
                    <a:stretch>
                      <a:fillRect/>
                    </a:stretch>
                  </pic:blipFill>
                  <pic:spPr>
                    <a:xfrm>
                      <a:off x="0" y="0"/>
                      <a:ext cx="5989320" cy="2994660"/>
                    </a:xfrm>
                    <a:prstGeom prst="rect"/>
                  </pic:spPr>
                </pic:pic>
              </a:graphicData>
            </a:graphic>
          </wp:inline>
        </w:drawing>
      </w:r>
    </w:p>
    <w:p>
      <w:pPr>
        <w:pStyle w:val="Caption"/>
        <w:jc w:val="left"/>
        <w:keepLines/>
      </w:pPr>
      <w:r>
        <w:t>Figura 14. F1 por tipo de tejido a cada presupuesto de etiquetas. Son estimaciones puntuales descriptivas; la inferencia primaria simultanea se definio para F1 macro, no para seleccionar retrospectivamente una clase. Necrosis tiene 1.276 parches pero aparece en solo cinco WSI.</w:t>
      </w:r>
    </w:p>
    <w:p>
      <w:pPr>
        <w:pStyle w:val="BodyText"/>
      </w:pPr>
      <w:r>
        <w:t>El desglose muestra que las diferencias cambian según tejido y presupuesto. SO(2) presenta su señal más consistente en tumor a presupuestos bajos; estroma y, especialmente, necrosis fluctúan más. En el presupuesto máximo, la ventaja de F1 macro del modelo normal se explica en parte por un F1 de necrosis mayor. Esta lectura no convierte las curvas por clase en contrastes confirmatorios.</w:t>
      </w:r>
    </w:p>
    <w:p>
      <w:r>
        <w:br w:type="page"/>
      </w:r>
    </w:p>
    <w:p>
      <w:pPr>
        <w:pStyle w:val="Heading1"/>
        <w:keepNext/>
        <w:keepLines/>
      </w:pPr>
      <w:r>
        <w:t>12. Síntesis integrada</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304"/>
            <w:shd w:fill="1F2933"/>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tcPr>
          <w:p>
            <w:pPr>
              <w:jc w:val="center"/>
            </w:pPr>
            <w:r>
              <w:rPr>
                <w:b/>
                <w:color w:val="FFFFFF"/>
                <w:sz w:val="16"/>
              </w:rPr>
              <w:t>Dimensión</w:t>
            </w:r>
          </w:p>
        </w:tc>
        <w:tc>
          <w:tcPr>
            <w:tcW w:type="dxa" w:w="3096"/>
            <w:shd w:fill="1F2933"/>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tcPr>
          <w:p>
            <w:pPr>
              <w:jc w:val="center"/>
            </w:pPr>
            <w:r>
              <w:rPr>
                <w:b/>
                <w:color w:val="FFFFFF"/>
                <w:sz w:val="16"/>
              </w:rPr>
              <w:t>Señal observada</w:t>
            </w:r>
          </w:p>
        </w:tc>
        <w:tc>
          <w:tcPr>
            <w:tcW w:type="dxa" w:w="4320"/>
            <w:shd w:fill="1F2933"/>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tcPr>
          <w:p>
            <w:pPr>
              <w:jc w:val="center"/>
            </w:pPr>
            <w:r>
              <w:rPr>
                <w:b/>
                <w:color w:val="FFFFFF"/>
                <w:sz w:val="16"/>
              </w:rPr>
              <w:t>Conclusión permitida</w:t>
            </w:r>
          </w:p>
        </w:tc>
      </w:tr>
      <w:tr>
        <w:trPr>
          <w:cantSplit/>
        </w:trPr>
        <w:tc>
          <w:tcPr>
            <w:tcW w:type="dxa" w:w="2304"/>
            <w:vAlign w:val="center"/>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tcPr>
          <w:p>
            <w:pPr>
              <w:spacing w:after="0"/>
              <w:jc w:val="left"/>
            </w:pPr>
            <w:r>
              <w:rPr>
                <w:sz w:val="16"/>
              </w:rPr>
              <w:t>Fidelidad de reconstrucción</w:t>
            </w:r>
          </w:p>
        </w:tc>
        <w:tc>
          <w:tcPr>
            <w:tcW w:type="dxa" w:w="3096"/>
            <w:vAlign w:val="center"/>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tcPr>
          <w:p>
            <w:pPr>
              <w:spacing w:after="0"/>
              <w:jc w:val="center"/>
            </w:pPr>
            <w:r>
              <w:rPr>
                <w:sz w:val="16"/>
              </w:rPr>
              <w:t>Normal ligeramente mejor</w:t>
            </w:r>
          </w:p>
        </w:tc>
        <w:tc>
          <w:tcPr>
            <w:tcW w:type="dxa" w:w="4320"/>
            <w:vAlign w:val="center"/>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tcPr>
          <w:p>
            <w:pPr>
              <w:spacing w:after="0"/>
              <w:jc w:val="center"/>
            </w:pPr>
            <w:r>
              <w:rPr>
                <w:sz w:val="16"/>
              </w:rPr>
              <w:t>Sin diferencia primaria establecida</w:t>
            </w:r>
          </w:p>
        </w:tc>
      </w:tr>
      <w:tr>
        <w:trPr>
          <w:cantSplit/>
        </w:trPr>
        <w:tc>
          <w:tcPr>
            <w:tcW w:type="dxa" w:w="2304"/>
            <w:vAlign w:val="center"/>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shd w:fill="F5F7F9"/>
          </w:tcPr>
          <w:p>
            <w:pPr>
              <w:spacing w:after="0"/>
              <w:jc w:val="left"/>
            </w:pPr>
            <w:r>
              <w:rPr>
                <w:sz w:val="16"/>
              </w:rPr>
              <w:t>Diagnóstico WSI</w:t>
            </w:r>
          </w:p>
        </w:tc>
        <w:tc>
          <w:tcPr>
            <w:tcW w:type="dxa" w:w="3096"/>
            <w:vAlign w:val="center"/>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shd w:fill="F5F7F9"/>
          </w:tcPr>
          <w:p>
            <w:pPr>
              <w:spacing w:after="0"/>
              <w:jc w:val="center"/>
            </w:pPr>
            <w:r>
              <w:rPr>
                <w:sz w:val="16"/>
              </w:rPr>
              <w:t>SO(2) mayor en F1 macro y exactitud</w:t>
            </w:r>
          </w:p>
        </w:tc>
        <w:tc>
          <w:tcPr>
            <w:tcW w:type="dxa" w:w="4320"/>
            <w:vAlign w:val="center"/>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shd w:fill="F5F7F9"/>
          </w:tcPr>
          <w:p>
            <w:pPr>
              <w:spacing w:after="0"/>
              <w:jc w:val="center"/>
            </w:pPr>
            <w:r>
              <w:rPr>
                <w:sz w:val="16"/>
              </w:rPr>
              <w:t>Señal favorable, no superioridad general</w:t>
            </w:r>
          </w:p>
        </w:tc>
      </w:tr>
      <w:tr>
        <w:trPr>
          <w:cantSplit/>
        </w:trPr>
        <w:tc>
          <w:tcPr>
            <w:tcW w:type="dxa" w:w="2304"/>
            <w:vAlign w:val="center"/>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tcPr>
          <w:p>
            <w:pPr>
              <w:spacing w:after="0"/>
              <w:jc w:val="left"/>
            </w:pPr>
            <w:r>
              <w:rPr>
                <w:sz w:val="16"/>
              </w:rPr>
              <w:t>Tejido con pocas etiquetas</w:t>
            </w:r>
          </w:p>
        </w:tc>
        <w:tc>
          <w:tcPr>
            <w:tcW w:type="dxa" w:w="3096"/>
            <w:vAlign w:val="center"/>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tcPr>
          <w:p>
            <w:pPr>
              <w:spacing w:after="0"/>
              <w:jc w:val="center"/>
            </w:pPr>
            <w:r>
              <w:rPr>
                <w:sz w:val="16"/>
              </w:rPr>
              <w:t>SO(2) mayor en 250-2.500</w:t>
            </w:r>
          </w:p>
        </w:tc>
        <w:tc>
          <w:tcPr>
            <w:tcW w:type="dxa" w:w="4320"/>
            <w:vAlign w:val="center"/>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tcPr>
          <w:p>
            <w:pPr>
              <w:spacing w:after="0"/>
              <w:jc w:val="center"/>
            </w:pPr>
            <w:r>
              <w:rPr>
                <w:sz w:val="16"/>
              </w:rPr>
              <w:t>Evidencia puntual a 500; AULC inconclusa</w:t>
            </w:r>
          </w:p>
        </w:tc>
      </w:tr>
      <w:tr>
        <w:trPr>
          <w:cantSplit/>
        </w:trPr>
        <w:tc>
          <w:tcPr>
            <w:tcW w:type="dxa" w:w="2304"/>
            <w:vAlign w:val="center"/>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shd w:fill="F5F7F9"/>
          </w:tcPr>
          <w:p>
            <w:pPr>
              <w:spacing w:after="0"/>
              <w:jc w:val="left"/>
            </w:pPr>
            <w:r>
              <w:rPr>
                <w:sz w:val="16"/>
              </w:rPr>
              <w:t>Presupuesto máximo de tejido</w:t>
            </w:r>
          </w:p>
        </w:tc>
        <w:tc>
          <w:tcPr>
            <w:tcW w:type="dxa" w:w="3096"/>
            <w:vAlign w:val="center"/>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shd w:fill="F5F7F9"/>
          </w:tcPr>
          <w:p>
            <w:pPr>
              <w:spacing w:after="0"/>
              <w:jc w:val="center"/>
            </w:pPr>
            <w:r>
              <w:rPr>
                <w:sz w:val="16"/>
              </w:rPr>
              <w:t>Normal mayor en F1 macro</w:t>
            </w:r>
          </w:p>
        </w:tc>
        <w:tc>
          <w:tcPr>
            <w:tcW w:type="dxa" w:w="4320"/>
            <w:vAlign w:val="center"/>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shd w:fill="F5F7F9"/>
          </w:tcPr>
          <w:p>
            <w:pPr>
              <w:spacing w:after="0"/>
              <w:jc w:val="center"/>
            </w:pPr>
            <w:r>
              <w:rPr>
                <w:sz w:val="16"/>
              </w:rPr>
              <w:t>El beneficio de SO(2) no persiste uniformemente</w:t>
            </w:r>
          </w:p>
        </w:tc>
      </w:tr>
      <w:tr>
        <w:trPr>
          <w:cantSplit/>
        </w:trPr>
        <w:tc>
          <w:tcPr>
            <w:tcW w:type="dxa" w:w="2304"/>
            <w:vAlign w:val="center"/>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tcPr>
          <w:p>
            <w:pPr>
              <w:spacing w:after="0"/>
              <w:jc w:val="left"/>
            </w:pPr>
            <w:r>
              <w:rPr>
                <w:sz w:val="16"/>
              </w:rPr>
              <w:t>Geometría cruda de mu</w:t>
            </w:r>
          </w:p>
        </w:tc>
        <w:tc>
          <w:tcPr>
            <w:tcW w:type="dxa" w:w="3096"/>
            <w:vAlign w:val="center"/>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tcPr>
          <w:p>
            <w:pPr>
              <w:spacing w:after="0"/>
              <w:jc w:val="center"/>
            </w:pPr>
            <w:r>
              <w:rPr>
                <w:sz w:val="16"/>
              </w:rPr>
              <w:t>Operador corregido; H1--H4 de Spec 0050 no pasan</w:t>
            </w:r>
          </w:p>
        </w:tc>
        <w:tc>
          <w:tcPr>
            <w:tcW w:type="dxa" w:w="4320"/>
            <w:vAlign w:val="center"/>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tcPr>
          <w:p>
            <w:pPr>
              <w:spacing w:after="0"/>
              <w:jc w:val="center"/>
            </w:pPr>
            <w:r>
              <w:rPr>
                <w:sz w:val="16"/>
              </w:rPr>
              <w:t>Sin acción reducida aprendida ni factorización demostrada</w:t>
            </w:r>
          </w:p>
        </w:tc>
      </w:tr>
      <w:tr>
        <w:trPr>
          <w:cantSplit/>
        </w:trPr>
        <w:tc>
          <w:tcPr>
            <w:tcW w:type="dxa" w:w="2304"/>
            <w:vAlign w:val="center"/>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shd w:fill="F5F7F9"/>
          </w:tcPr>
          <w:p>
            <w:pPr>
              <w:spacing w:after="0"/>
              <w:jc w:val="left"/>
            </w:pPr>
            <w:r>
              <w:rPr>
                <w:sz w:val="16"/>
              </w:rPr>
              <w:t>Rutas decodificadas</w:t>
            </w:r>
          </w:p>
        </w:tc>
        <w:tc>
          <w:tcPr>
            <w:tcW w:type="dxa" w:w="3096"/>
            <w:vAlign w:val="center"/>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shd w:fill="F5F7F9"/>
          </w:tcPr>
          <w:p>
            <w:pPr>
              <w:spacing w:after="0"/>
              <w:jc w:val="center"/>
            </w:pPr>
            <w:r>
              <w:rPr>
                <w:sz w:val="16"/>
              </w:rPr>
              <w:t>SO(2) menor en 25/25; decoder C4 casi sin error</w:t>
            </w:r>
          </w:p>
        </w:tc>
        <w:tc>
          <w:tcPr>
            <w:tcW w:type="dxa" w:w="4320"/>
            <w:vAlign w:val="center"/>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shd w:fill="F5F7F9"/>
          </w:tcPr>
          <w:p>
            <w:pPr>
              <w:spacing w:after="0"/>
              <w:jc w:val="center"/>
            </w:pPr>
            <w:r>
              <w:rPr>
                <w:sz w:val="16"/>
              </w:rPr>
              <w:t>Ventaja comparativa de rutas y acción C4 del decoder; no SO(2) continuo</w:t>
            </w:r>
          </w:p>
        </w:tc>
      </w:tr>
      <w:tr>
        <w:trPr>
          <w:cantSplit/>
        </w:trPr>
        <w:tc>
          <w:tcPr>
            <w:tcW w:type="dxa" w:w="2304"/>
            <w:vAlign w:val="center"/>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tcPr>
          <w:p>
            <w:pPr>
              <w:spacing w:after="0"/>
              <w:jc w:val="left"/>
            </w:pPr>
            <w:r>
              <w:rPr>
                <w:sz w:val="16"/>
              </w:rPr>
              <w:t>Eficiencia paramétrica</w:t>
            </w:r>
          </w:p>
        </w:tc>
        <w:tc>
          <w:tcPr>
            <w:tcW w:type="dxa" w:w="3096"/>
            <w:vAlign w:val="center"/>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tcPr>
          <w:p>
            <w:pPr>
              <w:spacing w:after="0"/>
              <w:jc w:val="center"/>
            </w:pPr>
            <w:r>
              <w:rPr>
                <w:sz w:val="16"/>
              </w:rPr>
              <w:t>SO(2) usa 29,8% de parámetros</w:t>
            </w:r>
          </w:p>
        </w:tc>
        <w:tc>
          <w:tcPr>
            <w:tcW w:type="dxa" w:w="4320"/>
            <w:vAlign w:val="center"/>
            <w:tcBorders>
              <w:top w:val="single" w:sz="6" w:color="CDD4DC"/>
              <w:left w:val="single" w:sz="6" w:color="CDD4DC"/>
              <w:bottom w:val="single" w:sz="6" w:color="CDD4DC"/>
              <w:right w:val="single" w:sz="6" w:color="CDD4DC"/>
              <w:insideH w:val="single" w:sz="6" w:color="CDD4DC"/>
              <w:insideV w:val="single" w:sz="6" w:color="CDD4DC"/>
            </w:tcBorders>
            <w:tcMar>
              <w:top w:w="80" w:type="dxa"/>
              <w:start w:w="90" w:type="dxa"/>
              <w:bottom w:w="80" w:type="dxa"/>
              <w:end w:w="90" w:type="dxa"/>
            </w:tcMar>
          </w:tcPr>
          <w:p>
            <w:pPr>
              <w:spacing w:after="0"/>
              <w:jc w:val="center"/>
            </w:pPr>
            <w:r>
              <w:rPr>
                <w:sz w:val="16"/>
              </w:rPr>
              <w:t>Ventaja de compactación; confusor de capacidad</w:t>
            </w:r>
          </w:p>
        </w:tc>
      </w:tr>
    </w:tbl>
    <w:p>
      <w:pPr>
        <w:spacing w:after="0"/>
      </w:pPr>
    </w:p>
    <w:p>
      <w:pPr>
        <w:pStyle w:val="Heading2"/>
        <w:keepNext/>
        <w:keepLines/>
      </w:pPr>
      <w:r>
        <w:t>Mensaje central para el profesor</w:t>
      </w:r>
    </w:p>
    <w:p>
      <w:pPr>
        <w:pStyle w:val="BodyText"/>
      </w:pPr>
      <w:r>
        <w:t>La arquitectura continua SO(2) no mejoró automáticamente la reconstrucción ni mostró una acción reducida aprendida o una factorización demostrable en el posterior final. En el checkpoint SO(2) se observó una acción espacial C4 casi exacta al transformar el embedding antes del decoder y una reducción comparativa consistente del error entre rutas decodificadas para ángulos interpolados. El checkpoint también es mucho más compacto y presenta señales de utilidad en diagnóstico WSI y ciertos regímenes de bajo etiquetado; este estudio no aísla causalmente la simetría de la capacidad u otros factores. La conclusión responsable es específica por endpoint: se verificó empíricamente un mecanismo de rotación C4 en el decoder, mientras que la geometría cruda de mu y la separación contenido--pose siguen sin validarse.</w:t>
      </w:r>
    </w:p>
    <w:p>
      <w:pPr>
        <w:pStyle w:val="Heading1"/>
        <w:keepNext/>
        <w:keepLines/>
      </w:pPr>
      <w:r>
        <w:t>13. Limitaciones</w:t>
      </w:r>
    </w:p>
    <w:p>
      <w:pPr>
        <w:pStyle w:val="ListBullet"/>
      </w:pPr>
      <w:r>
        <w:t>Una sola trayectoria de entrenamiento por VAE y una sola trayectoria de clasificador por presupuesto: los intervalos no incluyen variación entre semillas de entrenamiento.</w:t>
      </w:r>
    </w:p>
    <w:p>
      <w:pPr>
        <w:pStyle w:val="ListBullet"/>
      </w:pPr>
      <w:r>
        <w:t>El test WSI tiene 23 láminas; LGSC y MC solo aportan dos WSI cada una.</w:t>
      </w:r>
    </w:p>
    <w:p>
      <w:pPr>
        <w:pStyle w:val="ListBullet"/>
      </w:pPr>
      <w:r>
        <w:t>El test de tejido contiene 31.572 parches, pero su incertidumbre efectiva depende de 23 WSI y la necrosis aparece en solo cinco.</w:t>
      </w:r>
    </w:p>
    <w:p>
      <w:pPr>
        <w:pStyle w:val="ListBullet"/>
      </w:pPr>
      <w:r>
        <w:t>Los intervalos de tejido condicionan la inferencia a los estratos de soporte observados (2/16/5 WSI). Los cinco presupuestos comparten parches de test y datos de entrenamiento anidados, por lo que sus resultados están correlacionados.</w:t>
      </w:r>
    </w:p>
    <w:p>
      <w:pPr>
        <w:pStyle w:val="ListBullet"/>
      </w:pPr>
      <w:r>
        <w:t>Los intervalos inferenciales sellados remuestrean WSI y no cubren selección de parches, arquitectura ni nuevas semillas. En la geometría post-hoc, Spec 0050 remuestrea los 25 parches pareados; Spec 0051 resume primero las diferencias por sus 16 WSI de origen y remuestrea esas 16 WSI. Ambos intervalos son descriptivos y no poblacionales.</w:t>
      </w:r>
    </w:p>
    <w:p>
      <w:pPr>
        <w:pStyle w:val="ListBullet"/>
      </w:pPr>
      <w:r>
        <w:t>Las desviaciones estándar por parche son dispersión descriptiva, no error estándar ni intervalo de confianza.</w:t>
      </w:r>
    </w:p>
    <w:p>
      <w:pPr>
        <w:pStyle w:val="ListBullet"/>
      </w:pPr>
      <w:r>
        <w:t>SO(2) tiene aproximadamente 70,2% menos parámetros; simetría y capacidad no están aisladas como causas separadas.</w:t>
      </w:r>
    </w:p>
    <w:p>
      <w:pPr>
        <w:pStyle w:val="ListBullet"/>
      </w:pPr>
      <w:r>
        <w:t>La geometría rotacional es post-hoc y exploratoria sobre 25 parches fijos de validación. No incorpora test sellado, variación entre semillas ni incertidumbre de una población nueva.</w:t>
      </w:r>
    </w:p>
    <w:p>
      <w:pPr>
        <w:pStyle w:val="ListBullet"/>
      </w:pPr>
      <w:r>
        <w:t>La ventaja decodificada de Spec 0051 compara rutas dentro de cada modelo. Sus objetivos son transformaciones de la reconstrucción del propio modelo, no imágenes originales ni una nueva evaluación de fidelidad.</w:t>
      </w:r>
    </w:p>
    <w:p>
      <w:pPr>
        <w:pStyle w:val="ListBullet"/>
      </w:pPr>
      <w:r>
        <w:t>La acción casi exacta se verificó en rotaciones de cuarto de vuelta alineadas con la cuadrícula. Los ángulos intermedios requieren interpolación y no sostienen la misma afirmación de exactitud; tampoco se evaluaron rotaciones continuas fuera de la rejilla de 5 grados.</w:t>
      </w:r>
    </w:p>
    <w:p>
      <w:pPr>
        <w:pStyle w:val="ListBullet"/>
      </w:pPr>
      <w:r>
        <w:t>La interpolación bilineal impone parte de la regularidad de la trayectoria de entrada; las conclusiones dependen de controlar esa ruta y de la resolución angular. El efecto a 1 grado se invirtió a 5 grados.</w:t>
      </w:r>
    </w:p>
    <w:p>
      <w:r>
        <w:br w:type="page"/>
      </w:r>
    </w:p>
    <w:p>
      <w:pPr>
        <w:pStyle w:val="Heading2"/>
        <w:keepNext/>
        <w:keepLines/>
      </w:pPr>
      <w:r>
        <w:t>13. Limitaciones (continuación)</w:t>
      </w:r>
    </w:p>
    <w:p>
      <w:pPr>
        <w:pStyle w:val="ListBullet"/>
      </w:pPr>
      <w:r>
        <w:t>PC1--PC6 capturaron alrededor de 11% de la variación orbital. Los generadores de d=1,...,6 examinan sólo una fracción pequeña del posterior espacial y no excluyen acciones compartidas de mayor dimensión o no lineales.</w:t>
      </w:r>
    </w:p>
    <w:p>
      <w:pPr>
        <w:pStyle w:val="ListBullet"/>
      </w:pPr>
      <w:r>
        <w:t>La dimensión d=1 se eligió mediante una regla heurística de un error estándar leave-one-patch-out; los pliegues están correlacionados y la tolerancia no constituye incertidumbre poblacional.</w:t>
      </w:r>
    </w:p>
    <w:p>
      <w:pPr>
        <w:pStyle w:val="ListBullet"/>
      </w:pPr>
      <w:r>
        <w:t>El addendum de revisión conserva ocho resultados por parche para el probe angular de factorización; aun así, la acción aprendida es identidad y los prerrequisitos no degenerados fallan, por lo que el estado es no resuelto.</w:t>
      </w:r>
    </w:p>
    <w:p>
      <w:pPr>
        <w:pStyle w:val="ListBullet"/>
      </w:pPr>
      <w:r>
        <w:t>La evaluación WSI sellada no guardó compuertas por parche. Cualquier mapa espacial de lectura o atribución requiere una nueva inferencia instrumentada y una interpretación post-hoc separada.</w:t>
      </w:r>
    </w:p>
    <w:p>
      <w:r>
        <w:br w:type="page"/>
      </w:r>
    </w:p>
    <w:p>
      <w:pPr>
        <w:pStyle w:val="Heading1"/>
        <w:keepNext/>
        <w:keepLines/>
      </w:pPr>
      <w:r>
        <w:t>14. Conclusiones para la presentación</w:t>
      </w:r>
    </w:p>
    <w:p>
      <w:pPr>
        <w:pStyle w:val="ListBullet"/>
      </w:pPr>
      <w:r>
        <w:t>Los requerimientos de evaluación del profesor quedaron cubiertos para ambos modelos.</w:t>
      </w:r>
    </w:p>
    <w:p>
      <w:pPr>
        <w:pStyle w:val="ListBullet"/>
      </w:pPr>
      <w:r>
        <w:t>La reconstrucción sellada no demuestra una diferencia primaria; el modelo normal conserva una ligera ventaja descriptiva.</w:t>
      </w:r>
    </w:p>
    <w:p>
      <w:pPr>
        <w:pStyle w:val="ListBullet"/>
      </w:pPr>
      <w:r>
        <w:t>SO(2) ofrece compactación paramétrica fuerte y señales favorables en tareas posteriores, especialmente con 500 etiquetas por clase y en diagnóstico WSI, pero con incertidumbre y soporte limitado.</w:t>
      </w:r>
    </w:p>
    <w:p>
      <w:pPr>
        <w:pStyle w:val="ListBullet"/>
      </w:pPr>
      <w:r>
        <w:t>El barrido corregido retira la anterior conclusión 25/25 como evidencia general: la diferencia descriptiva a 1 grado no alcanzó el umbral fijado y se invirtió a 5 grados.</w:t>
      </w:r>
    </w:p>
    <w:p>
      <w:pPr>
        <w:pStyle w:val="ListBullet"/>
      </w:pPr>
      <w:r>
        <w:t>En las rutas decodificadas, SO(2) mostró una ventaja comparativa consistente para el barrido de 5 grados: menor error de acción y canonicalización en 25/25 parches. Sus medianas 0,550 y 0,513 no cumplieron el criterio funcional absoluto &lt;=0,50, que es distinto de la comparación entre modelos.</w:t>
      </w:r>
    </w:p>
    <w:p>
      <w:pPr>
        <w:pStyle w:val="ListBullet"/>
      </w:pPr>
      <w:r>
        <w:t>Para R90, R180 y R270 exactas se verificó empíricamente una acción espacial C4 compartida del decoder del checkpoint SO(2), con razón de acción agregada 0,00000218. El resultado no se extiende automáticamente a SO(2) continuo, al encoder ni al grupo D4 completo.</w:t>
      </w:r>
    </w:p>
    <w:p>
      <w:pPr>
        <w:pStyle w:val="ListBullet"/>
      </w:pPr>
      <w:r>
        <w:t>No se demostró una acción rotacional reducida aprendida; la factorización local contenido--pose queda no resuelta y no se respalda una interpretación de producto global, fibrado o gauge con esta muestra.</w:t>
      </w:r>
    </w:p>
    <w:p>
      <w:pPr>
        <w:pStyle w:val="ListBullet"/>
      </w:pPr>
      <w:r>
        <w:t>La contribución del experimento es mostrar dónde el checkpoint SO(2) presentó señales favorables, dónde no y dónde aparece una posible compensación descriptiva con la fidelidad de reconstrucción, sin atribución causal a un único componente arquitectónico.</w:t>
      </w:r>
    </w:p>
    <w:p>
      <w:r>
        <w:br w:type="page"/>
      </w:r>
    </w:p>
    <w:p>
      <w:pPr>
        <w:pStyle w:val="Heading1"/>
        <w:keepNext/>
        <w:keepLines/>
      </w:pPr>
      <w:r>
        <w:t>Anexo A. Cobertura de lo solicitado por el profesor</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671"/>
            <w:shd w:fill="1F2933"/>
            <w:tcBorders>
              <w:top w:val="single" w:sz="6" w:color="CDD4DC"/>
              <w:left w:val="single" w:sz="6" w:color="CDD4DC"/>
              <w:bottom w:val="single" w:sz="6" w:color="CDD4DC"/>
              <w:right w:val="single" w:sz="6" w:color="CDD4DC"/>
              <w:insideH w:val="single" w:sz="6" w:color="CDD4DC"/>
              <w:insideV w:val="single" w:sz="6" w:color="CDD4DC"/>
            </w:tcBorders>
            <w:tcMar>
              <w:top w:w="45" w:type="dxa"/>
              <w:start w:w="90" w:type="dxa"/>
              <w:bottom w:w="45" w:type="dxa"/>
              <w:end w:w="90" w:type="dxa"/>
            </w:tcMar>
          </w:tcPr>
          <w:p>
            <w:pPr>
              <w:jc w:val="center"/>
            </w:pPr>
            <w:r>
              <w:rPr>
                <w:b/>
                <w:color w:val="FFFFFF"/>
                <w:sz w:val="16"/>
              </w:rPr>
              <w:t>Solicitud</w:t>
            </w:r>
          </w:p>
        </w:tc>
        <w:tc>
          <w:tcPr>
            <w:tcW w:type="dxa" w:w="4536"/>
            <w:shd w:fill="1F2933"/>
            <w:tcBorders>
              <w:top w:val="single" w:sz="6" w:color="CDD4DC"/>
              <w:left w:val="single" w:sz="6" w:color="CDD4DC"/>
              <w:bottom w:val="single" w:sz="6" w:color="CDD4DC"/>
              <w:right w:val="single" w:sz="6" w:color="CDD4DC"/>
              <w:insideH w:val="single" w:sz="6" w:color="CDD4DC"/>
              <w:insideV w:val="single" w:sz="6" w:color="CDD4DC"/>
            </w:tcBorders>
            <w:tcMar>
              <w:top w:w="45" w:type="dxa"/>
              <w:start w:w="90" w:type="dxa"/>
              <w:bottom w:w="45" w:type="dxa"/>
              <w:end w:w="90" w:type="dxa"/>
            </w:tcMar>
          </w:tcPr>
          <w:p>
            <w:pPr>
              <w:jc w:val="center"/>
            </w:pPr>
            <w:r>
              <w:rPr>
                <w:b/>
                <w:color w:val="FFFFFF"/>
                <w:sz w:val="16"/>
              </w:rPr>
              <w:t>Dónde se presenta</w:t>
            </w:r>
          </w:p>
        </w:tc>
        <w:tc>
          <w:tcPr>
            <w:tcW w:type="dxa" w:w="1440"/>
            <w:shd w:fill="1F2933"/>
            <w:tcBorders>
              <w:top w:val="single" w:sz="6" w:color="CDD4DC"/>
              <w:left w:val="single" w:sz="6" w:color="CDD4DC"/>
              <w:bottom w:val="single" w:sz="6" w:color="CDD4DC"/>
              <w:right w:val="single" w:sz="6" w:color="CDD4DC"/>
              <w:insideH w:val="single" w:sz="6" w:color="CDD4DC"/>
              <w:insideV w:val="single" w:sz="6" w:color="CDD4DC"/>
            </w:tcBorders>
            <w:tcMar>
              <w:top w:w="45" w:type="dxa"/>
              <w:start w:w="90" w:type="dxa"/>
              <w:bottom w:w="45" w:type="dxa"/>
              <w:end w:w="90" w:type="dxa"/>
            </w:tcMar>
          </w:tcPr>
          <w:p>
            <w:pPr>
              <w:jc w:val="center"/>
            </w:pPr>
            <w:r>
              <w:rPr>
                <w:b/>
                <w:color w:val="FFFFFF"/>
                <w:sz w:val="16"/>
              </w:rPr>
              <w:t>Estado</w:t>
            </w:r>
          </w:p>
        </w:tc>
      </w:tr>
      <w:tr>
        <w:trPr>
          <w:cantSplit/>
        </w:trPr>
        <w:tc>
          <w:tcPr>
            <w:tcW w:type="dxa" w:w="3671"/>
            <w:vAlign w:val="center"/>
            <w:tcBorders>
              <w:top w:val="single" w:sz="6" w:color="CDD4DC"/>
              <w:left w:val="single" w:sz="6" w:color="CDD4DC"/>
              <w:bottom w:val="single" w:sz="6" w:color="CDD4DC"/>
              <w:right w:val="single" w:sz="6" w:color="CDD4DC"/>
              <w:insideH w:val="single" w:sz="6" w:color="CDD4DC"/>
              <w:insideV w:val="single" w:sz="6" w:color="CDD4DC"/>
            </w:tcBorders>
            <w:tcMar>
              <w:top w:w="45" w:type="dxa"/>
              <w:start w:w="90" w:type="dxa"/>
              <w:bottom w:w="45" w:type="dxa"/>
              <w:end w:w="90" w:type="dxa"/>
            </w:tcMar>
          </w:tcPr>
          <w:p>
            <w:pPr>
              <w:spacing w:after="0"/>
              <w:jc w:val="left"/>
            </w:pPr>
            <w:r>
              <w:rPr>
                <w:sz w:val="16"/>
              </w:rPr>
              <w:t>Gráficas de resultados de la línea base</w:t>
            </w:r>
          </w:p>
        </w:tc>
        <w:tc>
          <w:tcPr>
            <w:tcW w:type="dxa" w:w="4536"/>
            <w:vAlign w:val="center"/>
            <w:tcBorders>
              <w:top w:val="single" w:sz="6" w:color="CDD4DC"/>
              <w:left w:val="single" w:sz="6" w:color="CDD4DC"/>
              <w:bottom w:val="single" w:sz="6" w:color="CDD4DC"/>
              <w:right w:val="single" w:sz="6" w:color="CDD4DC"/>
              <w:insideH w:val="single" w:sz="6" w:color="CDD4DC"/>
              <w:insideV w:val="single" w:sz="6" w:color="CDD4DC"/>
            </w:tcBorders>
            <w:tcMar>
              <w:top w:w="45" w:type="dxa"/>
              <w:start w:w="90" w:type="dxa"/>
              <w:bottom w:w="45" w:type="dxa"/>
              <w:end w:w="90" w:type="dxa"/>
            </w:tcMar>
          </w:tcPr>
          <w:p>
            <w:pPr>
              <w:spacing w:after="0"/>
              <w:jc w:val="center"/>
            </w:pPr>
            <w:r>
              <w:rPr>
                <w:sz w:val="16"/>
              </w:rPr>
              <w:t>Figuras 1-5</w:t>
            </w:r>
          </w:p>
        </w:tc>
        <w:tc>
          <w:tcPr>
            <w:tcW w:type="dxa" w:w="1440"/>
            <w:vAlign w:val="center"/>
            <w:tcBorders>
              <w:top w:val="single" w:sz="6" w:color="CDD4DC"/>
              <w:left w:val="single" w:sz="6" w:color="CDD4DC"/>
              <w:bottom w:val="single" w:sz="6" w:color="CDD4DC"/>
              <w:right w:val="single" w:sz="6" w:color="CDD4DC"/>
              <w:insideH w:val="single" w:sz="6" w:color="CDD4DC"/>
              <w:insideV w:val="single" w:sz="6" w:color="CDD4DC"/>
            </w:tcBorders>
            <w:tcMar>
              <w:top w:w="45" w:type="dxa"/>
              <w:start w:w="90" w:type="dxa"/>
              <w:bottom w:w="45" w:type="dxa"/>
              <w:end w:w="90" w:type="dxa"/>
            </w:tcMar>
          </w:tcPr>
          <w:p>
            <w:pPr>
              <w:spacing w:after="0"/>
              <w:jc w:val="center"/>
            </w:pPr>
            <w:r>
              <w:rPr>
                <w:sz w:val="16"/>
              </w:rPr>
              <w:t>Completo</w:t>
            </w:r>
          </w:p>
        </w:tc>
      </w:tr>
      <w:tr>
        <w:trPr>
          <w:cantSplit/>
        </w:trPr>
        <w:tc>
          <w:tcPr>
            <w:tcW w:type="dxa" w:w="3671"/>
            <w:vAlign w:val="center"/>
            <w:tcBorders>
              <w:top w:val="single" w:sz="6" w:color="CDD4DC"/>
              <w:left w:val="single" w:sz="6" w:color="CDD4DC"/>
              <w:bottom w:val="single" w:sz="6" w:color="CDD4DC"/>
              <w:right w:val="single" w:sz="6" w:color="CDD4DC"/>
              <w:insideH w:val="single" w:sz="6" w:color="CDD4DC"/>
              <w:insideV w:val="single" w:sz="6" w:color="CDD4DC"/>
            </w:tcBorders>
            <w:tcMar>
              <w:top w:w="45" w:type="dxa"/>
              <w:start w:w="90" w:type="dxa"/>
              <w:bottom w:w="45" w:type="dxa"/>
              <w:end w:w="90" w:type="dxa"/>
            </w:tcMar>
            <w:shd w:fill="F5F7F9"/>
          </w:tcPr>
          <w:p>
            <w:pPr>
              <w:spacing w:after="0"/>
              <w:jc w:val="left"/>
            </w:pPr>
            <w:r>
              <w:rPr>
                <w:sz w:val="16"/>
              </w:rPr>
              <w:t>MAE, MSE, PSNR, SSIM</w:t>
            </w:r>
          </w:p>
        </w:tc>
        <w:tc>
          <w:tcPr>
            <w:tcW w:type="dxa" w:w="4536"/>
            <w:vAlign w:val="center"/>
            <w:tcBorders>
              <w:top w:val="single" w:sz="6" w:color="CDD4DC"/>
              <w:left w:val="single" w:sz="6" w:color="CDD4DC"/>
              <w:bottom w:val="single" w:sz="6" w:color="CDD4DC"/>
              <w:right w:val="single" w:sz="6" w:color="CDD4DC"/>
              <w:insideH w:val="single" w:sz="6" w:color="CDD4DC"/>
              <w:insideV w:val="single" w:sz="6" w:color="CDD4DC"/>
            </w:tcBorders>
            <w:tcMar>
              <w:top w:w="45" w:type="dxa"/>
              <w:start w:w="90" w:type="dxa"/>
              <w:bottom w:w="45" w:type="dxa"/>
              <w:end w:w="90" w:type="dxa"/>
            </w:tcMar>
            <w:shd w:fill="F5F7F9"/>
          </w:tcPr>
          <w:p>
            <w:pPr>
              <w:spacing w:after="0"/>
              <w:jc w:val="center"/>
            </w:pPr>
            <w:r>
              <w:rPr>
                <w:sz w:val="16"/>
              </w:rPr>
              <w:t>Secciones 4 y 6</w:t>
            </w:r>
          </w:p>
        </w:tc>
        <w:tc>
          <w:tcPr>
            <w:tcW w:type="dxa" w:w="1440"/>
            <w:vAlign w:val="center"/>
            <w:tcBorders>
              <w:top w:val="single" w:sz="6" w:color="CDD4DC"/>
              <w:left w:val="single" w:sz="6" w:color="CDD4DC"/>
              <w:bottom w:val="single" w:sz="6" w:color="CDD4DC"/>
              <w:right w:val="single" w:sz="6" w:color="CDD4DC"/>
              <w:insideH w:val="single" w:sz="6" w:color="CDD4DC"/>
              <w:insideV w:val="single" w:sz="6" w:color="CDD4DC"/>
            </w:tcBorders>
            <w:tcMar>
              <w:top w:w="45" w:type="dxa"/>
              <w:start w:w="90" w:type="dxa"/>
              <w:bottom w:w="45" w:type="dxa"/>
              <w:end w:w="90" w:type="dxa"/>
            </w:tcMar>
            <w:shd w:fill="F5F7F9"/>
          </w:tcPr>
          <w:p>
            <w:pPr>
              <w:spacing w:after="0"/>
              <w:jc w:val="center"/>
            </w:pPr>
            <w:r>
              <w:rPr>
                <w:sz w:val="16"/>
              </w:rPr>
              <w:t>Completo</w:t>
            </w:r>
          </w:p>
        </w:tc>
      </w:tr>
      <w:tr>
        <w:trPr>
          <w:cantSplit/>
        </w:trPr>
        <w:tc>
          <w:tcPr>
            <w:tcW w:type="dxa" w:w="3671"/>
            <w:vAlign w:val="center"/>
            <w:tcBorders>
              <w:top w:val="single" w:sz="6" w:color="CDD4DC"/>
              <w:left w:val="single" w:sz="6" w:color="CDD4DC"/>
              <w:bottom w:val="single" w:sz="6" w:color="CDD4DC"/>
              <w:right w:val="single" w:sz="6" w:color="CDD4DC"/>
              <w:insideH w:val="single" w:sz="6" w:color="CDD4DC"/>
              <w:insideV w:val="single" w:sz="6" w:color="CDD4DC"/>
            </w:tcBorders>
            <w:tcMar>
              <w:top w:w="45" w:type="dxa"/>
              <w:start w:w="90" w:type="dxa"/>
              <w:bottom w:w="45" w:type="dxa"/>
              <w:end w:w="90" w:type="dxa"/>
            </w:tcMar>
          </w:tcPr>
          <w:p>
            <w:pPr>
              <w:spacing w:after="0"/>
              <w:jc w:val="left"/>
            </w:pPr>
            <w:r>
              <w:rPr>
                <w:sz w:val="16"/>
              </w:rPr>
              <w:t>Desviación estándar, n y boxplots</w:t>
            </w:r>
          </w:p>
        </w:tc>
        <w:tc>
          <w:tcPr>
            <w:tcW w:type="dxa" w:w="4536"/>
            <w:vAlign w:val="center"/>
            <w:tcBorders>
              <w:top w:val="single" w:sz="6" w:color="CDD4DC"/>
              <w:left w:val="single" w:sz="6" w:color="CDD4DC"/>
              <w:bottom w:val="single" w:sz="6" w:color="CDD4DC"/>
              <w:right w:val="single" w:sz="6" w:color="CDD4DC"/>
              <w:insideH w:val="single" w:sz="6" w:color="CDD4DC"/>
              <w:insideV w:val="single" w:sz="6" w:color="CDD4DC"/>
            </w:tcBorders>
            <w:tcMar>
              <w:top w:w="45" w:type="dxa"/>
              <w:start w:w="90" w:type="dxa"/>
              <w:bottom w:w="45" w:type="dxa"/>
              <w:end w:w="90" w:type="dxa"/>
            </w:tcMar>
          </w:tcPr>
          <w:p>
            <w:pPr>
              <w:spacing w:after="0"/>
              <w:jc w:val="center"/>
            </w:pPr>
            <w:r>
              <w:rPr>
                <w:sz w:val="16"/>
              </w:rPr>
              <w:t>Tablas y Figuras 2 y 4</w:t>
            </w:r>
          </w:p>
        </w:tc>
        <w:tc>
          <w:tcPr>
            <w:tcW w:type="dxa" w:w="1440"/>
            <w:vAlign w:val="center"/>
            <w:tcBorders>
              <w:top w:val="single" w:sz="6" w:color="CDD4DC"/>
              <w:left w:val="single" w:sz="6" w:color="CDD4DC"/>
              <w:bottom w:val="single" w:sz="6" w:color="CDD4DC"/>
              <w:right w:val="single" w:sz="6" w:color="CDD4DC"/>
              <w:insideH w:val="single" w:sz="6" w:color="CDD4DC"/>
              <w:insideV w:val="single" w:sz="6" w:color="CDD4DC"/>
            </w:tcBorders>
            <w:tcMar>
              <w:top w:w="45" w:type="dxa"/>
              <w:start w:w="90" w:type="dxa"/>
              <w:bottom w:w="45" w:type="dxa"/>
              <w:end w:w="90" w:type="dxa"/>
            </w:tcMar>
          </w:tcPr>
          <w:p>
            <w:pPr>
              <w:spacing w:after="0"/>
              <w:jc w:val="center"/>
            </w:pPr>
            <w:r>
              <w:rPr>
                <w:sz w:val="16"/>
              </w:rPr>
              <w:t>Completo</w:t>
            </w:r>
          </w:p>
        </w:tc>
      </w:tr>
      <w:tr>
        <w:trPr>
          <w:cantSplit/>
        </w:trPr>
        <w:tc>
          <w:tcPr>
            <w:tcW w:type="dxa" w:w="3671"/>
            <w:vAlign w:val="center"/>
            <w:tcBorders>
              <w:top w:val="single" w:sz="6" w:color="CDD4DC"/>
              <w:left w:val="single" w:sz="6" w:color="CDD4DC"/>
              <w:bottom w:val="single" w:sz="6" w:color="CDD4DC"/>
              <w:right w:val="single" w:sz="6" w:color="CDD4DC"/>
              <w:insideH w:val="single" w:sz="6" w:color="CDD4DC"/>
              <w:insideV w:val="single" w:sz="6" w:color="CDD4DC"/>
            </w:tcBorders>
            <w:tcMar>
              <w:top w:w="45" w:type="dxa"/>
              <w:start w:w="90" w:type="dxa"/>
              <w:bottom w:w="45" w:type="dxa"/>
              <w:end w:w="90" w:type="dxa"/>
            </w:tcMar>
            <w:shd w:fill="F5F7F9"/>
          </w:tcPr>
          <w:p>
            <w:pPr>
              <w:spacing w:after="0"/>
              <w:jc w:val="left"/>
            </w:pPr>
            <w:r>
              <w:rPr>
                <w:sz w:val="16"/>
              </w:rPr>
              <w:t>25 originales y reconstrucciones</w:t>
            </w:r>
          </w:p>
        </w:tc>
        <w:tc>
          <w:tcPr>
            <w:tcW w:type="dxa" w:w="4536"/>
            <w:vAlign w:val="center"/>
            <w:tcBorders>
              <w:top w:val="single" w:sz="6" w:color="CDD4DC"/>
              <w:left w:val="single" w:sz="6" w:color="CDD4DC"/>
              <w:bottom w:val="single" w:sz="6" w:color="CDD4DC"/>
              <w:right w:val="single" w:sz="6" w:color="CDD4DC"/>
              <w:insideH w:val="single" w:sz="6" w:color="CDD4DC"/>
              <w:insideV w:val="single" w:sz="6" w:color="CDD4DC"/>
            </w:tcBorders>
            <w:tcMar>
              <w:top w:w="45" w:type="dxa"/>
              <w:start w:w="90" w:type="dxa"/>
              <w:bottom w:w="45" w:type="dxa"/>
              <w:end w:w="90" w:type="dxa"/>
            </w:tcMar>
            <w:shd w:fill="F5F7F9"/>
          </w:tcPr>
          <w:p>
            <w:pPr>
              <w:spacing w:after="0"/>
              <w:jc w:val="center"/>
            </w:pPr>
            <w:r>
              <w:rPr>
                <w:sz w:val="16"/>
              </w:rPr>
              <w:t>Figura 3</w:t>
            </w:r>
          </w:p>
        </w:tc>
        <w:tc>
          <w:tcPr>
            <w:tcW w:type="dxa" w:w="1440"/>
            <w:vAlign w:val="center"/>
            <w:tcBorders>
              <w:top w:val="single" w:sz="6" w:color="CDD4DC"/>
              <w:left w:val="single" w:sz="6" w:color="CDD4DC"/>
              <w:bottom w:val="single" w:sz="6" w:color="CDD4DC"/>
              <w:right w:val="single" w:sz="6" w:color="CDD4DC"/>
              <w:insideH w:val="single" w:sz="6" w:color="CDD4DC"/>
              <w:insideV w:val="single" w:sz="6" w:color="CDD4DC"/>
            </w:tcBorders>
            <w:tcMar>
              <w:top w:w="45" w:type="dxa"/>
              <w:start w:w="90" w:type="dxa"/>
              <w:bottom w:w="45" w:type="dxa"/>
              <w:end w:w="90" w:type="dxa"/>
            </w:tcMar>
            <w:shd w:fill="F5F7F9"/>
          </w:tcPr>
          <w:p>
            <w:pPr>
              <w:spacing w:after="0"/>
              <w:jc w:val="center"/>
            </w:pPr>
            <w:r>
              <w:rPr>
                <w:sz w:val="16"/>
              </w:rPr>
              <w:t>Completo</w:t>
            </w:r>
          </w:p>
        </w:tc>
      </w:tr>
      <w:tr>
        <w:trPr>
          <w:cantSplit/>
        </w:trPr>
        <w:tc>
          <w:tcPr>
            <w:tcW w:type="dxa" w:w="3671"/>
            <w:vAlign w:val="center"/>
            <w:tcBorders>
              <w:top w:val="single" w:sz="6" w:color="CDD4DC"/>
              <w:left w:val="single" w:sz="6" w:color="CDD4DC"/>
              <w:bottom w:val="single" w:sz="6" w:color="CDD4DC"/>
              <w:right w:val="single" w:sz="6" w:color="CDD4DC"/>
              <w:insideH w:val="single" w:sz="6" w:color="CDD4DC"/>
              <w:insideV w:val="single" w:sz="6" w:color="CDD4DC"/>
            </w:tcBorders>
            <w:tcMar>
              <w:top w:w="45" w:type="dxa"/>
              <w:start w:w="90" w:type="dxa"/>
              <w:bottom w:w="45" w:type="dxa"/>
              <w:end w:w="90" w:type="dxa"/>
            </w:tcMar>
          </w:tcPr>
          <w:p>
            <w:pPr>
              <w:spacing w:after="0"/>
              <w:jc w:val="left"/>
            </w:pPr>
            <w:r>
              <w:rPr>
                <w:sz w:val="16"/>
              </w:rPr>
              <w:t>Rotaciones 90/180/270</w:t>
            </w:r>
          </w:p>
        </w:tc>
        <w:tc>
          <w:tcPr>
            <w:tcW w:type="dxa" w:w="4536"/>
            <w:vAlign w:val="center"/>
            <w:tcBorders>
              <w:top w:val="single" w:sz="6" w:color="CDD4DC"/>
              <w:left w:val="single" w:sz="6" w:color="CDD4DC"/>
              <w:bottom w:val="single" w:sz="6" w:color="CDD4DC"/>
              <w:right w:val="single" w:sz="6" w:color="CDD4DC"/>
              <w:insideH w:val="single" w:sz="6" w:color="CDD4DC"/>
              <w:insideV w:val="single" w:sz="6" w:color="CDD4DC"/>
            </w:tcBorders>
            <w:tcMar>
              <w:top w:w="45" w:type="dxa"/>
              <w:start w:w="90" w:type="dxa"/>
              <w:bottom w:w="45" w:type="dxa"/>
              <w:end w:w="90" w:type="dxa"/>
            </w:tcMar>
          </w:tcPr>
          <w:p>
            <w:pPr>
              <w:spacing w:after="0"/>
              <w:jc w:val="center"/>
            </w:pPr>
            <w:r>
              <w:rPr>
                <w:sz w:val="16"/>
              </w:rPr>
              <w:t>Figura 6</w:t>
            </w:r>
          </w:p>
        </w:tc>
        <w:tc>
          <w:tcPr>
            <w:tcW w:type="dxa" w:w="1440"/>
            <w:vAlign w:val="center"/>
            <w:tcBorders>
              <w:top w:val="single" w:sz="6" w:color="CDD4DC"/>
              <w:left w:val="single" w:sz="6" w:color="CDD4DC"/>
              <w:bottom w:val="single" w:sz="6" w:color="CDD4DC"/>
              <w:right w:val="single" w:sz="6" w:color="CDD4DC"/>
              <w:insideH w:val="single" w:sz="6" w:color="CDD4DC"/>
              <w:insideV w:val="single" w:sz="6" w:color="CDD4DC"/>
            </w:tcBorders>
            <w:tcMar>
              <w:top w:w="45" w:type="dxa"/>
              <w:start w:w="90" w:type="dxa"/>
              <w:bottom w:w="45" w:type="dxa"/>
              <w:end w:w="90" w:type="dxa"/>
            </w:tcMar>
          </w:tcPr>
          <w:p>
            <w:pPr>
              <w:spacing w:after="0"/>
              <w:jc w:val="center"/>
            </w:pPr>
            <w:r>
              <w:rPr>
                <w:sz w:val="16"/>
              </w:rPr>
              <w:t>Completo</w:t>
            </w:r>
          </w:p>
        </w:tc>
      </w:tr>
      <w:tr>
        <w:trPr>
          <w:cantSplit/>
        </w:trPr>
        <w:tc>
          <w:tcPr>
            <w:tcW w:type="dxa" w:w="3671"/>
            <w:vAlign w:val="center"/>
            <w:tcBorders>
              <w:top w:val="single" w:sz="6" w:color="CDD4DC"/>
              <w:left w:val="single" w:sz="6" w:color="CDD4DC"/>
              <w:bottom w:val="single" w:sz="6" w:color="CDD4DC"/>
              <w:right w:val="single" w:sz="6" w:color="CDD4DC"/>
              <w:insideH w:val="single" w:sz="6" w:color="CDD4DC"/>
              <w:insideV w:val="single" w:sz="6" w:color="CDD4DC"/>
            </w:tcBorders>
            <w:tcMar>
              <w:top w:w="45" w:type="dxa"/>
              <w:start w:w="90" w:type="dxa"/>
              <w:bottom w:w="45" w:type="dxa"/>
              <w:end w:w="90" w:type="dxa"/>
            </w:tcMar>
            <w:shd w:fill="F5F7F9"/>
          </w:tcPr>
          <w:p>
            <w:pPr>
              <w:spacing w:after="0"/>
              <w:jc w:val="left"/>
            </w:pPr>
            <w:r>
              <w:rPr>
                <w:sz w:val="16"/>
              </w:rPr>
              <w:t>Órbita latente 0--359 y geometría local</w:t>
            </w:r>
          </w:p>
        </w:tc>
        <w:tc>
          <w:tcPr>
            <w:tcW w:type="dxa" w:w="4536"/>
            <w:vAlign w:val="center"/>
            <w:tcBorders>
              <w:top w:val="single" w:sz="6" w:color="CDD4DC"/>
              <w:left w:val="single" w:sz="6" w:color="CDD4DC"/>
              <w:bottom w:val="single" w:sz="6" w:color="CDD4DC"/>
              <w:right w:val="single" w:sz="6" w:color="CDD4DC"/>
              <w:insideH w:val="single" w:sz="6" w:color="CDD4DC"/>
              <w:insideV w:val="single" w:sz="6" w:color="CDD4DC"/>
            </w:tcBorders>
            <w:tcMar>
              <w:top w:w="45" w:type="dxa"/>
              <w:start w:w="90" w:type="dxa"/>
              <w:bottom w:w="45" w:type="dxa"/>
              <w:end w:w="90" w:type="dxa"/>
            </w:tcMar>
            <w:shd w:fill="F5F7F9"/>
          </w:tcPr>
          <w:p>
            <w:pPr>
              <w:spacing w:after="0"/>
              <w:jc w:val="center"/>
            </w:pPr>
            <w:r>
              <w:rPr>
                <w:sz w:val="16"/>
              </w:rPr>
              <w:t>Figura 7</w:t>
            </w:r>
          </w:p>
        </w:tc>
        <w:tc>
          <w:tcPr>
            <w:tcW w:type="dxa" w:w="1440"/>
            <w:vAlign w:val="center"/>
            <w:tcBorders>
              <w:top w:val="single" w:sz="6" w:color="CDD4DC"/>
              <w:left w:val="single" w:sz="6" w:color="CDD4DC"/>
              <w:bottom w:val="single" w:sz="6" w:color="CDD4DC"/>
              <w:right w:val="single" w:sz="6" w:color="CDD4DC"/>
              <w:insideH w:val="single" w:sz="6" w:color="CDD4DC"/>
              <w:insideV w:val="single" w:sz="6" w:color="CDD4DC"/>
            </w:tcBorders>
            <w:tcMar>
              <w:top w:w="45" w:type="dxa"/>
              <w:start w:w="90" w:type="dxa"/>
              <w:bottom w:w="45" w:type="dxa"/>
              <w:end w:w="90" w:type="dxa"/>
            </w:tcMar>
            <w:shd w:fill="F5F7F9"/>
          </w:tcPr>
          <w:p>
            <w:pPr>
              <w:spacing w:after="0"/>
              <w:jc w:val="center"/>
            </w:pPr>
            <w:r>
              <w:rPr>
                <w:sz w:val="16"/>
              </w:rPr>
              <w:t>Corregido; evidencia previa supersedida</w:t>
            </w:r>
          </w:p>
        </w:tc>
      </w:tr>
      <w:tr>
        <w:trPr>
          <w:cantSplit/>
        </w:trPr>
        <w:tc>
          <w:tcPr>
            <w:tcW w:type="dxa" w:w="3671"/>
            <w:vAlign w:val="center"/>
            <w:tcBorders>
              <w:top w:val="single" w:sz="6" w:color="CDD4DC"/>
              <w:left w:val="single" w:sz="6" w:color="CDD4DC"/>
              <w:bottom w:val="single" w:sz="6" w:color="CDD4DC"/>
              <w:right w:val="single" w:sz="6" w:color="CDD4DC"/>
              <w:insideH w:val="single" w:sz="6" w:color="CDD4DC"/>
              <w:insideV w:val="single" w:sz="6" w:color="CDD4DC"/>
            </w:tcBorders>
            <w:tcMar>
              <w:top w:w="45" w:type="dxa"/>
              <w:start w:w="90" w:type="dxa"/>
              <w:bottom w:w="45" w:type="dxa"/>
              <w:end w:w="90" w:type="dxa"/>
            </w:tcMar>
          </w:tcPr>
          <w:p>
            <w:pPr>
              <w:spacing w:after="0"/>
              <w:jc w:val="left"/>
            </w:pPr>
            <w:r>
              <w:rPr>
                <w:sz w:val="16"/>
              </w:rPr>
              <w:t>Órbitas de los 25 parches cada 1 grado</w:t>
            </w:r>
          </w:p>
        </w:tc>
        <w:tc>
          <w:tcPr>
            <w:tcW w:type="dxa" w:w="4536"/>
            <w:vAlign w:val="center"/>
            <w:tcBorders>
              <w:top w:val="single" w:sz="6" w:color="CDD4DC"/>
              <w:left w:val="single" w:sz="6" w:color="CDD4DC"/>
              <w:bottom w:val="single" w:sz="6" w:color="CDD4DC"/>
              <w:right w:val="single" w:sz="6" w:color="CDD4DC"/>
              <w:insideH w:val="single" w:sz="6" w:color="CDD4DC"/>
              <w:insideV w:val="single" w:sz="6" w:color="CDD4DC"/>
            </w:tcBorders>
            <w:tcMar>
              <w:top w:w="45" w:type="dxa"/>
              <w:start w:w="90" w:type="dxa"/>
              <w:bottom w:w="45" w:type="dxa"/>
              <w:end w:w="90" w:type="dxa"/>
            </w:tcMar>
          </w:tcPr>
          <w:p>
            <w:pPr>
              <w:spacing w:after="0"/>
              <w:jc w:val="center"/>
            </w:pPr>
            <w:r>
              <w:rPr>
                <w:sz w:val="16"/>
              </w:rPr>
              <w:t>Figuras 8a--8c</w:t>
            </w:r>
          </w:p>
        </w:tc>
        <w:tc>
          <w:tcPr>
            <w:tcW w:type="dxa" w:w="1440"/>
            <w:vAlign w:val="center"/>
            <w:tcBorders>
              <w:top w:val="single" w:sz="6" w:color="CDD4DC"/>
              <w:left w:val="single" w:sz="6" w:color="CDD4DC"/>
              <w:bottom w:val="single" w:sz="6" w:color="CDD4DC"/>
              <w:right w:val="single" w:sz="6" w:color="CDD4DC"/>
              <w:insideH w:val="single" w:sz="6" w:color="CDD4DC"/>
              <w:insideV w:val="single" w:sz="6" w:color="CDD4DC"/>
            </w:tcBorders>
            <w:tcMar>
              <w:top w:w="45" w:type="dxa"/>
              <w:start w:w="90" w:type="dxa"/>
              <w:bottom w:w="45" w:type="dxa"/>
              <w:end w:w="90" w:type="dxa"/>
            </w:tcMar>
          </w:tcPr>
          <w:p>
            <w:pPr>
              <w:spacing w:after="0"/>
              <w:jc w:val="center"/>
            </w:pPr>
            <w:r>
              <w:rPr>
                <w:sz w:val="16"/>
              </w:rPr>
              <w:t>Corregido con controles de entrada</w:t>
            </w:r>
          </w:p>
        </w:tc>
      </w:tr>
      <w:tr>
        <w:trPr>
          <w:cantSplit/>
        </w:trPr>
        <w:tc>
          <w:tcPr>
            <w:tcW w:type="dxa" w:w="3671"/>
            <w:vAlign w:val="center"/>
            <w:tcBorders>
              <w:top w:val="single" w:sz="6" w:color="CDD4DC"/>
              <w:left w:val="single" w:sz="6" w:color="CDD4DC"/>
              <w:bottom w:val="single" w:sz="6" w:color="CDD4DC"/>
              <w:right w:val="single" w:sz="6" w:color="CDD4DC"/>
              <w:insideH w:val="single" w:sz="6" w:color="CDD4DC"/>
              <w:insideV w:val="single" w:sz="6" w:color="CDD4DC"/>
            </w:tcBorders>
            <w:tcMar>
              <w:top w:w="45" w:type="dxa"/>
              <w:start w:w="90" w:type="dxa"/>
              <w:bottom w:w="45" w:type="dxa"/>
              <w:end w:w="90" w:type="dxa"/>
            </w:tcMar>
            <w:shd w:fill="F5F7F9"/>
          </w:tcPr>
          <w:p>
            <w:pPr>
              <w:spacing w:after="0"/>
              <w:jc w:val="left"/>
            </w:pPr>
            <w:r>
              <w:rPr>
                <w:sz w:val="16"/>
              </w:rPr>
              <w:t>Armónicos y 48 campos F1</w:t>
            </w:r>
          </w:p>
        </w:tc>
        <w:tc>
          <w:tcPr>
            <w:tcW w:type="dxa" w:w="4536"/>
            <w:vAlign w:val="center"/>
            <w:tcBorders>
              <w:top w:val="single" w:sz="6" w:color="CDD4DC"/>
              <w:left w:val="single" w:sz="6" w:color="CDD4DC"/>
              <w:bottom w:val="single" w:sz="6" w:color="CDD4DC"/>
              <w:right w:val="single" w:sz="6" w:color="CDD4DC"/>
              <w:insideH w:val="single" w:sz="6" w:color="CDD4DC"/>
              <w:insideV w:val="single" w:sz="6" w:color="CDD4DC"/>
            </w:tcBorders>
            <w:tcMar>
              <w:top w:w="45" w:type="dxa"/>
              <w:start w:w="90" w:type="dxa"/>
              <w:bottom w:w="45" w:type="dxa"/>
              <w:end w:w="90" w:type="dxa"/>
            </w:tcMar>
            <w:shd w:fill="F5F7F9"/>
          </w:tcPr>
          <w:p>
            <w:pPr>
              <w:spacing w:after="0"/>
              <w:jc w:val="center"/>
            </w:pPr>
            <w:r>
              <w:rPr>
                <w:sz w:val="16"/>
              </w:rPr>
              <w:t>Figuras 8d y 8e</w:t>
            </w:r>
          </w:p>
        </w:tc>
        <w:tc>
          <w:tcPr>
            <w:tcW w:type="dxa" w:w="1440"/>
            <w:vAlign w:val="center"/>
            <w:tcBorders>
              <w:top w:val="single" w:sz="6" w:color="CDD4DC"/>
              <w:left w:val="single" w:sz="6" w:color="CDD4DC"/>
              <w:bottom w:val="single" w:sz="6" w:color="CDD4DC"/>
              <w:right w:val="single" w:sz="6" w:color="CDD4DC"/>
              <w:insideH w:val="single" w:sz="6" w:color="CDD4DC"/>
              <w:insideV w:val="single" w:sz="6" w:color="CDD4DC"/>
            </w:tcBorders>
            <w:tcMar>
              <w:top w:w="45" w:type="dxa"/>
              <w:start w:w="90" w:type="dxa"/>
              <w:bottom w:w="45" w:type="dxa"/>
              <w:end w:w="90" w:type="dxa"/>
            </w:tcMar>
            <w:shd w:fill="F5F7F9"/>
          </w:tcPr>
          <w:p>
            <w:pPr>
              <w:spacing w:after="0"/>
              <w:jc w:val="center"/>
            </w:pPr>
            <w:r>
              <w:rPr>
                <w:sz w:val="16"/>
              </w:rPr>
              <w:t>Completo; hipótesis no respaldadas</w:t>
            </w:r>
          </w:p>
        </w:tc>
      </w:tr>
      <w:tr>
        <w:trPr>
          <w:cantSplit/>
        </w:trPr>
        <w:tc>
          <w:tcPr>
            <w:tcW w:type="dxa" w:w="3671"/>
            <w:vAlign w:val="center"/>
            <w:tcBorders>
              <w:top w:val="single" w:sz="6" w:color="CDD4DC"/>
              <w:left w:val="single" w:sz="6" w:color="CDD4DC"/>
              <w:bottom w:val="single" w:sz="6" w:color="CDD4DC"/>
              <w:right w:val="single" w:sz="6" w:color="CDD4DC"/>
              <w:insideH w:val="single" w:sz="6" w:color="CDD4DC"/>
              <w:insideV w:val="single" w:sz="6" w:color="CDD4DC"/>
            </w:tcBorders>
            <w:tcMar>
              <w:top w:w="45" w:type="dxa"/>
              <w:start w:w="90" w:type="dxa"/>
              <w:bottom w:w="45" w:type="dxa"/>
              <w:end w:w="90" w:type="dxa"/>
            </w:tcMar>
          </w:tcPr>
          <w:p>
            <w:pPr>
              <w:spacing w:after="0"/>
              <w:jc w:val="left"/>
            </w:pPr>
            <w:r>
              <w:rPr>
                <w:sz w:val="16"/>
              </w:rPr>
              <w:t>Acción compartida y factorización</w:t>
            </w:r>
          </w:p>
        </w:tc>
        <w:tc>
          <w:tcPr>
            <w:tcW w:type="dxa" w:w="4536"/>
            <w:vAlign w:val="center"/>
            <w:tcBorders>
              <w:top w:val="single" w:sz="6" w:color="CDD4DC"/>
              <w:left w:val="single" w:sz="6" w:color="CDD4DC"/>
              <w:bottom w:val="single" w:sz="6" w:color="CDD4DC"/>
              <w:right w:val="single" w:sz="6" w:color="CDD4DC"/>
              <w:insideH w:val="single" w:sz="6" w:color="CDD4DC"/>
              <w:insideV w:val="single" w:sz="6" w:color="CDD4DC"/>
            </w:tcBorders>
            <w:tcMar>
              <w:top w:w="45" w:type="dxa"/>
              <w:start w:w="90" w:type="dxa"/>
              <w:bottom w:w="45" w:type="dxa"/>
              <w:end w:w="90" w:type="dxa"/>
            </w:tcMar>
          </w:tcPr>
          <w:p>
            <w:pPr>
              <w:spacing w:after="0"/>
              <w:jc w:val="center"/>
            </w:pPr>
            <w:r>
              <w:rPr>
                <w:sz w:val="16"/>
              </w:rPr>
              <w:t>Figuras 8f y 8g</w:t>
            </w:r>
          </w:p>
        </w:tc>
        <w:tc>
          <w:tcPr>
            <w:tcW w:type="dxa" w:w="1440"/>
            <w:vAlign w:val="center"/>
            <w:tcBorders>
              <w:top w:val="single" w:sz="6" w:color="CDD4DC"/>
              <w:left w:val="single" w:sz="6" w:color="CDD4DC"/>
              <w:bottom w:val="single" w:sz="6" w:color="CDD4DC"/>
              <w:right w:val="single" w:sz="6" w:color="CDD4DC"/>
              <w:insideH w:val="single" w:sz="6" w:color="CDD4DC"/>
              <w:insideV w:val="single" w:sz="6" w:color="CDD4DC"/>
            </w:tcBorders>
            <w:tcMar>
              <w:top w:w="45" w:type="dxa"/>
              <w:start w:w="90" w:type="dxa"/>
              <w:bottom w:w="45" w:type="dxa"/>
              <w:end w:w="90" w:type="dxa"/>
            </w:tcMar>
          </w:tcPr>
          <w:p>
            <w:pPr>
              <w:spacing w:after="0"/>
              <w:jc w:val="center"/>
            </w:pPr>
            <w:r>
              <w:rPr>
                <w:sz w:val="16"/>
              </w:rPr>
              <w:t>Completo; acción reducida no demostrada</w:t>
            </w:r>
          </w:p>
        </w:tc>
      </w:tr>
      <w:tr>
        <w:trPr>
          <w:cantSplit/>
        </w:trPr>
        <w:tc>
          <w:tcPr>
            <w:tcW w:type="dxa" w:w="3671"/>
            <w:vAlign w:val="center"/>
            <w:tcBorders>
              <w:top w:val="single" w:sz="6" w:color="CDD4DC"/>
              <w:left w:val="single" w:sz="6" w:color="CDD4DC"/>
              <w:bottom w:val="single" w:sz="6" w:color="CDD4DC"/>
              <w:right w:val="single" w:sz="6" w:color="CDD4DC"/>
              <w:insideH w:val="single" w:sz="6" w:color="CDD4DC"/>
              <w:insideV w:val="single" w:sz="6" w:color="CDD4DC"/>
            </w:tcBorders>
            <w:tcMar>
              <w:top w:w="45" w:type="dxa"/>
              <w:start w:w="90" w:type="dxa"/>
              <w:bottom w:w="45" w:type="dxa"/>
              <w:end w:w="90" w:type="dxa"/>
            </w:tcMar>
            <w:shd w:fill="F5F7F9"/>
          </w:tcPr>
          <w:p>
            <w:pPr>
              <w:spacing w:after="0"/>
              <w:jc w:val="left"/>
            </w:pPr>
            <w:r>
              <w:rPr>
                <w:sz w:val="16"/>
              </w:rPr>
              <w:t>Rotar y desrotar el embedding decodificado</w:t>
            </w:r>
          </w:p>
        </w:tc>
        <w:tc>
          <w:tcPr>
            <w:tcW w:type="dxa" w:w="4536"/>
            <w:vAlign w:val="center"/>
            <w:tcBorders>
              <w:top w:val="single" w:sz="6" w:color="CDD4DC"/>
              <w:left w:val="single" w:sz="6" w:color="CDD4DC"/>
              <w:bottom w:val="single" w:sz="6" w:color="CDD4DC"/>
              <w:right w:val="single" w:sz="6" w:color="CDD4DC"/>
              <w:insideH w:val="single" w:sz="6" w:color="CDD4DC"/>
              <w:insideV w:val="single" w:sz="6" w:color="CDD4DC"/>
            </w:tcBorders>
            <w:tcMar>
              <w:top w:w="45" w:type="dxa"/>
              <w:start w:w="90" w:type="dxa"/>
              <w:bottom w:w="45" w:type="dxa"/>
              <w:end w:w="90" w:type="dxa"/>
            </w:tcMar>
            <w:shd w:fill="F5F7F9"/>
          </w:tcPr>
          <w:p>
            <w:pPr>
              <w:spacing w:after="0"/>
              <w:jc w:val="center"/>
            </w:pPr>
            <w:r>
              <w:rPr>
                <w:sz w:val="16"/>
              </w:rPr>
              <w:t>Figuras 6a y 6b; Sección 8</w:t>
            </w:r>
          </w:p>
        </w:tc>
        <w:tc>
          <w:tcPr>
            <w:tcW w:type="dxa" w:w="1440"/>
            <w:vAlign w:val="center"/>
            <w:tcBorders>
              <w:top w:val="single" w:sz="6" w:color="CDD4DC"/>
              <w:left w:val="single" w:sz="6" w:color="CDD4DC"/>
              <w:bottom w:val="single" w:sz="6" w:color="CDD4DC"/>
              <w:right w:val="single" w:sz="6" w:color="CDD4DC"/>
              <w:insideH w:val="single" w:sz="6" w:color="CDD4DC"/>
              <w:insideV w:val="single" w:sz="6" w:color="CDD4DC"/>
            </w:tcBorders>
            <w:tcMar>
              <w:top w:w="45" w:type="dxa"/>
              <w:start w:w="90" w:type="dxa"/>
              <w:bottom w:w="45" w:type="dxa"/>
              <w:end w:w="90" w:type="dxa"/>
            </w:tcMar>
            <w:shd w:fill="F5F7F9"/>
          </w:tcPr>
          <w:p>
            <w:pPr>
              <w:spacing w:after="0"/>
              <w:jc w:val="center"/>
            </w:pPr>
            <w:r>
              <w:rPr>
                <w:sz w:val="16"/>
              </w:rPr>
              <w:t>Completo; ventaja pareada y C4 exacto</w:t>
            </w:r>
          </w:p>
        </w:tc>
      </w:tr>
      <w:tr>
        <w:trPr>
          <w:cantSplit/>
        </w:trPr>
        <w:tc>
          <w:tcPr>
            <w:tcW w:type="dxa" w:w="3671"/>
            <w:vAlign w:val="center"/>
            <w:tcBorders>
              <w:top w:val="single" w:sz="6" w:color="CDD4DC"/>
              <w:left w:val="single" w:sz="6" w:color="CDD4DC"/>
              <w:bottom w:val="single" w:sz="6" w:color="CDD4DC"/>
              <w:right w:val="single" w:sz="6" w:color="CDD4DC"/>
              <w:insideH w:val="single" w:sz="6" w:color="CDD4DC"/>
              <w:insideV w:val="single" w:sz="6" w:color="CDD4DC"/>
            </w:tcBorders>
            <w:tcMar>
              <w:top w:w="45" w:type="dxa"/>
              <w:start w:w="90" w:type="dxa"/>
              <w:bottom w:w="45" w:type="dxa"/>
              <w:end w:w="90" w:type="dxa"/>
            </w:tcMar>
          </w:tcPr>
          <w:p>
            <w:pPr>
              <w:spacing w:after="0"/>
              <w:jc w:val="left"/>
            </w:pPr>
            <w:r>
              <w:rPr>
                <w:sz w:val="16"/>
              </w:rPr>
              <w:t>Rotaciones y flips exactos D4</w:t>
            </w:r>
          </w:p>
        </w:tc>
        <w:tc>
          <w:tcPr>
            <w:tcW w:type="dxa" w:w="4536"/>
            <w:vAlign w:val="center"/>
            <w:tcBorders>
              <w:top w:val="single" w:sz="6" w:color="CDD4DC"/>
              <w:left w:val="single" w:sz="6" w:color="CDD4DC"/>
              <w:bottom w:val="single" w:sz="6" w:color="CDD4DC"/>
              <w:right w:val="single" w:sz="6" w:color="CDD4DC"/>
              <w:insideH w:val="single" w:sz="6" w:color="CDD4DC"/>
              <w:insideV w:val="single" w:sz="6" w:color="CDD4DC"/>
            </w:tcBorders>
            <w:tcMar>
              <w:top w:w="45" w:type="dxa"/>
              <w:start w:w="90" w:type="dxa"/>
              <w:bottom w:w="45" w:type="dxa"/>
              <w:end w:w="90" w:type="dxa"/>
            </w:tcMar>
          </w:tcPr>
          <w:p>
            <w:pPr>
              <w:spacing w:after="0"/>
              <w:jc w:val="center"/>
            </w:pPr>
            <w:r>
              <w:rPr>
                <w:sz w:val="16"/>
              </w:rPr>
              <w:t>Figura 6b; Sección 8</w:t>
            </w:r>
          </w:p>
        </w:tc>
        <w:tc>
          <w:tcPr>
            <w:tcW w:type="dxa" w:w="1440"/>
            <w:vAlign w:val="center"/>
            <w:tcBorders>
              <w:top w:val="single" w:sz="6" w:color="CDD4DC"/>
              <w:left w:val="single" w:sz="6" w:color="CDD4DC"/>
              <w:bottom w:val="single" w:sz="6" w:color="CDD4DC"/>
              <w:right w:val="single" w:sz="6" w:color="CDD4DC"/>
              <w:insideH w:val="single" w:sz="6" w:color="CDD4DC"/>
              <w:insideV w:val="single" w:sz="6" w:color="CDD4DC"/>
            </w:tcBorders>
            <w:tcMar>
              <w:top w:w="45" w:type="dxa"/>
              <w:start w:w="90" w:type="dxa"/>
              <w:bottom w:w="45" w:type="dxa"/>
              <w:end w:w="90" w:type="dxa"/>
            </w:tcMar>
          </w:tcPr>
          <w:p>
            <w:pPr>
              <w:spacing w:after="0"/>
              <w:jc w:val="center"/>
            </w:pPr>
            <w:r>
              <w:rPr>
                <w:sz w:val="16"/>
              </w:rPr>
              <w:t>Completo; sólo flip diagonal pasa en SO(2)</w:t>
            </w:r>
          </w:p>
        </w:tc>
      </w:tr>
      <w:tr>
        <w:trPr>
          <w:cantSplit/>
        </w:trPr>
        <w:tc>
          <w:tcPr>
            <w:tcW w:type="dxa" w:w="3671"/>
            <w:vAlign w:val="center"/>
            <w:tcBorders>
              <w:top w:val="single" w:sz="6" w:color="CDD4DC"/>
              <w:left w:val="single" w:sz="6" w:color="CDD4DC"/>
              <w:bottom w:val="single" w:sz="6" w:color="CDD4DC"/>
              <w:right w:val="single" w:sz="6" w:color="CDD4DC"/>
              <w:insideH w:val="single" w:sz="6" w:color="CDD4DC"/>
              <w:insideV w:val="single" w:sz="6" w:color="CDD4DC"/>
            </w:tcBorders>
            <w:tcMar>
              <w:top w:w="45" w:type="dxa"/>
              <w:start w:w="90" w:type="dxa"/>
              <w:bottom w:w="45" w:type="dxa"/>
              <w:end w:w="90" w:type="dxa"/>
            </w:tcMar>
            <w:shd w:fill="F5F7F9"/>
          </w:tcPr>
          <w:p>
            <w:pPr>
              <w:spacing w:after="0"/>
              <w:jc w:val="left"/>
            </w:pPr>
            <w:r>
              <w:rPr>
                <w:sz w:val="16"/>
              </w:rPr>
              <w:t>Visualización PCA espacial del latente</w:t>
            </w:r>
          </w:p>
        </w:tc>
        <w:tc>
          <w:tcPr>
            <w:tcW w:type="dxa" w:w="4536"/>
            <w:vAlign w:val="center"/>
            <w:tcBorders>
              <w:top w:val="single" w:sz="6" w:color="CDD4DC"/>
              <w:left w:val="single" w:sz="6" w:color="CDD4DC"/>
              <w:bottom w:val="single" w:sz="6" w:color="CDD4DC"/>
              <w:right w:val="single" w:sz="6" w:color="CDD4DC"/>
              <w:insideH w:val="single" w:sz="6" w:color="CDD4DC"/>
              <w:insideV w:val="single" w:sz="6" w:color="CDD4DC"/>
            </w:tcBorders>
            <w:tcMar>
              <w:top w:w="45" w:type="dxa"/>
              <w:start w:w="90" w:type="dxa"/>
              <w:bottom w:w="45" w:type="dxa"/>
              <w:end w:w="90" w:type="dxa"/>
            </w:tcMar>
            <w:shd w:fill="F5F7F9"/>
          </w:tcPr>
          <w:p>
            <w:pPr>
              <w:spacing w:after="0"/>
              <w:jc w:val="center"/>
            </w:pPr>
            <w:r>
              <w:rPr>
                <w:sz w:val="16"/>
              </w:rPr>
              <w:t>Figura 9</w:t>
            </w:r>
          </w:p>
        </w:tc>
        <w:tc>
          <w:tcPr>
            <w:tcW w:type="dxa" w:w="1440"/>
            <w:vAlign w:val="center"/>
            <w:tcBorders>
              <w:top w:val="single" w:sz="6" w:color="CDD4DC"/>
              <w:left w:val="single" w:sz="6" w:color="CDD4DC"/>
              <w:bottom w:val="single" w:sz="6" w:color="CDD4DC"/>
              <w:right w:val="single" w:sz="6" w:color="CDD4DC"/>
              <w:insideH w:val="single" w:sz="6" w:color="CDD4DC"/>
              <w:insideV w:val="single" w:sz="6" w:color="CDD4DC"/>
            </w:tcBorders>
            <w:tcMar>
              <w:top w:w="45" w:type="dxa"/>
              <w:start w:w="90" w:type="dxa"/>
              <w:bottom w:w="45" w:type="dxa"/>
              <w:end w:w="90" w:type="dxa"/>
            </w:tcMar>
            <w:shd w:fill="F5F7F9"/>
          </w:tcPr>
          <w:p>
            <w:pPr>
              <w:spacing w:after="0"/>
              <w:jc w:val="center"/>
            </w:pPr>
            <w:r>
              <w:rPr>
                <w:sz w:val="16"/>
              </w:rPr>
              <w:t>Completo</w:t>
            </w:r>
          </w:p>
        </w:tc>
      </w:tr>
      <w:tr>
        <w:trPr>
          <w:cantSplit/>
        </w:trPr>
        <w:tc>
          <w:tcPr>
            <w:tcW w:type="dxa" w:w="3671"/>
            <w:vAlign w:val="center"/>
            <w:tcBorders>
              <w:top w:val="single" w:sz="6" w:color="CDD4DC"/>
              <w:left w:val="single" w:sz="6" w:color="CDD4DC"/>
              <w:bottom w:val="single" w:sz="6" w:color="CDD4DC"/>
              <w:right w:val="single" w:sz="6" w:color="CDD4DC"/>
              <w:insideH w:val="single" w:sz="6" w:color="CDD4DC"/>
              <w:insideV w:val="single" w:sz="6" w:color="CDD4DC"/>
            </w:tcBorders>
            <w:tcMar>
              <w:top w:w="45" w:type="dxa"/>
              <w:start w:w="90" w:type="dxa"/>
              <w:bottom w:w="45" w:type="dxa"/>
              <w:end w:w="90" w:type="dxa"/>
            </w:tcMar>
          </w:tcPr>
          <w:p>
            <w:pPr>
              <w:spacing w:after="0"/>
              <w:jc w:val="left"/>
            </w:pPr>
            <w:r>
              <w:rPr>
                <w:sz w:val="16"/>
              </w:rPr>
              <w:t>Repetir evaluación para SO(2)</w:t>
            </w:r>
          </w:p>
        </w:tc>
        <w:tc>
          <w:tcPr>
            <w:tcW w:type="dxa" w:w="4536"/>
            <w:vAlign w:val="center"/>
            <w:tcBorders>
              <w:top w:val="single" w:sz="6" w:color="CDD4DC"/>
              <w:left w:val="single" w:sz="6" w:color="CDD4DC"/>
              <w:bottom w:val="single" w:sz="6" w:color="CDD4DC"/>
              <w:right w:val="single" w:sz="6" w:color="CDD4DC"/>
              <w:insideH w:val="single" w:sz="6" w:color="CDD4DC"/>
              <w:insideV w:val="single" w:sz="6" w:color="CDD4DC"/>
            </w:tcBorders>
            <w:tcMar>
              <w:top w:w="45" w:type="dxa"/>
              <w:start w:w="90" w:type="dxa"/>
              <w:bottom w:w="45" w:type="dxa"/>
              <w:end w:w="90" w:type="dxa"/>
            </w:tcMar>
          </w:tcPr>
          <w:p>
            <w:pPr>
              <w:spacing w:after="0"/>
              <w:jc w:val="center"/>
            </w:pPr>
            <w:r>
              <w:rPr>
                <w:sz w:val="16"/>
              </w:rPr>
              <w:t>Todas las tablas y figuras comparativas</w:t>
            </w:r>
          </w:p>
        </w:tc>
        <w:tc>
          <w:tcPr>
            <w:tcW w:type="dxa" w:w="1440"/>
            <w:vAlign w:val="center"/>
            <w:tcBorders>
              <w:top w:val="single" w:sz="6" w:color="CDD4DC"/>
              <w:left w:val="single" w:sz="6" w:color="CDD4DC"/>
              <w:bottom w:val="single" w:sz="6" w:color="CDD4DC"/>
              <w:right w:val="single" w:sz="6" w:color="CDD4DC"/>
              <w:insideH w:val="single" w:sz="6" w:color="CDD4DC"/>
              <w:insideV w:val="single" w:sz="6" w:color="CDD4DC"/>
            </w:tcBorders>
            <w:tcMar>
              <w:top w:w="45" w:type="dxa"/>
              <w:start w:w="90" w:type="dxa"/>
              <w:bottom w:w="45" w:type="dxa"/>
              <w:end w:w="90" w:type="dxa"/>
            </w:tcMar>
          </w:tcPr>
          <w:p>
            <w:pPr>
              <w:spacing w:after="0"/>
              <w:jc w:val="center"/>
            </w:pPr>
            <w:r>
              <w:rPr>
                <w:sz w:val="16"/>
              </w:rPr>
              <w:t>Completo</w:t>
            </w:r>
          </w:p>
        </w:tc>
      </w:tr>
      <w:tr>
        <w:trPr>
          <w:cantSplit/>
        </w:trPr>
        <w:tc>
          <w:tcPr>
            <w:tcW w:type="dxa" w:w="3671"/>
            <w:vAlign w:val="center"/>
            <w:tcBorders>
              <w:top w:val="single" w:sz="6" w:color="CDD4DC"/>
              <w:left w:val="single" w:sz="6" w:color="CDD4DC"/>
              <w:bottom w:val="single" w:sz="6" w:color="CDD4DC"/>
              <w:right w:val="single" w:sz="6" w:color="CDD4DC"/>
              <w:insideH w:val="single" w:sz="6" w:color="CDD4DC"/>
              <w:insideV w:val="single" w:sz="6" w:color="CDD4DC"/>
            </w:tcBorders>
            <w:tcMar>
              <w:top w:w="45" w:type="dxa"/>
              <w:start w:w="90" w:type="dxa"/>
              <w:bottom w:w="45" w:type="dxa"/>
              <w:end w:w="90" w:type="dxa"/>
            </w:tcMar>
            <w:shd w:fill="F5F7F9"/>
          </w:tcPr>
          <w:p>
            <w:pPr>
              <w:spacing w:after="0"/>
              <w:jc w:val="left"/>
            </w:pPr>
            <w:r>
              <w:rPr>
                <w:sz w:val="16"/>
              </w:rPr>
              <w:t>Validar componentes SO(2)</w:t>
            </w:r>
          </w:p>
        </w:tc>
        <w:tc>
          <w:tcPr>
            <w:tcW w:type="dxa" w:w="4536"/>
            <w:vAlign w:val="center"/>
            <w:tcBorders>
              <w:top w:val="single" w:sz="6" w:color="CDD4DC"/>
              <w:left w:val="single" w:sz="6" w:color="CDD4DC"/>
              <w:bottom w:val="single" w:sz="6" w:color="CDD4DC"/>
              <w:right w:val="single" w:sz="6" w:color="CDD4DC"/>
              <w:insideH w:val="single" w:sz="6" w:color="CDD4DC"/>
              <w:insideV w:val="single" w:sz="6" w:color="CDD4DC"/>
            </w:tcBorders>
            <w:tcMar>
              <w:top w:w="45" w:type="dxa"/>
              <w:start w:w="90" w:type="dxa"/>
              <w:bottom w:w="45" w:type="dxa"/>
              <w:end w:w="90" w:type="dxa"/>
            </w:tcMar>
            <w:shd w:fill="F5F7F9"/>
          </w:tcPr>
          <w:p>
            <w:pPr>
              <w:spacing w:after="0"/>
              <w:jc w:val="center"/>
            </w:pPr>
            <w:r>
              <w:rPr>
                <w:sz w:val="16"/>
              </w:rPr>
              <w:t>Sección 2: no linealidades, normalización, upsampling, mu/logvar/z y runtime</w:t>
            </w:r>
          </w:p>
        </w:tc>
        <w:tc>
          <w:tcPr>
            <w:tcW w:type="dxa" w:w="1440"/>
            <w:vAlign w:val="center"/>
            <w:tcBorders>
              <w:top w:val="single" w:sz="6" w:color="CDD4DC"/>
              <w:left w:val="single" w:sz="6" w:color="CDD4DC"/>
              <w:bottom w:val="single" w:sz="6" w:color="CDD4DC"/>
              <w:right w:val="single" w:sz="6" w:color="CDD4DC"/>
              <w:insideH w:val="single" w:sz="6" w:color="CDD4DC"/>
              <w:insideV w:val="single" w:sz="6" w:color="CDD4DC"/>
            </w:tcBorders>
            <w:tcMar>
              <w:top w:w="45" w:type="dxa"/>
              <w:start w:w="90" w:type="dxa"/>
              <w:bottom w:w="45" w:type="dxa"/>
              <w:end w:w="90" w:type="dxa"/>
            </w:tcMar>
            <w:shd w:fill="F5F7F9"/>
          </w:tcPr>
          <w:p>
            <w:pPr>
              <w:spacing w:after="0"/>
              <w:jc w:val="center"/>
            </w:pPr>
            <w:r>
              <w:rPr>
                <w:sz w:val="16"/>
              </w:rPr>
              <w:t>Completo</w:t>
            </w:r>
          </w:p>
        </w:tc>
      </w:tr>
      <w:tr>
        <w:trPr>
          <w:cantSplit/>
        </w:trPr>
        <w:tc>
          <w:tcPr>
            <w:tcW w:type="dxa" w:w="3671"/>
            <w:vAlign w:val="center"/>
            <w:tcBorders>
              <w:top w:val="single" w:sz="6" w:color="CDD4DC"/>
              <w:left w:val="single" w:sz="6" w:color="CDD4DC"/>
              <w:bottom w:val="single" w:sz="6" w:color="CDD4DC"/>
              <w:right w:val="single" w:sz="6" w:color="CDD4DC"/>
              <w:insideH w:val="single" w:sz="6" w:color="CDD4DC"/>
              <w:insideV w:val="single" w:sz="6" w:color="CDD4DC"/>
            </w:tcBorders>
            <w:tcMar>
              <w:top w:w="45" w:type="dxa"/>
              <w:start w:w="90" w:type="dxa"/>
              <w:bottom w:w="45" w:type="dxa"/>
              <w:end w:w="90" w:type="dxa"/>
            </w:tcMar>
          </w:tcPr>
          <w:p>
            <w:pPr>
              <w:spacing w:after="0"/>
              <w:jc w:val="left"/>
            </w:pPr>
            <w:r>
              <w:rPr>
                <w:sz w:val="16"/>
              </w:rPr>
              <w:t>Barrido continuo 0-359 grados</w:t>
            </w:r>
          </w:p>
        </w:tc>
        <w:tc>
          <w:tcPr>
            <w:tcW w:type="dxa" w:w="4536"/>
            <w:vAlign w:val="center"/>
            <w:tcBorders>
              <w:top w:val="single" w:sz="6" w:color="CDD4DC"/>
              <w:left w:val="single" w:sz="6" w:color="CDD4DC"/>
              <w:bottom w:val="single" w:sz="6" w:color="CDD4DC"/>
              <w:right w:val="single" w:sz="6" w:color="CDD4DC"/>
              <w:insideH w:val="single" w:sz="6" w:color="CDD4DC"/>
              <w:insideV w:val="single" w:sz="6" w:color="CDD4DC"/>
            </w:tcBorders>
            <w:tcMar>
              <w:top w:w="45" w:type="dxa"/>
              <w:start w:w="90" w:type="dxa"/>
              <w:bottom w:w="45" w:type="dxa"/>
              <w:end w:w="90" w:type="dxa"/>
            </w:tcMar>
          </w:tcPr>
          <w:p>
            <w:pPr>
              <w:spacing w:after="0"/>
              <w:jc w:val="center"/>
            </w:pPr>
            <w:r>
              <w:rPr>
                <w:sz w:val="16"/>
              </w:rPr>
              <w:t>Sección 8: artefacto fijo-25 corregido</w:t>
            </w:r>
          </w:p>
        </w:tc>
        <w:tc>
          <w:tcPr>
            <w:tcW w:type="dxa" w:w="1440"/>
            <w:vAlign w:val="center"/>
            <w:tcBorders>
              <w:top w:val="single" w:sz="6" w:color="CDD4DC"/>
              <w:left w:val="single" w:sz="6" w:color="CDD4DC"/>
              <w:bottom w:val="single" w:sz="6" w:color="CDD4DC"/>
              <w:right w:val="single" w:sz="6" w:color="CDD4DC"/>
              <w:insideH w:val="single" w:sz="6" w:color="CDD4DC"/>
              <w:insideV w:val="single" w:sz="6" w:color="CDD4DC"/>
            </w:tcBorders>
            <w:tcMar>
              <w:top w:w="45" w:type="dxa"/>
              <w:start w:w="90" w:type="dxa"/>
              <w:bottom w:w="45" w:type="dxa"/>
              <w:end w:w="90" w:type="dxa"/>
            </w:tcMar>
          </w:tcPr>
          <w:p>
            <w:pPr>
              <w:spacing w:after="0"/>
              <w:jc w:val="center"/>
            </w:pPr>
            <w:r>
              <w:rPr>
                <w:sz w:val="16"/>
              </w:rPr>
              <w:t>Completo; validación post-hoc</w:t>
            </w:r>
          </w:p>
        </w:tc>
      </w:tr>
      <w:tr>
        <w:trPr>
          <w:cantSplit/>
        </w:trPr>
        <w:tc>
          <w:tcPr>
            <w:tcW w:type="dxa" w:w="3671"/>
            <w:vAlign w:val="center"/>
            <w:tcBorders>
              <w:top w:val="single" w:sz="6" w:color="CDD4DC"/>
              <w:left w:val="single" w:sz="6" w:color="CDD4DC"/>
              <w:bottom w:val="single" w:sz="6" w:color="CDD4DC"/>
              <w:right w:val="single" w:sz="6" w:color="CDD4DC"/>
              <w:insideH w:val="single" w:sz="6" w:color="CDD4DC"/>
              <w:insideV w:val="single" w:sz="6" w:color="CDD4DC"/>
            </w:tcBorders>
            <w:tcMar>
              <w:top w:w="45" w:type="dxa"/>
              <w:start w:w="90" w:type="dxa"/>
              <w:bottom w:w="45" w:type="dxa"/>
              <w:end w:w="90" w:type="dxa"/>
            </w:tcMar>
            <w:shd w:fill="F5F7F9"/>
          </w:tcPr>
          <w:p>
            <w:pPr>
              <w:spacing w:after="0"/>
              <w:jc w:val="left"/>
            </w:pPr>
            <w:r>
              <w:rPr>
                <w:sz w:val="16"/>
              </w:rPr>
              <w:t>Utilidad posterior y desglose por clase</w:t>
            </w:r>
          </w:p>
        </w:tc>
        <w:tc>
          <w:tcPr>
            <w:tcW w:type="dxa" w:w="4536"/>
            <w:vAlign w:val="center"/>
            <w:tcBorders>
              <w:top w:val="single" w:sz="6" w:color="CDD4DC"/>
              <w:left w:val="single" w:sz="6" w:color="CDD4DC"/>
              <w:bottom w:val="single" w:sz="6" w:color="CDD4DC"/>
              <w:right w:val="single" w:sz="6" w:color="CDD4DC"/>
              <w:insideH w:val="single" w:sz="6" w:color="CDD4DC"/>
              <w:insideV w:val="single" w:sz="6" w:color="CDD4DC"/>
            </w:tcBorders>
            <w:tcMar>
              <w:top w:w="45" w:type="dxa"/>
              <w:start w:w="90" w:type="dxa"/>
              <w:bottom w:w="45" w:type="dxa"/>
              <w:end w:w="90" w:type="dxa"/>
            </w:tcMar>
            <w:shd w:fill="F5F7F9"/>
          </w:tcPr>
          <w:p>
            <w:pPr>
              <w:spacing w:after="0"/>
              <w:jc w:val="center"/>
            </w:pPr>
            <w:r>
              <w:rPr>
                <w:sz w:val="16"/>
              </w:rPr>
              <w:t>Figuras 10-14; Secciones 10 y 11</w:t>
            </w:r>
          </w:p>
        </w:tc>
        <w:tc>
          <w:tcPr>
            <w:tcW w:type="dxa" w:w="1440"/>
            <w:vAlign w:val="center"/>
            <w:tcBorders>
              <w:top w:val="single" w:sz="6" w:color="CDD4DC"/>
              <w:left w:val="single" w:sz="6" w:color="CDD4DC"/>
              <w:bottom w:val="single" w:sz="6" w:color="CDD4DC"/>
              <w:right w:val="single" w:sz="6" w:color="CDD4DC"/>
              <w:insideH w:val="single" w:sz="6" w:color="CDD4DC"/>
              <w:insideV w:val="single" w:sz="6" w:color="CDD4DC"/>
            </w:tcBorders>
            <w:tcMar>
              <w:top w:w="45" w:type="dxa"/>
              <w:start w:w="90" w:type="dxa"/>
              <w:bottom w:w="45" w:type="dxa"/>
              <w:end w:w="90" w:type="dxa"/>
            </w:tcMar>
            <w:shd w:fill="F5F7F9"/>
          </w:tcPr>
          <w:p>
            <w:pPr>
              <w:spacing w:after="0"/>
              <w:jc w:val="center"/>
            </w:pPr>
            <w:r>
              <w:rPr>
                <w:sz w:val="16"/>
              </w:rPr>
              <w:t>Completo</w:t>
            </w:r>
          </w:p>
        </w:tc>
      </w:tr>
      <w:tr>
        <w:trPr>
          <w:cantSplit/>
        </w:trPr>
        <w:tc>
          <w:tcPr>
            <w:tcW w:type="dxa" w:w="3671"/>
            <w:vAlign w:val="center"/>
            <w:tcBorders>
              <w:top w:val="single" w:sz="6" w:color="CDD4DC"/>
              <w:left w:val="single" w:sz="6" w:color="CDD4DC"/>
              <w:bottom w:val="single" w:sz="6" w:color="CDD4DC"/>
              <w:right w:val="single" w:sz="6" w:color="CDD4DC"/>
              <w:insideH w:val="single" w:sz="6" w:color="CDD4DC"/>
              <w:insideV w:val="single" w:sz="6" w:color="CDD4DC"/>
            </w:tcBorders>
            <w:tcMar>
              <w:top w:w="45" w:type="dxa"/>
              <w:start w:w="90" w:type="dxa"/>
              <w:bottom w:w="45" w:type="dxa"/>
              <w:end w:w="90" w:type="dxa"/>
            </w:tcMar>
          </w:tcPr>
          <w:p>
            <w:pPr>
              <w:spacing w:after="0"/>
              <w:jc w:val="left"/>
            </w:pPr>
            <w:r>
              <w:rPr>
                <w:sz w:val="16"/>
              </w:rPr>
              <w:t>Atribución espacial WSI</w:t>
            </w:r>
          </w:p>
        </w:tc>
        <w:tc>
          <w:tcPr>
            <w:tcW w:type="dxa" w:w="4536"/>
            <w:vAlign w:val="center"/>
            <w:tcBorders>
              <w:top w:val="single" w:sz="6" w:color="CDD4DC"/>
              <w:left w:val="single" w:sz="6" w:color="CDD4DC"/>
              <w:bottom w:val="single" w:sz="6" w:color="CDD4DC"/>
              <w:right w:val="single" w:sz="6" w:color="CDD4DC"/>
              <w:insideH w:val="single" w:sz="6" w:color="CDD4DC"/>
              <w:insideV w:val="single" w:sz="6" w:color="CDD4DC"/>
            </w:tcBorders>
            <w:tcMar>
              <w:top w:w="45" w:type="dxa"/>
              <w:start w:w="90" w:type="dxa"/>
              <w:bottom w:w="45" w:type="dxa"/>
              <w:end w:w="90" w:type="dxa"/>
            </w:tcMar>
          </w:tcPr>
          <w:p>
            <w:pPr>
              <w:spacing w:after="0"/>
              <w:jc w:val="center"/>
            </w:pPr>
            <w:r>
              <w:rPr>
                <w:sz w:val="16"/>
              </w:rPr>
              <w:t>Sección 10: frontera y protocolo futuro</w:t>
            </w:r>
          </w:p>
        </w:tc>
        <w:tc>
          <w:tcPr>
            <w:tcW w:type="dxa" w:w="1440"/>
            <w:vAlign w:val="center"/>
            <w:tcBorders>
              <w:top w:val="single" w:sz="6" w:color="CDD4DC"/>
              <w:left w:val="single" w:sz="6" w:color="CDD4DC"/>
              <w:bottom w:val="single" w:sz="6" w:color="CDD4DC"/>
              <w:right w:val="single" w:sz="6" w:color="CDD4DC"/>
              <w:insideH w:val="single" w:sz="6" w:color="CDD4DC"/>
              <w:insideV w:val="single" w:sz="6" w:color="CDD4DC"/>
            </w:tcBorders>
            <w:tcMar>
              <w:top w:w="45" w:type="dxa"/>
              <w:start w:w="90" w:type="dxa"/>
              <w:bottom w:w="45" w:type="dxa"/>
              <w:end w:w="90" w:type="dxa"/>
            </w:tcMar>
          </w:tcPr>
          <w:p>
            <w:pPr>
              <w:spacing w:after="0"/>
              <w:jc w:val="center"/>
            </w:pPr>
            <w:r>
              <w:rPr>
                <w:sz w:val="16"/>
              </w:rPr>
              <w:t>Pendiente; requiere nueva inferencia</w:t>
            </w:r>
          </w:p>
        </w:tc>
      </w:tr>
    </w:tbl>
    <w:p>
      <w:pPr>
        <w:spacing w:after="0"/>
      </w:pPr>
    </w:p>
    <w:p>
      <w:r>
        <w:br w:type="page"/>
      </w:r>
    </w:p>
    <w:p>
      <w:pPr>
        <w:pStyle w:val="Heading1"/>
        <w:keepNext/>
        <w:keepLines/>
      </w:pPr>
      <w:r>
        <w:t>Anexo B. Definición breve de métricas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160"/>
            <w:shd w:fill="1F2933"/>
            <w:tcBorders>
              <w:top w:val="single" w:sz="6" w:color="CDD4DC"/>
              <w:left w:val="single" w:sz="6" w:color="CDD4DC"/>
              <w:bottom w:val="single" w:sz="6" w:color="CDD4DC"/>
              <w:right w:val="single" w:sz="6" w:color="CDD4DC"/>
              <w:insideH w:val="single" w:sz="6" w:color="CDD4DC"/>
              <w:insideV w:val="single" w:sz="6" w:color="CDD4DC"/>
            </w:tcBorders>
            <w:tcMar>
              <w:top w:w="45" w:type="dxa"/>
              <w:start w:w="90" w:type="dxa"/>
              <w:bottom w:w="45" w:type="dxa"/>
              <w:end w:w="90" w:type="dxa"/>
            </w:tcMar>
          </w:tcPr>
          <w:p>
            <w:pPr>
              <w:jc w:val="center"/>
            </w:pPr>
            <w:r>
              <w:rPr>
                <w:b/>
                <w:color w:val="FFFFFF"/>
                <w:sz w:val="16"/>
              </w:rPr>
              <w:t>Métrica</w:t>
            </w:r>
          </w:p>
        </w:tc>
        <w:tc>
          <w:tcPr>
            <w:tcW w:type="dxa" w:w="7488"/>
            <w:shd w:fill="1F2933"/>
            <w:tcBorders>
              <w:top w:val="single" w:sz="6" w:color="CDD4DC"/>
              <w:left w:val="single" w:sz="6" w:color="CDD4DC"/>
              <w:bottom w:val="single" w:sz="6" w:color="CDD4DC"/>
              <w:right w:val="single" w:sz="6" w:color="CDD4DC"/>
              <w:insideH w:val="single" w:sz="6" w:color="CDD4DC"/>
              <w:insideV w:val="single" w:sz="6" w:color="CDD4DC"/>
            </w:tcBorders>
            <w:tcMar>
              <w:top w:w="45" w:type="dxa"/>
              <w:start w:w="90" w:type="dxa"/>
              <w:bottom w:w="45" w:type="dxa"/>
              <w:end w:w="90" w:type="dxa"/>
            </w:tcMar>
          </w:tcPr>
          <w:p>
            <w:pPr>
              <w:jc w:val="center"/>
            </w:pPr>
            <w:r>
              <w:rPr>
                <w:b/>
                <w:color w:val="FFFFFF"/>
                <w:sz w:val="16"/>
              </w:rPr>
              <w:t>Lectura</w:t>
            </w:r>
          </w:p>
        </w:tc>
      </w:tr>
      <w:tr>
        <w:trPr>
          <w:cantSplit/>
        </w:trPr>
        <w:tc>
          <w:tcPr>
            <w:tcW w:type="dxa" w:w="2160"/>
            <w:vAlign w:val="center"/>
            <w:tcBorders>
              <w:top w:val="single" w:sz="6" w:color="CDD4DC"/>
              <w:left w:val="single" w:sz="6" w:color="CDD4DC"/>
              <w:bottom w:val="single" w:sz="6" w:color="CDD4DC"/>
              <w:right w:val="single" w:sz="6" w:color="CDD4DC"/>
              <w:insideH w:val="single" w:sz="6" w:color="CDD4DC"/>
              <w:insideV w:val="single" w:sz="6" w:color="CDD4DC"/>
            </w:tcBorders>
            <w:tcMar>
              <w:top w:w="45" w:type="dxa"/>
              <w:start w:w="90" w:type="dxa"/>
              <w:bottom w:w="45" w:type="dxa"/>
              <w:end w:w="90" w:type="dxa"/>
            </w:tcMar>
          </w:tcPr>
          <w:p>
            <w:pPr>
              <w:spacing w:after="0"/>
              <w:jc w:val="left"/>
            </w:pPr>
            <w:r>
              <w:rPr>
                <w:sz w:val="16"/>
              </w:rPr>
              <w:t>MAE</w:t>
            </w:r>
          </w:p>
        </w:tc>
        <w:tc>
          <w:tcPr>
            <w:tcW w:type="dxa" w:w="7488"/>
            <w:vAlign w:val="center"/>
            <w:tcBorders>
              <w:top w:val="single" w:sz="6" w:color="CDD4DC"/>
              <w:left w:val="single" w:sz="6" w:color="CDD4DC"/>
              <w:bottom w:val="single" w:sz="6" w:color="CDD4DC"/>
              <w:right w:val="single" w:sz="6" w:color="CDD4DC"/>
              <w:insideH w:val="single" w:sz="6" w:color="CDD4DC"/>
              <w:insideV w:val="single" w:sz="6" w:color="CDD4DC"/>
            </w:tcBorders>
            <w:tcMar>
              <w:top w:w="45" w:type="dxa"/>
              <w:start w:w="90" w:type="dxa"/>
              <w:bottom w:w="45" w:type="dxa"/>
              <w:end w:w="90" w:type="dxa"/>
            </w:tcMar>
          </w:tcPr>
          <w:p>
            <w:pPr>
              <w:spacing w:after="0"/>
              <w:jc w:val="center"/>
            </w:pPr>
            <w:r>
              <w:rPr>
                <w:sz w:val="16"/>
              </w:rPr>
              <w:t>Error absoluto medio en dominio normalizado [-1, 1]; menor es mejor.</w:t>
            </w:r>
          </w:p>
        </w:tc>
      </w:tr>
      <w:tr>
        <w:trPr>
          <w:cantSplit/>
        </w:trPr>
        <w:tc>
          <w:tcPr>
            <w:tcW w:type="dxa" w:w="2160"/>
            <w:vAlign w:val="center"/>
            <w:tcBorders>
              <w:top w:val="single" w:sz="6" w:color="CDD4DC"/>
              <w:left w:val="single" w:sz="6" w:color="CDD4DC"/>
              <w:bottom w:val="single" w:sz="6" w:color="CDD4DC"/>
              <w:right w:val="single" w:sz="6" w:color="CDD4DC"/>
              <w:insideH w:val="single" w:sz="6" w:color="CDD4DC"/>
              <w:insideV w:val="single" w:sz="6" w:color="CDD4DC"/>
            </w:tcBorders>
            <w:tcMar>
              <w:top w:w="45" w:type="dxa"/>
              <w:start w:w="90" w:type="dxa"/>
              <w:bottom w:w="45" w:type="dxa"/>
              <w:end w:w="90" w:type="dxa"/>
            </w:tcMar>
            <w:shd w:fill="F5F7F9"/>
          </w:tcPr>
          <w:p>
            <w:pPr>
              <w:spacing w:after="0"/>
              <w:jc w:val="left"/>
            </w:pPr>
            <w:r>
              <w:rPr>
                <w:sz w:val="16"/>
              </w:rPr>
              <w:t>MSE</w:t>
            </w:r>
          </w:p>
        </w:tc>
        <w:tc>
          <w:tcPr>
            <w:tcW w:type="dxa" w:w="7488"/>
            <w:vAlign w:val="center"/>
            <w:tcBorders>
              <w:top w:val="single" w:sz="6" w:color="CDD4DC"/>
              <w:left w:val="single" w:sz="6" w:color="CDD4DC"/>
              <w:bottom w:val="single" w:sz="6" w:color="CDD4DC"/>
              <w:right w:val="single" w:sz="6" w:color="CDD4DC"/>
              <w:insideH w:val="single" w:sz="6" w:color="CDD4DC"/>
              <w:insideV w:val="single" w:sz="6" w:color="CDD4DC"/>
            </w:tcBorders>
            <w:tcMar>
              <w:top w:w="45" w:type="dxa"/>
              <w:start w:w="90" w:type="dxa"/>
              <w:bottom w:w="45" w:type="dxa"/>
              <w:end w:w="90" w:type="dxa"/>
            </w:tcMar>
            <w:shd w:fill="F5F7F9"/>
          </w:tcPr>
          <w:p>
            <w:pPr>
              <w:spacing w:after="0"/>
              <w:jc w:val="center"/>
            </w:pPr>
            <w:r>
              <w:rPr>
                <w:sz w:val="16"/>
              </w:rPr>
              <w:t>Error cuadrático medio en dominio normalizado [-1, 1]; menor es mejor.</w:t>
            </w:r>
          </w:p>
        </w:tc>
      </w:tr>
      <w:tr>
        <w:trPr>
          <w:cantSplit/>
        </w:trPr>
        <w:tc>
          <w:tcPr>
            <w:tcW w:type="dxa" w:w="2160"/>
            <w:vAlign w:val="center"/>
            <w:tcBorders>
              <w:top w:val="single" w:sz="6" w:color="CDD4DC"/>
              <w:left w:val="single" w:sz="6" w:color="CDD4DC"/>
              <w:bottom w:val="single" w:sz="6" w:color="CDD4DC"/>
              <w:right w:val="single" w:sz="6" w:color="CDD4DC"/>
              <w:insideH w:val="single" w:sz="6" w:color="CDD4DC"/>
              <w:insideV w:val="single" w:sz="6" w:color="CDD4DC"/>
            </w:tcBorders>
            <w:tcMar>
              <w:top w:w="45" w:type="dxa"/>
              <w:start w:w="90" w:type="dxa"/>
              <w:bottom w:w="45" w:type="dxa"/>
              <w:end w:w="90" w:type="dxa"/>
            </w:tcMar>
          </w:tcPr>
          <w:p>
            <w:pPr>
              <w:spacing w:after="0"/>
              <w:jc w:val="left"/>
            </w:pPr>
            <w:r>
              <w:rPr>
                <w:sz w:val="16"/>
              </w:rPr>
              <w:t>PSNR</w:t>
            </w:r>
          </w:p>
        </w:tc>
        <w:tc>
          <w:tcPr>
            <w:tcW w:type="dxa" w:w="7488"/>
            <w:vAlign w:val="center"/>
            <w:tcBorders>
              <w:top w:val="single" w:sz="6" w:color="CDD4DC"/>
              <w:left w:val="single" w:sz="6" w:color="CDD4DC"/>
              <w:bottom w:val="single" w:sz="6" w:color="CDD4DC"/>
              <w:right w:val="single" w:sz="6" w:color="CDD4DC"/>
              <w:insideH w:val="single" w:sz="6" w:color="CDD4DC"/>
              <w:insideV w:val="single" w:sz="6" w:color="CDD4DC"/>
            </w:tcBorders>
            <w:tcMar>
              <w:top w:w="45" w:type="dxa"/>
              <w:start w:w="90" w:type="dxa"/>
              <w:bottom w:w="45" w:type="dxa"/>
              <w:end w:w="90" w:type="dxa"/>
            </w:tcMar>
          </w:tcPr>
          <w:p>
            <w:pPr>
              <w:spacing w:after="0"/>
              <w:jc w:val="center"/>
            </w:pPr>
            <w:r>
              <w:rPr>
                <w:sz w:val="16"/>
              </w:rPr>
              <w:t>Relación señal-ruido pico en dB, imagen recortada a [0, 1]; mayor es mejor.</w:t>
            </w:r>
          </w:p>
        </w:tc>
      </w:tr>
      <w:tr>
        <w:trPr>
          <w:cantSplit/>
        </w:trPr>
        <w:tc>
          <w:tcPr>
            <w:tcW w:type="dxa" w:w="2160"/>
            <w:vAlign w:val="center"/>
            <w:tcBorders>
              <w:top w:val="single" w:sz="6" w:color="CDD4DC"/>
              <w:left w:val="single" w:sz="6" w:color="CDD4DC"/>
              <w:bottom w:val="single" w:sz="6" w:color="CDD4DC"/>
              <w:right w:val="single" w:sz="6" w:color="CDD4DC"/>
              <w:insideH w:val="single" w:sz="6" w:color="CDD4DC"/>
              <w:insideV w:val="single" w:sz="6" w:color="CDD4DC"/>
            </w:tcBorders>
            <w:tcMar>
              <w:top w:w="45" w:type="dxa"/>
              <w:start w:w="90" w:type="dxa"/>
              <w:bottom w:w="45" w:type="dxa"/>
              <w:end w:w="90" w:type="dxa"/>
            </w:tcMar>
            <w:shd w:fill="F5F7F9"/>
          </w:tcPr>
          <w:p>
            <w:pPr>
              <w:spacing w:after="0"/>
              <w:jc w:val="left"/>
            </w:pPr>
            <w:r>
              <w:rPr>
                <w:sz w:val="16"/>
              </w:rPr>
              <w:t>SSIM</w:t>
            </w:r>
          </w:p>
        </w:tc>
        <w:tc>
          <w:tcPr>
            <w:tcW w:type="dxa" w:w="7488"/>
            <w:vAlign w:val="center"/>
            <w:tcBorders>
              <w:top w:val="single" w:sz="6" w:color="CDD4DC"/>
              <w:left w:val="single" w:sz="6" w:color="CDD4DC"/>
              <w:bottom w:val="single" w:sz="6" w:color="CDD4DC"/>
              <w:right w:val="single" w:sz="6" w:color="CDD4DC"/>
              <w:insideH w:val="single" w:sz="6" w:color="CDD4DC"/>
              <w:insideV w:val="single" w:sz="6" w:color="CDD4DC"/>
            </w:tcBorders>
            <w:tcMar>
              <w:top w:w="45" w:type="dxa"/>
              <w:start w:w="90" w:type="dxa"/>
              <w:bottom w:w="45" w:type="dxa"/>
              <w:end w:w="90" w:type="dxa"/>
            </w:tcMar>
            <w:shd w:fill="F5F7F9"/>
          </w:tcPr>
          <w:p>
            <w:pPr>
              <w:spacing w:after="0"/>
              <w:jc w:val="center"/>
            </w:pPr>
            <w:r>
              <w:rPr>
                <w:sz w:val="16"/>
              </w:rPr>
              <w:t>Similitud estructural en imagen [0, 1]; mayor es mejor.</w:t>
            </w:r>
          </w:p>
        </w:tc>
      </w:tr>
      <w:tr>
        <w:trPr>
          <w:cantSplit/>
        </w:trPr>
        <w:tc>
          <w:tcPr>
            <w:tcW w:type="dxa" w:w="2160"/>
            <w:vAlign w:val="center"/>
            <w:tcBorders>
              <w:top w:val="single" w:sz="6" w:color="CDD4DC"/>
              <w:left w:val="single" w:sz="6" w:color="CDD4DC"/>
              <w:bottom w:val="single" w:sz="6" w:color="CDD4DC"/>
              <w:right w:val="single" w:sz="6" w:color="CDD4DC"/>
              <w:insideH w:val="single" w:sz="6" w:color="CDD4DC"/>
              <w:insideV w:val="single" w:sz="6" w:color="CDD4DC"/>
            </w:tcBorders>
            <w:tcMar>
              <w:top w:w="45" w:type="dxa"/>
              <w:start w:w="90" w:type="dxa"/>
              <w:bottom w:w="45" w:type="dxa"/>
              <w:end w:w="90" w:type="dxa"/>
            </w:tcMar>
          </w:tcPr>
          <w:p>
            <w:pPr>
              <w:spacing w:after="0"/>
              <w:jc w:val="left"/>
            </w:pPr>
            <w:r>
              <w:rPr>
                <w:sz w:val="16"/>
              </w:rPr>
              <w:t>F1 macro</w:t>
            </w:r>
          </w:p>
        </w:tc>
        <w:tc>
          <w:tcPr>
            <w:tcW w:type="dxa" w:w="7488"/>
            <w:vAlign w:val="center"/>
            <w:tcBorders>
              <w:top w:val="single" w:sz="6" w:color="CDD4DC"/>
              <w:left w:val="single" w:sz="6" w:color="CDD4DC"/>
              <w:bottom w:val="single" w:sz="6" w:color="CDD4DC"/>
              <w:right w:val="single" w:sz="6" w:color="CDD4DC"/>
              <w:insideH w:val="single" w:sz="6" w:color="CDD4DC"/>
              <w:insideV w:val="single" w:sz="6" w:color="CDD4DC"/>
            </w:tcBorders>
            <w:tcMar>
              <w:top w:w="45" w:type="dxa"/>
              <w:start w:w="90" w:type="dxa"/>
              <w:bottom w:w="45" w:type="dxa"/>
              <w:end w:w="90" w:type="dxa"/>
            </w:tcMar>
          </w:tcPr>
          <w:p>
            <w:pPr>
              <w:spacing w:after="0"/>
              <w:jc w:val="center"/>
            </w:pPr>
            <w:r>
              <w:rPr>
                <w:sz w:val="16"/>
              </w:rPr>
              <w:t>Promedio no ponderado del F1 de cada clase; valora por igual clases frecuentes y raras.</w:t>
            </w:r>
          </w:p>
        </w:tc>
      </w:tr>
      <w:tr>
        <w:trPr>
          <w:cantSplit/>
        </w:trPr>
        <w:tc>
          <w:tcPr>
            <w:tcW w:type="dxa" w:w="2160"/>
            <w:vAlign w:val="center"/>
            <w:tcBorders>
              <w:top w:val="single" w:sz="6" w:color="CDD4DC"/>
              <w:left w:val="single" w:sz="6" w:color="CDD4DC"/>
              <w:bottom w:val="single" w:sz="6" w:color="CDD4DC"/>
              <w:right w:val="single" w:sz="6" w:color="CDD4DC"/>
              <w:insideH w:val="single" w:sz="6" w:color="CDD4DC"/>
              <w:insideV w:val="single" w:sz="6" w:color="CDD4DC"/>
            </w:tcBorders>
            <w:tcMar>
              <w:top w:w="45" w:type="dxa"/>
              <w:start w:w="90" w:type="dxa"/>
              <w:bottom w:w="45" w:type="dxa"/>
              <w:end w:w="90" w:type="dxa"/>
            </w:tcMar>
            <w:shd w:fill="F5F7F9"/>
          </w:tcPr>
          <w:p>
            <w:pPr>
              <w:spacing w:after="0"/>
              <w:jc w:val="left"/>
            </w:pPr>
            <w:r>
              <w:rPr>
                <w:sz w:val="16"/>
              </w:rPr>
              <w:t>Exactitud balanceada</w:t>
            </w:r>
          </w:p>
        </w:tc>
        <w:tc>
          <w:tcPr>
            <w:tcW w:type="dxa" w:w="7488"/>
            <w:vAlign w:val="center"/>
            <w:tcBorders>
              <w:top w:val="single" w:sz="6" w:color="CDD4DC"/>
              <w:left w:val="single" w:sz="6" w:color="CDD4DC"/>
              <w:bottom w:val="single" w:sz="6" w:color="CDD4DC"/>
              <w:right w:val="single" w:sz="6" w:color="CDD4DC"/>
              <w:insideH w:val="single" w:sz="6" w:color="CDD4DC"/>
              <w:insideV w:val="single" w:sz="6" w:color="CDD4DC"/>
            </w:tcBorders>
            <w:tcMar>
              <w:top w:w="45" w:type="dxa"/>
              <w:start w:w="90" w:type="dxa"/>
              <w:bottom w:w="45" w:type="dxa"/>
              <w:end w:w="90" w:type="dxa"/>
            </w:tcMar>
            <w:shd w:fill="F5F7F9"/>
          </w:tcPr>
          <w:p>
            <w:pPr>
              <w:spacing w:after="0"/>
              <w:jc w:val="center"/>
            </w:pPr>
            <w:r>
              <w:rPr>
                <w:sz w:val="16"/>
              </w:rPr>
              <w:t>Promedio del recall por clase; reduce el predominio de las clases frecuentes.</w:t>
            </w:r>
          </w:p>
        </w:tc>
      </w:tr>
      <w:tr>
        <w:trPr>
          <w:cantSplit/>
        </w:trPr>
        <w:tc>
          <w:tcPr>
            <w:tcW w:type="dxa" w:w="2160"/>
            <w:vAlign w:val="center"/>
            <w:tcBorders>
              <w:top w:val="single" w:sz="6" w:color="CDD4DC"/>
              <w:left w:val="single" w:sz="6" w:color="CDD4DC"/>
              <w:bottom w:val="single" w:sz="6" w:color="CDD4DC"/>
              <w:right w:val="single" w:sz="6" w:color="CDD4DC"/>
              <w:insideH w:val="single" w:sz="6" w:color="CDD4DC"/>
              <w:insideV w:val="single" w:sz="6" w:color="CDD4DC"/>
            </w:tcBorders>
            <w:tcMar>
              <w:top w:w="45" w:type="dxa"/>
              <w:start w:w="90" w:type="dxa"/>
              <w:bottom w:w="45" w:type="dxa"/>
              <w:end w:w="90" w:type="dxa"/>
            </w:tcMar>
          </w:tcPr>
          <w:p>
            <w:pPr>
              <w:spacing w:after="0"/>
              <w:jc w:val="left"/>
            </w:pPr>
            <w:r>
              <w:rPr>
                <w:sz w:val="16"/>
              </w:rPr>
              <w:t>Entropía cruzada</w:t>
            </w:r>
          </w:p>
        </w:tc>
        <w:tc>
          <w:tcPr>
            <w:tcW w:type="dxa" w:w="7488"/>
            <w:vAlign w:val="center"/>
            <w:tcBorders>
              <w:top w:val="single" w:sz="6" w:color="CDD4DC"/>
              <w:left w:val="single" w:sz="6" w:color="CDD4DC"/>
              <w:bottom w:val="single" w:sz="6" w:color="CDD4DC"/>
              <w:right w:val="single" w:sz="6" w:color="CDD4DC"/>
              <w:insideH w:val="single" w:sz="6" w:color="CDD4DC"/>
              <w:insideV w:val="single" w:sz="6" w:color="CDD4DC"/>
            </w:tcBorders>
            <w:tcMar>
              <w:top w:w="45" w:type="dxa"/>
              <w:start w:w="90" w:type="dxa"/>
              <w:bottom w:w="45" w:type="dxa"/>
              <w:end w:w="90" w:type="dxa"/>
            </w:tcMar>
          </w:tcPr>
          <w:p>
            <w:pPr>
              <w:spacing w:after="0"/>
              <w:jc w:val="center"/>
            </w:pPr>
            <w:r>
              <w:rPr>
                <w:sz w:val="16"/>
              </w:rPr>
              <w:t>Pérdida probabilística; menor es mejor y penaliza predicciones confiadas incorrectas.</w:t>
            </w:r>
          </w:p>
        </w:tc>
      </w:tr>
      <w:tr>
        <w:trPr>
          <w:cantSplit/>
        </w:trPr>
        <w:tc>
          <w:tcPr>
            <w:tcW w:type="dxa" w:w="2160"/>
            <w:vAlign w:val="center"/>
            <w:tcBorders>
              <w:top w:val="single" w:sz="6" w:color="CDD4DC"/>
              <w:left w:val="single" w:sz="6" w:color="CDD4DC"/>
              <w:bottom w:val="single" w:sz="6" w:color="CDD4DC"/>
              <w:right w:val="single" w:sz="6" w:color="CDD4DC"/>
              <w:insideH w:val="single" w:sz="6" w:color="CDD4DC"/>
              <w:insideV w:val="single" w:sz="6" w:color="CDD4DC"/>
            </w:tcBorders>
            <w:tcMar>
              <w:top w:w="45" w:type="dxa"/>
              <w:start w:w="90" w:type="dxa"/>
              <w:bottom w:w="45" w:type="dxa"/>
              <w:end w:w="90" w:type="dxa"/>
            </w:tcMar>
            <w:shd w:fill="F5F7F9"/>
          </w:tcPr>
          <w:p>
            <w:pPr>
              <w:spacing w:after="0"/>
              <w:jc w:val="left"/>
            </w:pPr>
            <w:r>
              <w:rPr>
                <w:sz w:val="16"/>
              </w:rPr>
              <w:t>AULC</w:t>
            </w:r>
          </w:p>
        </w:tc>
        <w:tc>
          <w:tcPr>
            <w:tcW w:type="dxa" w:w="7488"/>
            <w:vAlign w:val="center"/>
            <w:tcBorders>
              <w:top w:val="single" w:sz="6" w:color="CDD4DC"/>
              <w:left w:val="single" w:sz="6" w:color="CDD4DC"/>
              <w:bottom w:val="single" w:sz="6" w:color="CDD4DC"/>
              <w:right w:val="single" w:sz="6" w:color="CDD4DC"/>
              <w:insideH w:val="single" w:sz="6" w:color="CDD4DC"/>
              <w:insideV w:val="single" w:sz="6" w:color="CDD4DC"/>
            </w:tcBorders>
            <w:tcMar>
              <w:top w:w="45" w:type="dxa"/>
              <w:start w:w="90" w:type="dxa"/>
              <w:bottom w:w="45" w:type="dxa"/>
              <w:end w:w="90" w:type="dxa"/>
            </w:tcMar>
            <w:shd w:fill="F5F7F9"/>
          </w:tcPr>
          <w:p>
            <w:pPr>
              <w:spacing w:after="0"/>
              <w:jc w:val="center"/>
            </w:pPr>
            <w:r>
              <w:rPr>
                <w:sz w:val="16"/>
              </w:rPr>
              <w:t>Área trapezoidal normalizada del F1 macro sobre log10(etiquetas por clase), sin suavizado; equivale al rendimiento medio en el rango logaritmico preespecificado y no demuestra necesitar menos etiquetas.</w:t>
            </w:r>
          </w:p>
        </w:tc>
      </w:tr>
      <w:tr>
        <w:trPr>
          <w:cantSplit/>
        </w:trPr>
        <w:tc>
          <w:tcPr>
            <w:tcW w:type="dxa" w:w="2160"/>
            <w:vAlign w:val="center"/>
            <w:tcBorders>
              <w:top w:val="single" w:sz="6" w:color="CDD4DC"/>
              <w:left w:val="single" w:sz="6" w:color="CDD4DC"/>
              <w:bottom w:val="single" w:sz="6" w:color="CDD4DC"/>
              <w:right w:val="single" w:sz="6" w:color="CDD4DC"/>
              <w:insideH w:val="single" w:sz="6" w:color="CDD4DC"/>
              <w:insideV w:val="single" w:sz="6" w:color="CDD4DC"/>
            </w:tcBorders>
            <w:tcMar>
              <w:top w:w="45" w:type="dxa"/>
              <w:start w:w="90" w:type="dxa"/>
              <w:bottom w:w="45" w:type="dxa"/>
              <w:end w:w="90" w:type="dxa"/>
            </w:tcMar>
          </w:tcPr>
          <w:p>
            <w:pPr>
              <w:spacing w:after="0"/>
              <w:jc w:val="left"/>
            </w:pPr>
            <w:r>
              <w:rPr>
                <w:sz w:val="16"/>
              </w:rPr>
              <w:t>Razón de linealidad local</w:t>
            </w:r>
          </w:p>
        </w:tc>
        <w:tc>
          <w:tcPr>
            <w:tcW w:type="dxa" w:w="7488"/>
            <w:vAlign w:val="center"/>
            <w:tcBorders>
              <w:top w:val="single" w:sz="6" w:color="CDD4DC"/>
              <w:left w:val="single" w:sz="6" w:color="CDD4DC"/>
              <w:bottom w:val="single" w:sz="6" w:color="CDD4DC"/>
              <w:right w:val="single" w:sz="6" w:color="CDD4DC"/>
              <w:insideH w:val="single" w:sz="6" w:color="CDD4DC"/>
              <w:insideV w:val="single" w:sz="6" w:color="CDD4DC"/>
            </w:tcBorders>
            <w:tcMar>
              <w:top w:w="45" w:type="dxa"/>
              <w:start w:w="90" w:type="dxa"/>
              <w:bottom w:w="45" w:type="dxa"/>
              <w:end w:w="90" w:type="dxa"/>
            </w:tcMar>
          </w:tcPr>
          <w:p>
            <w:pPr>
              <w:spacing w:after="0"/>
              <w:jc w:val="center"/>
            </w:pPr>
            <w:r>
              <w:rPr>
                <w:sz w:val="16"/>
              </w:rPr>
              <w:t>RMS cíclico de la segunda diferencia de mu dividido por el RMS cíclico de la primera; depende del paso angular y debe compararse con la trayectoria de entrada.</w:t>
            </w:r>
          </w:p>
        </w:tc>
      </w:tr>
      <w:tr>
        <w:trPr>
          <w:cantSplit/>
        </w:trPr>
        <w:tc>
          <w:tcPr>
            <w:tcW w:type="dxa" w:w="2160"/>
            <w:vAlign w:val="center"/>
            <w:tcBorders>
              <w:top w:val="single" w:sz="6" w:color="CDD4DC"/>
              <w:left w:val="single" w:sz="6" w:color="CDD4DC"/>
              <w:bottom w:val="single" w:sz="6" w:color="CDD4DC"/>
              <w:right w:val="single" w:sz="6" w:color="CDD4DC"/>
              <w:insideH w:val="single" w:sz="6" w:color="CDD4DC"/>
              <w:insideV w:val="single" w:sz="6" w:color="CDD4DC"/>
            </w:tcBorders>
            <w:tcMar>
              <w:top w:w="45" w:type="dxa"/>
              <w:start w:w="90" w:type="dxa"/>
              <w:bottom w:w="45" w:type="dxa"/>
              <w:end w:w="90" w:type="dxa"/>
            </w:tcMar>
            <w:shd w:fill="F5F7F9"/>
          </w:tcPr>
          <w:p>
            <w:pPr>
              <w:spacing w:after="0"/>
              <w:jc w:val="left"/>
            </w:pPr>
            <w:r>
              <w:rPr>
                <w:sz w:val="16"/>
              </w:rPr>
              <w:t>CV del paso angular</w:t>
            </w:r>
          </w:p>
        </w:tc>
        <w:tc>
          <w:tcPr>
            <w:tcW w:type="dxa" w:w="7488"/>
            <w:vAlign w:val="center"/>
            <w:tcBorders>
              <w:top w:val="single" w:sz="6" w:color="CDD4DC"/>
              <w:left w:val="single" w:sz="6" w:color="CDD4DC"/>
              <w:bottom w:val="single" w:sz="6" w:color="CDD4DC"/>
              <w:right w:val="single" w:sz="6" w:color="CDD4DC"/>
              <w:insideH w:val="single" w:sz="6" w:color="CDD4DC"/>
              <w:insideV w:val="single" w:sz="6" w:color="CDD4DC"/>
            </w:tcBorders>
            <w:tcMar>
              <w:top w:w="45" w:type="dxa"/>
              <w:start w:w="90" w:type="dxa"/>
              <w:bottom w:w="45" w:type="dxa"/>
              <w:end w:w="90" w:type="dxa"/>
            </w:tcMar>
            <w:shd w:fill="F5F7F9"/>
          </w:tcPr>
          <w:p>
            <w:pPr>
              <w:spacing w:after="0"/>
              <w:jc w:val="center"/>
            </w:pPr>
            <w:r>
              <w:rPr>
                <w:sz w:val="16"/>
              </w:rPr>
              <w:t>Desviación estándar dividida por la media de los pasos RMS cíclicos de mu entre ángulos consecutivos; menor indica velocidad de recorrido más uniforme.</w:t>
            </w:r>
          </w:p>
        </w:tc>
      </w:tr>
      <w:tr>
        <w:trPr>
          <w:cantSplit/>
        </w:trPr>
        <w:tc>
          <w:tcPr>
            <w:tcW w:type="dxa" w:w="2160"/>
            <w:vAlign w:val="center"/>
            <w:tcBorders>
              <w:top w:val="single" w:sz="6" w:color="CDD4DC"/>
              <w:left w:val="single" w:sz="6" w:color="CDD4DC"/>
              <w:bottom w:val="single" w:sz="6" w:color="CDD4DC"/>
              <w:right w:val="single" w:sz="6" w:color="CDD4DC"/>
              <w:insideH w:val="single" w:sz="6" w:color="CDD4DC"/>
              <w:insideV w:val="single" w:sz="6" w:color="CDD4DC"/>
            </w:tcBorders>
            <w:tcMar>
              <w:top w:w="45" w:type="dxa"/>
              <w:start w:w="90" w:type="dxa"/>
              <w:bottom w:w="45" w:type="dxa"/>
              <w:end w:w="90" w:type="dxa"/>
            </w:tcMar>
          </w:tcPr>
          <w:p>
            <w:pPr>
              <w:spacing w:after="0"/>
              <w:jc w:val="left"/>
            </w:pPr>
            <w:r>
              <w:rPr>
                <w:sz w:val="16"/>
              </w:rPr>
              <w:t>Concentración armónica</w:t>
            </w:r>
          </w:p>
        </w:tc>
        <w:tc>
          <w:tcPr>
            <w:tcW w:type="dxa" w:w="7488"/>
            <w:vAlign w:val="center"/>
            <w:tcBorders>
              <w:top w:val="single" w:sz="6" w:color="CDD4DC"/>
              <w:left w:val="single" w:sz="6" w:color="CDD4DC"/>
              <w:bottom w:val="single" w:sz="6" w:color="CDD4DC"/>
              <w:right w:val="single" w:sz="6" w:color="CDD4DC"/>
              <w:insideH w:val="single" w:sz="6" w:color="CDD4DC"/>
              <w:insideV w:val="single" w:sz="6" w:color="CDD4DC"/>
            </w:tcBorders>
            <w:tcMar>
              <w:top w:w="45" w:type="dxa"/>
              <w:start w:w="90" w:type="dxa"/>
              <w:bottom w:w="45" w:type="dxa"/>
              <w:end w:w="90" w:type="dxa"/>
            </w:tcMar>
          </w:tcPr>
          <w:p>
            <w:pPr>
              <w:spacing w:after="0"/>
              <w:jc w:val="center"/>
            </w:pPr>
            <w:r>
              <w:rPr>
                <w:sz w:val="16"/>
              </w:rPr>
              <w:t>Fracción de la energía orbital cruda total capturada por m=1,...,6 dentro de PC1--PC6; una frecuencia limpia requiere además transferencia y suficiente varianza capturada.</w:t>
            </w:r>
          </w:p>
        </w:tc>
      </w:tr>
      <w:tr>
        <w:trPr>
          <w:cantSplit/>
        </w:trPr>
        <w:tc>
          <w:tcPr>
            <w:tcW w:type="dxa" w:w="2160"/>
            <w:vAlign w:val="center"/>
            <w:tcBorders>
              <w:top w:val="single" w:sz="6" w:color="CDD4DC"/>
              <w:left w:val="single" w:sz="6" w:color="CDD4DC"/>
              <w:bottom w:val="single" w:sz="6" w:color="CDD4DC"/>
              <w:right w:val="single" w:sz="6" w:color="CDD4DC"/>
              <w:insideH w:val="single" w:sz="6" w:color="CDD4DC"/>
              <w:insideV w:val="single" w:sz="6" w:color="CDD4DC"/>
            </w:tcBorders>
            <w:tcMar>
              <w:top w:w="45" w:type="dxa"/>
              <w:start w:w="90" w:type="dxa"/>
              <w:bottom w:w="45" w:type="dxa"/>
              <w:end w:w="90" w:type="dxa"/>
            </w:tcMar>
            <w:shd w:fill="F5F7F9"/>
          </w:tcPr>
          <w:p>
            <w:pPr>
              <w:spacing w:after="0"/>
              <w:jc w:val="left"/>
            </w:pPr>
            <w:r>
              <w:rPr>
                <w:sz w:val="16"/>
              </w:rPr>
              <w:t>NRMSE / R2 del generador</w:t>
            </w:r>
          </w:p>
        </w:tc>
        <w:tc>
          <w:tcPr>
            <w:tcW w:type="dxa" w:w="7488"/>
            <w:vAlign w:val="center"/>
            <w:tcBorders>
              <w:top w:val="single" w:sz="6" w:color="CDD4DC"/>
              <w:left w:val="single" w:sz="6" w:color="CDD4DC"/>
              <w:bottom w:val="single" w:sz="6" w:color="CDD4DC"/>
              <w:right w:val="single" w:sz="6" w:color="CDD4DC"/>
              <w:insideH w:val="single" w:sz="6" w:color="CDD4DC"/>
              <w:insideV w:val="single" w:sz="6" w:color="CDD4DC"/>
            </w:tcBorders>
            <w:tcMar>
              <w:top w:w="45" w:type="dxa"/>
              <w:start w:w="90" w:type="dxa"/>
              <w:bottom w:w="45" w:type="dxa"/>
              <w:end w:w="90" w:type="dxa"/>
            </w:tcMar>
            <w:shd w:fill="F5F7F9"/>
          </w:tcPr>
          <w:p>
            <w:pPr>
              <w:spacing w:after="0"/>
              <w:jc w:val="center"/>
            </w:pPr>
            <w:r>
              <w:rPr>
                <w:sz w:val="16"/>
              </w:rPr>
              <w:t>Predicción de ángulos y parches retenidos con una única acción exp(theta A); NRMSE menor y R2 mayor son mejores, siempre contra identidad y ángulos barajados.</w:t>
            </w:r>
          </w:p>
        </w:tc>
      </w:tr>
      <w:tr>
        <w:trPr>
          <w:cantSplit/>
        </w:trPr>
        <w:tc>
          <w:tcPr>
            <w:tcW w:type="dxa" w:w="2160"/>
            <w:vAlign w:val="center"/>
            <w:tcBorders>
              <w:top w:val="single" w:sz="6" w:color="CDD4DC"/>
              <w:left w:val="single" w:sz="6" w:color="CDD4DC"/>
              <w:bottom w:val="single" w:sz="6" w:color="CDD4DC"/>
              <w:right w:val="single" w:sz="6" w:color="CDD4DC"/>
              <w:insideH w:val="single" w:sz="6" w:color="CDD4DC"/>
              <w:insideV w:val="single" w:sz="6" w:color="CDD4DC"/>
            </w:tcBorders>
            <w:tcMar>
              <w:top w:w="45" w:type="dxa"/>
              <w:start w:w="90" w:type="dxa"/>
              <w:bottom w:w="45" w:type="dxa"/>
              <w:end w:w="90" w:type="dxa"/>
            </w:tcMar>
          </w:tcPr>
          <w:p>
            <w:pPr>
              <w:spacing w:after="0"/>
              <w:jc w:val="left"/>
            </w:pPr>
            <w:r>
              <w:rPr>
                <w:sz w:val="16"/>
              </w:rPr>
              <w:t>Residuo de acción conocida</w:t>
            </w:r>
          </w:p>
        </w:tc>
        <w:tc>
          <w:tcPr>
            <w:tcW w:type="dxa" w:w="7488"/>
            <w:vAlign w:val="center"/>
            <w:tcBorders>
              <w:top w:val="single" w:sz="6" w:color="CDD4DC"/>
              <w:left w:val="single" w:sz="6" w:color="CDD4DC"/>
              <w:bottom w:val="single" w:sz="6" w:color="CDD4DC"/>
              <w:right w:val="single" w:sz="6" w:color="CDD4DC"/>
              <w:insideH w:val="single" w:sz="6" w:color="CDD4DC"/>
              <w:insideV w:val="single" w:sz="6" w:color="CDD4DC"/>
            </w:tcBorders>
            <w:tcMar>
              <w:top w:w="45" w:type="dxa"/>
              <w:start w:w="90" w:type="dxa"/>
              <w:bottom w:w="45" w:type="dxa"/>
              <w:end w:w="90" w:type="dxa"/>
            </w:tcMar>
          </w:tcPr>
          <w:p>
            <w:pPr>
              <w:spacing w:after="0"/>
              <w:jc w:val="center"/>
            </w:pPr>
            <w:r>
              <w:rPr>
                <w:sz w:val="16"/>
              </w:rPr>
              <w:t>Norma relativa entre E(R_theta x) y la rotación espacial de E(x) dentro del disco latente; cero representa equivarianza exacta.</w:t>
            </w:r>
          </w:p>
        </w:tc>
      </w:tr>
      <w:tr>
        <w:trPr>
          <w:cantSplit/>
        </w:trPr>
        <w:tc>
          <w:tcPr>
            <w:tcW w:type="dxa" w:w="2160"/>
            <w:vAlign w:val="center"/>
            <w:tcBorders>
              <w:top w:val="single" w:sz="6" w:color="CDD4DC"/>
              <w:left w:val="single" w:sz="6" w:color="CDD4DC"/>
              <w:bottom w:val="single" w:sz="6" w:color="CDD4DC"/>
              <w:right w:val="single" w:sz="6" w:color="CDD4DC"/>
              <w:insideH w:val="single" w:sz="6" w:color="CDD4DC"/>
              <w:insideV w:val="single" w:sz="6" w:color="CDD4DC"/>
            </w:tcBorders>
            <w:tcMar>
              <w:top w:w="45" w:type="dxa"/>
              <w:start w:w="90" w:type="dxa"/>
              <w:bottom w:w="45" w:type="dxa"/>
              <w:end w:w="90" w:type="dxa"/>
            </w:tcMar>
            <w:shd w:fill="F5F7F9"/>
          </w:tcPr>
          <w:p>
            <w:pPr>
              <w:spacing w:after="0"/>
              <w:jc w:val="left"/>
            </w:pPr>
            <w:r>
              <w:rPr>
                <w:sz w:val="16"/>
              </w:rPr>
              <w:t>Razón de acción decodificada</w:t>
            </w:r>
          </w:p>
        </w:tc>
        <w:tc>
          <w:tcPr>
            <w:tcW w:type="dxa" w:w="7488"/>
            <w:vAlign w:val="center"/>
            <w:tcBorders>
              <w:top w:val="single" w:sz="6" w:color="CDD4DC"/>
              <w:left w:val="single" w:sz="6" w:color="CDD4DC"/>
              <w:bottom w:val="single" w:sz="6" w:color="CDD4DC"/>
              <w:right w:val="single" w:sz="6" w:color="CDD4DC"/>
              <w:insideH w:val="single" w:sz="6" w:color="CDD4DC"/>
              <w:insideV w:val="single" w:sz="6" w:color="CDD4DC"/>
            </w:tcBorders>
            <w:tcMar>
              <w:top w:w="45" w:type="dxa"/>
              <w:start w:w="90" w:type="dxa"/>
              <w:bottom w:w="45" w:type="dxa"/>
              <w:end w:w="90" w:type="dxa"/>
            </w:tcMar>
            <w:shd w:fill="F5F7F9"/>
          </w:tcPr>
          <w:p>
            <w:pPr>
              <w:spacing w:after="0"/>
              <w:jc w:val="center"/>
            </w:pPr>
            <w:r>
              <w:rPr>
                <w:sz w:val="16"/>
              </w:rPr>
              <w:t>RMS entre D(rho_T mu(x)) y T D(mu(x)), dividido por el error de dejar mu sin transformar. Uno es la línea base de no actuar; menor es mejor y 0,50 significa reducir ese error al menos a la mitad.</w:t>
            </w:r>
          </w:p>
        </w:tc>
      </w:tr>
      <w:tr>
        <w:trPr>
          <w:cantSplit/>
        </w:trPr>
        <w:tc>
          <w:tcPr>
            <w:tcW w:type="dxa" w:w="2160"/>
            <w:vAlign w:val="center"/>
            <w:tcBorders>
              <w:top w:val="single" w:sz="6" w:color="CDD4DC"/>
              <w:left w:val="single" w:sz="6" w:color="CDD4DC"/>
              <w:bottom w:val="single" w:sz="6" w:color="CDD4DC"/>
              <w:right w:val="single" w:sz="6" w:color="CDD4DC"/>
              <w:insideH w:val="single" w:sz="6" w:color="CDD4DC"/>
              <w:insideV w:val="single" w:sz="6" w:color="CDD4DC"/>
            </w:tcBorders>
            <w:tcMar>
              <w:top w:w="45" w:type="dxa"/>
              <w:start w:w="90" w:type="dxa"/>
              <w:bottom w:w="45" w:type="dxa"/>
              <w:end w:w="90" w:type="dxa"/>
            </w:tcMar>
          </w:tcPr>
          <w:p>
            <w:pPr>
              <w:spacing w:after="0"/>
              <w:jc w:val="left"/>
            </w:pPr>
            <w:r>
              <w:rPr>
                <w:sz w:val="16"/>
              </w:rPr>
              <w:t>Razón de canonicalización decodificada</w:t>
            </w:r>
          </w:p>
        </w:tc>
        <w:tc>
          <w:tcPr>
            <w:tcW w:type="dxa" w:w="7488"/>
            <w:vAlign w:val="center"/>
            <w:tcBorders>
              <w:top w:val="single" w:sz="6" w:color="CDD4DC"/>
              <w:left w:val="single" w:sz="6" w:color="CDD4DC"/>
              <w:bottom w:val="single" w:sz="6" w:color="CDD4DC"/>
              <w:right w:val="single" w:sz="6" w:color="CDD4DC"/>
              <w:insideH w:val="single" w:sz="6" w:color="CDD4DC"/>
              <w:insideV w:val="single" w:sz="6" w:color="CDD4DC"/>
            </w:tcBorders>
            <w:tcMar>
              <w:top w:w="45" w:type="dxa"/>
              <w:start w:w="90" w:type="dxa"/>
              <w:bottom w:w="45" w:type="dxa"/>
              <w:end w:w="90" w:type="dxa"/>
            </w:tcMar>
          </w:tcPr>
          <w:p>
            <w:pPr>
              <w:spacing w:after="0"/>
              <w:jc w:val="center"/>
            </w:pPr>
            <w:r>
              <w:rPr>
                <w:sz w:val="16"/>
              </w:rPr>
              <w:t>RMS entre D(rho_T^-1 mu(Tx)) y D(mu(x)), dividido por el error sin desrotar el embedding. Mide consistencia entre rutas, no fidelidad frente a la imagen original.</w:t>
            </w:r>
          </w:p>
        </w:tc>
      </w:tr>
      <w:tr>
        <w:trPr>
          <w:cantSplit/>
        </w:trPr>
        <w:tc>
          <w:tcPr>
            <w:tcW w:type="dxa" w:w="2160"/>
            <w:vAlign w:val="center"/>
            <w:tcBorders>
              <w:top w:val="single" w:sz="6" w:color="CDD4DC"/>
              <w:left w:val="single" w:sz="6" w:color="CDD4DC"/>
              <w:bottom w:val="single" w:sz="6" w:color="CDD4DC"/>
              <w:right w:val="single" w:sz="6" w:color="CDD4DC"/>
              <w:insideH w:val="single" w:sz="6" w:color="CDD4DC"/>
              <w:insideV w:val="single" w:sz="6" w:color="CDD4DC"/>
            </w:tcBorders>
            <w:tcMar>
              <w:top w:w="45" w:type="dxa"/>
              <w:start w:w="90" w:type="dxa"/>
              <w:bottom w:w="45" w:type="dxa"/>
              <w:end w:w="90" w:type="dxa"/>
            </w:tcMar>
            <w:shd w:fill="F5F7F9"/>
          </w:tcPr>
          <w:p>
            <w:pPr>
              <w:spacing w:after="0"/>
              <w:jc w:val="left"/>
            </w:pPr>
            <w:r>
              <w:rPr>
                <w:sz w:val="16"/>
              </w:rPr>
              <w:t>F = W / B</w:t>
            </w:r>
          </w:p>
        </w:tc>
        <w:tc>
          <w:tcPr>
            <w:tcW w:type="dxa" w:w="7488"/>
            <w:vAlign w:val="center"/>
            <w:tcBorders>
              <w:top w:val="single" w:sz="6" w:color="CDD4DC"/>
              <w:left w:val="single" w:sz="6" w:color="CDD4DC"/>
              <w:bottom w:val="single" w:sz="6" w:color="CDD4DC"/>
              <w:right w:val="single" w:sz="6" w:color="CDD4DC"/>
              <w:insideH w:val="single" w:sz="6" w:color="CDD4DC"/>
              <w:insideV w:val="single" w:sz="6" w:color="CDD4DC"/>
            </w:tcBorders>
            <w:tcMar>
              <w:top w:w="45" w:type="dxa"/>
              <w:start w:w="90" w:type="dxa"/>
              <w:bottom w:w="45" w:type="dxa"/>
              <w:end w:w="90" w:type="dxa"/>
            </w:tcMar>
            <w:shd w:fill="F5F7F9"/>
          </w:tcPr>
          <w:p>
            <w:pPr>
              <w:spacing w:after="0"/>
              <w:jc w:val="center"/>
            </w:pPr>
            <w:r>
              <w:rPr>
                <w:sz w:val="16"/>
              </w:rPr>
              <w:t>Varianza intraórbita después de canonicalizar dividida por varianza entre parches; sólo apoya factorización si la acción es válida, W disminuye y el contenido se conserva.</w:t>
            </w:r>
          </w:p>
        </w:tc>
      </w:tr>
    </w:tbl>
    <w:p>
      <w:pPr>
        <w:spacing w:after="0"/>
      </w:pPr>
    </w:p>
    <w:p>
      <w:pPr>
        <w:pStyle w:val="Heading2"/>
        <w:keepNext/>
        <w:keepLines/>
      </w:pPr>
      <w:r>
        <w:t>Trazabilidad de resultados</w:t>
      </w:r>
    </w:p>
    <w:p>
      <w:pPr>
        <w:pStyle w:val="BodyText"/>
      </w:pPr>
      <w:r>
        <w:t>Fuentes aceptadas: professor_metrics_v1; vae_test_reconstruction_scored_v1; ubc_ocean_mil_test_scored_v1; tissue_test_scored_v1; la PCA espacial fija de frozen_vae_rotation_orbits; Kaggle maximshtefan/eqvae-corrected-rotation-geometry/1; y Kaggle maximshtefan/eqvae-decoded-latent-transform-audit/1. Para Spec 0050, el resumen geométrico tiene SHA-256 aab68ca5b7cbe989ea1cd79740a64d83784441f85ffde09a6ee6ebebe7faf43c y el addendum ec74b37f509205bca12294321844a3cfb48dbd2f1763c8ff94290fe064e86f94. Para Spec 0051, el resumen tiene SHA-256 616e3a6c9caa6b8e72a0b21f41a5121d7a5baa420f8023b35775fedaf252a754, el manifiesto a1168b419080305138f7aedca4c1ed345c3d5947e78299b0e5ea1430a75d3c50 y el addendum b0fa0cc2eebe1207fcc2da7a00c30b9b85c40f4353e332131423f76f6c380e34. El artefacto dense-rotation-population/1 se conserva sólo como procedencia supersedida. El informe no recalcula inferencia, cambia umbrales ni selecciona ejemplos.</w:t>
      </w:r>
    </w:p>
    <w:sectPr w:rsidR="00FC693F" w:rsidRPr="0006063C" w:rsidSect="00034616">
      <w:headerReference w:type="default" r:id="rId9"/>
      <w:footerReference w:type="default" r:id="rId10"/>
      <w:pgSz w:w="12240" w:h="15840"/>
      <w:pgMar w:top="979" w:right="1037" w:bottom="965" w:left="1037"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52606D"/>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color w:val="52606D"/>
        <w:sz w:val="16"/>
      </w:rPr>
      <w:t>Informe final | VAE no equivariante vs. VAE SO(2)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s-CO" w:eastAsia="es-CO" w:bidi="es-CO"/>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s-CO" w:eastAsia="es-CO" w:bidi="es-CO"/>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0" w:lineRule="auto"/>
    </w:pPr>
    <w:rPr>
      <w:rFonts w:ascii="Liberation Sans" w:hAnsi="Liberation Sans" w:eastAsia="Liberation Sans"/>
      <w:color w:val="1F2933"/>
      <w:sz w:val="20"/>
      <w:lang w:val="es-CO" w:eastAsia="es-CO" w:bidi="es-CO"/>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es-CO" w:eastAsia="es-CO" w:bidi="es-CO"/>
    </w:rPr>
  </w:style>
  <w:style w:type="character" w:customStyle="1" w:styleId="HeaderChar">
    <w:name w:val="Header Char"/>
    <w:basedOn w:val="DefaultParagraphFont"/>
    <w:link w:val="Header"/>
    <w:uiPriority w:val="99"/>
    <w:rsid w:val="00E618BF"/>
    <w:rPr>
      <w:lang w:val="es-CO" w:eastAsia="es-CO" w:bidi="es-CO"/>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es-CO" w:eastAsia="es-CO" w:bidi="es-CO"/>
    </w:rPr>
  </w:style>
  <w:style w:type="character" w:customStyle="1" w:styleId="FooterChar">
    <w:name w:val="Footer Char"/>
    <w:basedOn w:val="DefaultParagraphFont"/>
    <w:link w:val="Footer"/>
    <w:uiPriority w:val="99"/>
    <w:rsid w:val="00E618BF"/>
    <w:rPr>
      <w:lang w:val="es-CO" w:eastAsia="es-CO" w:bidi="es-CO"/>
    </w:rPr>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Liberation Sans" w:hAnsi="Liberation Sans" w:eastAsia="Liberation Sans"/>
      <w:b/>
      <w:bCs/>
      <w:color w:val="1F2933"/>
      <w:sz w:val="34"/>
      <w:szCs w:val="28"/>
      <w:lang w:val="es-CO" w:eastAsia="es-CO" w:bidi="es-CO"/>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Liberation Sans" w:hAnsi="Liberation Sans" w:eastAsia="Liberation Sans"/>
      <w:b/>
      <w:bCs/>
      <w:color w:val="1F2933"/>
      <w:sz w:val="26"/>
      <w:szCs w:val="26"/>
      <w:lang w:val="es-CO" w:eastAsia="es-CO" w:bidi="es-CO"/>
    </w:rPr>
  </w:style>
  <w:style w:type="paragraph" w:styleId="Heading3">
    <w:name w:val="heading 3"/>
    <w:basedOn w:val="Normal"/>
    <w:next w:val="Normal"/>
    <w:link w:val="Heading3Char"/>
    <w:uiPriority w:val="9"/>
    <w:unhideWhenUsed/>
    <w:qFormat/>
    <w:rsid w:val="00FC693F"/>
    <w:pPr>
      <w:keepNext/>
      <w:keepLines/>
      <w:spacing w:before="100" w:after="60"/>
      <w:outlineLvl w:val="2"/>
    </w:pPr>
    <w:rPr>
      <w:rFonts w:asciiTheme="majorHAnsi" w:eastAsiaTheme="majorEastAsia" w:hAnsiTheme="majorHAnsi" w:cstheme="majorBidi" w:ascii="Liberation Sans" w:hAnsi="Liberation Sans" w:eastAsia="Liberation Sans"/>
      <w:b/>
      <w:bCs/>
      <w:color w:val="1F2933"/>
      <w:sz w:val="22"/>
      <w:lang w:val="es-CO" w:eastAsia="es-CO" w:bidi="es-CO"/>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lang w:val="es-CO" w:eastAsia="es-CO" w:bidi="es-CO"/>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es-CO" w:eastAsia="es-CO" w:bidi="es-CO"/>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es-CO" w:eastAsia="es-CO" w:bidi="es-CO"/>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es-CO" w:eastAsia="es-CO" w:bidi="es-CO"/>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es-CO" w:eastAsia="es-CO" w:bidi="es-CO"/>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es-CO" w:eastAsia="es-CO" w:bidi="es-CO"/>
    </w:rPr>
  </w:style>
  <w:style w:type="character" w:default="1" w:styleId="DefaultParagraphFont">
    <w:name w:val="Default Paragraph Font"/>
    <w:uiPriority w:val="1"/>
    <w:semiHidden/>
    <w:unhideWhenUsed/>
    <w:rPr>
      <w:lang w:val="es-CO" w:eastAsia="es-CO" w:bidi="es-CO"/>
    </w:rPr>
  </w:style>
  <w:style w:type="table" w:default="1" w:styleId="TableNormal">
    <w:name w:val="Normal Table"/>
    <w:uiPriority w:val="99"/>
    <w:semiHidden/>
    <w:unhideWhenUsed/>
    <w:rPr>
      <w:lang w:val="es-CO" w:eastAsia="es-CO" w:bidi="es-CO"/>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es-CO" w:eastAsia="es-CO" w:bidi="es-CO"/>
    </w:rPr>
  </w:style>
  <w:style w:type="paragraph" w:styleId="NoSpacing">
    <w:name w:val="No Spacing"/>
    <w:uiPriority w:val="1"/>
    <w:qFormat/>
    <w:rsid w:val="00FC693F"/>
    <w:pPr>
      <w:spacing w:after="0" w:line="240" w:lineRule="auto"/>
    </w:pPr>
    <w:rPr>
      <w:lang w:val="es-CO" w:eastAsia="es-CO" w:bidi="es-CO"/>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lang w:val="es-CO" w:eastAsia="es-CO" w:bidi="es-CO"/>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lang w:val="es-CO" w:eastAsia="es-CO" w:bidi="es-CO"/>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lang w:val="es-CO" w:eastAsia="es-CO" w:bidi="es-CO"/>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lang w:val="es-CO" w:eastAsia="es-CO" w:bidi="es-CO"/>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lang w:val="es-CO" w:eastAsia="es-CO" w:bidi="es-CO"/>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es-CO" w:eastAsia="es-CO" w:bidi="es-CO"/>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es-CO" w:eastAsia="es-CO" w:bidi="es-CO"/>
    </w:rPr>
  </w:style>
  <w:style w:type="paragraph" w:styleId="ListParagraph">
    <w:name w:val="List Paragraph"/>
    <w:basedOn w:val="Normal"/>
    <w:uiPriority w:val="34"/>
    <w:qFormat/>
    <w:rsid w:val="00FC693F"/>
    <w:pPr>
      <w:ind w:left="720"/>
      <w:contextualSpacing/>
    </w:pPr>
    <w:rPr>
      <w:lang w:val="es-CO" w:eastAsia="es-CO" w:bidi="es-CO"/>
    </w:rPr>
  </w:style>
  <w:style w:type="paragraph" w:styleId="BodyText">
    <w:name w:val="Body Text"/>
    <w:basedOn w:val="Normal"/>
    <w:link w:val="BodyTextChar"/>
    <w:uiPriority w:val="99"/>
    <w:unhideWhenUsed/>
    <w:rsid w:val="00AA1D8D"/>
    <w:pPr>
      <w:spacing w:after="100" w:line="259" w:lineRule="auto"/>
      <w:ind w:left="0" w:right="0" w:firstLine="0"/>
    </w:pPr>
    <w:rPr>
      <w:rFonts w:ascii="Liberation Sans" w:hAnsi="Liberation Sans" w:eastAsia="Liberation Sans"/>
      <w:color w:val="1F2933"/>
      <w:sz w:val="20"/>
      <w:lang w:val="es-CO" w:eastAsia="es-CO" w:bidi="es-CO"/>
    </w:rPr>
  </w:style>
  <w:style w:type="character" w:customStyle="1" w:styleId="BodyTextChar">
    <w:name w:val="Body Text Char"/>
    <w:basedOn w:val="DefaultParagraphFont"/>
    <w:link w:val="BodyText"/>
    <w:uiPriority w:val="99"/>
    <w:rsid w:val="00AA1D8D"/>
    <w:rPr>
      <w:lang w:val="es-CO" w:eastAsia="es-CO" w:bidi="es-CO"/>
    </w:rPr>
  </w:style>
  <w:style w:type="paragraph" w:styleId="BodyText2">
    <w:name w:val="Body Text 2"/>
    <w:basedOn w:val="Normal"/>
    <w:link w:val="BodyText2Char"/>
    <w:uiPriority w:val="99"/>
    <w:unhideWhenUsed/>
    <w:rsid w:val="00AA1D8D"/>
    <w:pPr>
      <w:spacing w:after="120" w:line="480" w:lineRule="auto"/>
    </w:pPr>
    <w:rPr>
      <w:lang w:val="es-CO" w:eastAsia="es-CO" w:bidi="es-CO"/>
    </w:rPr>
  </w:style>
  <w:style w:type="character" w:customStyle="1" w:styleId="BodyText2Char">
    <w:name w:val="Body Text 2 Char"/>
    <w:basedOn w:val="DefaultParagraphFont"/>
    <w:link w:val="BodyText2"/>
    <w:uiPriority w:val="99"/>
    <w:rsid w:val="00AA1D8D"/>
    <w:rPr>
      <w:lang w:val="es-CO" w:eastAsia="es-CO" w:bidi="es-CO"/>
    </w:rPr>
  </w:style>
  <w:style w:type="paragraph" w:styleId="BodyText3">
    <w:name w:val="Body Text 3"/>
    <w:basedOn w:val="Normal"/>
    <w:link w:val="BodyText3Char"/>
    <w:uiPriority w:val="99"/>
    <w:unhideWhenUsed/>
    <w:rsid w:val="00AA1D8D"/>
    <w:pPr>
      <w:spacing w:after="120"/>
    </w:pPr>
    <w:rPr>
      <w:sz w:val="16"/>
      <w:szCs w:val="16"/>
      <w:lang w:val="es-CO" w:eastAsia="es-CO" w:bidi="es-CO"/>
    </w:rPr>
  </w:style>
  <w:style w:type="character" w:customStyle="1" w:styleId="BodyText3Char">
    <w:name w:val="Body Text 3 Char"/>
    <w:basedOn w:val="DefaultParagraphFont"/>
    <w:link w:val="BodyText3"/>
    <w:uiPriority w:val="99"/>
    <w:rsid w:val="00AA1D8D"/>
    <w:rPr>
      <w:sz w:val="16"/>
      <w:szCs w:val="16"/>
      <w:lang w:val="es-CO" w:eastAsia="es-CO" w:bidi="es-CO"/>
    </w:rPr>
  </w:style>
  <w:style w:type="paragraph" w:styleId="List">
    <w:name w:val="List"/>
    <w:basedOn w:val="Normal"/>
    <w:uiPriority w:val="99"/>
    <w:unhideWhenUsed/>
    <w:rsid w:val="00AA1D8D"/>
    <w:pPr>
      <w:ind w:left="360" w:hanging="360"/>
      <w:contextualSpacing/>
    </w:pPr>
    <w:rPr>
      <w:lang w:val="es-CO" w:eastAsia="es-CO" w:bidi="es-CO"/>
    </w:rPr>
  </w:style>
  <w:style w:type="paragraph" w:styleId="List2">
    <w:name w:val="List 2"/>
    <w:basedOn w:val="Normal"/>
    <w:uiPriority w:val="99"/>
    <w:unhideWhenUsed/>
    <w:rsid w:val="00326F90"/>
    <w:pPr>
      <w:ind w:left="720" w:hanging="360"/>
      <w:contextualSpacing/>
    </w:pPr>
    <w:rPr>
      <w:lang w:val="es-CO" w:eastAsia="es-CO" w:bidi="es-CO"/>
    </w:rPr>
  </w:style>
  <w:style w:type="paragraph" w:styleId="List3">
    <w:name w:val="List 3"/>
    <w:basedOn w:val="Normal"/>
    <w:uiPriority w:val="99"/>
    <w:unhideWhenUsed/>
    <w:rsid w:val="00326F90"/>
    <w:pPr>
      <w:ind w:left="1080" w:hanging="360"/>
      <w:contextualSpacing/>
    </w:pPr>
    <w:rPr>
      <w:lang w:val="es-CO" w:eastAsia="es-CO" w:bidi="es-CO"/>
    </w:rPr>
  </w:style>
  <w:style w:type="paragraph" w:styleId="ListBullet">
    <w:name w:val="List Bullet"/>
    <w:basedOn w:val="Normal"/>
    <w:uiPriority w:val="99"/>
    <w:unhideWhenUsed/>
    <w:rsid w:val="00326F90"/>
    <w:pPr>
      <w:numPr>
        <w:numId w:val="1"/>
      </w:numPr>
      <w:spacing w:after="60"/>
      <w:contextualSpacing/>
    </w:pPr>
    <w:rPr>
      <w:rFonts w:ascii="Liberation Sans" w:hAnsi="Liberation Sans"/>
      <w:sz w:val="20"/>
      <w:lang w:val="es-CO" w:eastAsia="es-CO" w:bidi="es-CO"/>
    </w:rPr>
  </w:style>
  <w:style w:type="paragraph" w:styleId="ListBullet2">
    <w:name w:val="List Bullet 2"/>
    <w:basedOn w:val="Normal"/>
    <w:uiPriority w:val="99"/>
    <w:unhideWhenUsed/>
    <w:rsid w:val="00326F90"/>
    <w:pPr>
      <w:numPr>
        <w:numId w:val="2"/>
      </w:numPr>
      <w:spacing w:after="60"/>
      <w:contextualSpacing/>
    </w:pPr>
    <w:rPr>
      <w:rFonts w:ascii="Liberation Sans" w:hAnsi="Liberation Sans"/>
      <w:sz w:val="20"/>
      <w:lang w:val="es-CO" w:eastAsia="es-CO" w:bidi="es-CO"/>
    </w:rPr>
  </w:style>
  <w:style w:type="paragraph" w:styleId="ListBullet3">
    <w:name w:val="List Bullet 3"/>
    <w:basedOn w:val="Normal"/>
    <w:uiPriority w:val="99"/>
    <w:unhideWhenUsed/>
    <w:rsid w:val="00326F90"/>
    <w:pPr>
      <w:numPr>
        <w:numId w:val="3"/>
      </w:numPr>
      <w:contextualSpacing/>
    </w:pPr>
    <w:rPr>
      <w:lang w:val="es-CO" w:eastAsia="es-CO" w:bidi="es-CO"/>
    </w:rPr>
  </w:style>
  <w:style w:type="paragraph" w:styleId="ListNumber">
    <w:name w:val="List Number"/>
    <w:basedOn w:val="Normal"/>
    <w:uiPriority w:val="99"/>
    <w:unhideWhenUsed/>
    <w:rsid w:val="00326F90"/>
    <w:pPr>
      <w:numPr>
        <w:numId w:val="5"/>
      </w:numPr>
      <w:contextualSpacing/>
    </w:pPr>
    <w:rPr>
      <w:lang w:val="es-CO" w:eastAsia="es-CO" w:bidi="es-CO"/>
    </w:rPr>
  </w:style>
  <w:style w:type="paragraph" w:styleId="ListNumber2">
    <w:name w:val="List Number 2"/>
    <w:basedOn w:val="Normal"/>
    <w:uiPriority w:val="99"/>
    <w:unhideWhenUsed/>
    <w:rsid w:val="0029639D"/>
    <w:pPr>
      <w:numPr>
        <w:numId w:val="6"/>
      </w:numPr>
      <w:contextualSpacing/>
    </w:pPr>
    <w:rPr>
      <w:lang w:val="es-CO" w:eastAsia="es-CO" w:bidi="es-CO"/>
    </w:rPr>
  </w:style>
  <w:style w:type="paragraph" w:styleId="ListNumber3">
    <w:name w:val="List Number 3"/>
    <w:basedOn w:val="Normal"/>
    <w:uiPriority w:val="99"/>
    <w:unhideWhenUsed/>
    <w:rsid w:val="0029639D"/>
    <w:pPr>
      <w:numPr>
        <w:numId w:val="7"/>
      </w:numPr>
      <w:contextualSpacing/>
    </w:pPr>
    <w:rPr>
      <w:lang w:val="es-CO" w:eastAsia="es-CO" w:bidi="es-CO"/>
    </w:rPr>
  </w:style>
  <w:style w:type="paragraph" w:styleId="ListContinue">
    <w:name w:val="List Continue"/>
    <w:basedOn w:val="Normal"/>
    <w:uiPriority w:val="99"/>
    <w:unhideWhenUsed/>
    <w:rsid w:val="0029639D"/>
    <w:pPr>
      <w:spacing w:after="120"/>
      <w:ind w:left="360"/>
      <w:contextualSpacing/>
    </w:pPr>
    <w:rPr>
      <w:lang w:val="es-CO" w:eastAsia="es-CO" w:bidi="es-CO"/>
    </w:rPr>
  </w:style>
  <w:style w:type="paragraph" w:styleId="ListContinue2">
    <w:name w:val="List Continue 2"/>
    <w:basedOn w:val="Normal"/>
    <w:uiPriority w:val="99"/>
    <w:unhideWhenUsed/>
    <w:rsid w:val="0029639D"/>
    <w:pPr>
      <w:spacing w:after="120"/>
      <w:ind w:left="720"/>
      <w:contextualSpacing/>
    </w:pPr>
    <w:rPr>
      <w:lang w:val="es-CO" w:eastAsia="es-CO" w:bidi="es-CO"/>
    </w:rPr>
  </w:style>
  <w:style w:type="paragraph" w:styleId="ListContinue3">
    <w:name w:val="List Continue 3"/>
    <w:basedOn w:val="Normal"/>
    <w:uiPriority w:val="99"/>
    <w:unhideWhenUsed/>
    <w:rsid w:val="0029639D"/>
    <w:pPr>
      <w:spacing w:after="120"/>
      <w:ind w:left="1080"/>
      <w:contextualSpacing/>
    </w:pPr>
    <w:rPr>
      <w:lang w:val="es-CO" w:eastAsia="es-CO" w:bidi="es-CO"/>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es-CO" w:eastAsia="es-CO" w:bidi="es-CO"/>
    </w:rPr>
  </w:style>
  <w:style w:type="character" w:customStyle="1" w:styleId="MacroTextChar">
    <w:name w:val="Macro Text Char"/>
    <w:basedOn w:val="DefaultParagraphFont"/>
    <w:link w:val="MacroText"/>
    <w:uiPriority w:val="99"/>
    <w:rsid w:val="0029639D"/>
    <w:rPr>
      <w:rFonts w:ascii="Courier" w:hAnsi="Courier"/>
      <w:sz w:val="20"/>
      <w:szCs w:val="20"/>
      <w:lang w:val="es-CO" w:eastAsia="es-CO" w:bidi="es-CO"/>
    </w:rPr>
  </w:style>
  <w:style w:type="paragraph" w:styleId="Quote">
    <w:name w:val="Quote"/>
    <w:basedOn w:val="Normal"/>
    <w:next w:val="Normal"/>
    <w:link w:val="QuoteChar"/>
    <w:uiPriority w:val="29"/>
    <w:qFormat/>
    <w:rsid w:val="00FC693F"/>
    <w:rPr>
      <w:i/>
      <w:iCs/>
      <w:color w:val="000000" w:themeColor="text1"/>
      <w:lang w:val="es-CO" w:eastAsia="es-CO" w:bidi="es-CO"/>
    </w:rPr>
  </w:style>
  <w:style w:type="character" w:customStyle="1" w:styleId="QuoteChar">
    <w:name w:val="Quote Char"/>
    <w:basedOn w:val="DefaultParagraphFont"/>
    <w:link w:val="Quote"/>
    <w:uiPriority w:val="29"/>
    <w:rsid w:val="00FC693F"/>
    <w:rPr>
      <w:i/>
      <w:iCs/>
      <w:color w:val="000000" w:themeColor="text1"/>
      <w:lang w:val="es-CO" w:eastAsia="es-CO" w:bidi="es-CO"/>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lang w:val="es-CO" w:eastAsia="es-CO" w:bidi="es-CO"/>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es-CO" w:eastAsia="es-CO" w:bidi="es-CO"/>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es-CO" w:eastAsia="es-CO" w:bidi="es-CO"/>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es-CO" w:eastAsia="es-CO" w:bidi="es-CO"/>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es-CO" w:eastAsia="es-CO" w:bidi="es-CO"/>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es-CO" w:eastAsia="es-CO" w:bidi="es-CO"/>
    </w:rPr>
  </w:style>
  <w:style w:type="paragraph" w:styleId="Caption">
    <w:name w:val="caption"/>
    <w:basedOn w:val="Normal"/>
    <w:next w:val="Normal"/>
    <w:uiPriority w:val="35"/>
    <w:semiHidden/>
    <w:unhideWhenUsed/>
    <w:qFormat/>
    <w:rsid w:val="00FC693F"/>
    <w:pPr>
      <w:spacing w:line="240" w:lineRule="auto" w:after="100"/>
    </w:pPr>
    <w:rPr>
      <w:rFonts w:ascii="Liberation Sans" w:hAnsi="Liberation Sans" w:eastAsia="Liberation Sans"/>
      <w:b/>
      <w:bCs/>
      <w:i w:val="0"/>
      <w:color w:val="52606D"/>
      <w:sz w:val="16"/>
      <w:szCs w:val="18"/>
      <w:lang w:val="es-CO" w:eastAsia="es-CO" w:bidi="es-CO"/>
    </w:rPr>
  </w:style>
  <w:style w:type="character" w:styleId="Strong">
    <w:name w:val="Strong"/>
    <w:basedOn w:val="DefaultParagraphFont"/>
    <w:uiPriority w:val="22"/>
    <w:qFormat/>
    <w:rsid w:val="00FC693F"/>
    <w:rPr>
      <w:b/>
      <w:bCs/>
      <w:lang w:val="es-CO" w:eastAsia="es-CO" w:bidi="es-CO"/>
    </w:rPr>
  </w:style>
  <w:style w:type="character" w:styleId="Emphasis">
    <w:name w:val="Emphasis"/>
    <w:basedOn w:val="DefaultParagraphFont"/>
    <w:uiPriority w:val="20"/>
    <w:qFormat/>
    <w:rsid w:val="00FC693F"/>
    <w:rPr>
      <w:i/>
      <w:iCs/>
      <w:lang w:val="es-CO" w:eastAsia="es-CO" w:bidi="es-CO"/>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es-CO" w:eastAsia="es-CO" w:bidi="es-CO"/>
    </w:rPr>
  </w:style>
  <w:style w:type="character" w:customStyle="1" w:styleId="IntenseQuoteChar">
    <w:name w:val="Intense Quote Char"/>
    <w:basedOn w:val="DefaultParagraphFont"/>
    <w:link w:val="IntenseQuote"/>
    <w:uiPriority w:val="30"/>
    <w:rsid w:val="00FC693F"/>
    <w:rPr>
      <w:b/>
      <w:bCs/>
      <w:i/>
      <w:iCs/>
      <w:color w:val="4F81BD" w:themeColor="accent1"/>
      <w:lang w:val="es-CO" w:eastAsia="es-CO" w:bidi="es-CO"/>
    </w:rPr>
  </w:style>
  <w:style w:type="character" w:styleId="SubtleEmphasis">
    <w:name w:val="Subtle Emphasis"/>
    <w:basedOn w:val="DefaultParagraphFont"/>
    <w:uiPriority w:val="19"/>
    <w:qFormat/>
    <w:rsid w:val="00FC693F"/>
    <w:rPr>
      <w:i/>
      <w:iCs/>
      <w:color w:val="808080" w:themeColor="text1" w:themeTint="7F"/>
      <w:lang w:val="es-CO" w:eastAsia="es-CO" w:bidi="es-CO"/>
    </w:rPr>
  </w:style>
  <w:style w:type="character" w:styleId="IntenseEmphasis">
    <w:name w:val="Intense Emphasis"/>
    <w:basedOn w:val="DefaultParagraphFont"/>
    <w:uiPriority w:val="21"/>
    <w:qFormat/>
    <w:rsid w:val="00FC693F"/>
    <w:rPr>
      <w:b/>
      <w:bCs/>
      <w:i/>
      <w:iCs/>
      <w:color w:val="4F81BD" w:themeColor="accent1"/>
      <w:lang w:val="es-CO" w:eastAsia="es-CO" w:bidi="es-CO"/>
    </w:rPr>
  </w:style>
  <w:style w:type="character" w:styleId="SubtleReference">
    <w:name w:val="Subtle Reference"/>
    <w:basedOn w:val="DefaultParagraphFont"/>
    <w:uiPriority w:val="31"/>
    <w:qFormat/>
    <w:rsid w:val="00FC693F"/>
    <w:rPr>
      <w:smallCaps/>
      <w:color w:val="C0504D" w:themeColor="accent2"/>
      <w:u w:val="single"/>
      <w:lang w:val="es-CO" w:eastAsia="es-CO" w:bidi="es-CO"/>
    </w:rPr>
  </w:style>
  <w:style w:type="character" w:styleId="IntenseReference">
    <w:name w:val="Intense Reference"/>
    <w:basedOn w:val="DefaultParagraphFont"/>
    <w:uiPriority w:val="32"/>
    <w:qFormat/>
    <w:rsid w:val="00FC693F"/>
    <w:rPr>
      <w:b/>
      <w:bCs/>
      <w:smallCaps/>
      <w:color w:val="C0504D" w:themeColor="accent2"/>
      <w:spacing w:val="5"/>
      <w:u w:val="single"/>
      <w:lang w:val="es-CO" w:eastAsia="es-CO" w:bidi="es-CO"/>
    </w:rPr>
  </w:style>
  <w:style w:type="character" w:styleId="BookTitle">
    <w:name w:val="Book Title"/>
    <w:basedOn w:val="DefaultParagraphFont"/>
    <w:uiPriority w:val="33"/>
    <w:qFormat/>
    <w:rsid w:val="00FC693F"/>
    <w:rPr>
      <w:b/>
      <w:bCs/>
      <w:smallCaps/>
      <w:spacing w:val="5"/>
      <w:lang w:val="es-CO" w:eastAsia="es-CO" w:bidi="es-CO"/>
    </w:rPr>
  </w:style>
  <w:style w:type="paragraph" w:styleId="TOCHeading">
    <w:name w:val="TOC Heading"/>
    <w:basedOn w:val="Heading1"/>
    <w:next w:val="Normal"/>
    <w:uiPriority w:val="39"/>
    <w:semiHidden/>
    <w:unhideWhenUsed/>
    <w:qFormat/>
    <w:rsid w:val="00FC693F"/>
    <w:pPr>
      <w:outlineLvl w:val="9"/>
    </w:pPr>
    <w:rPr>
      <w:lang w:val="es-CO" w:eastAsia="es-CO" w:bidi="es-CO"/>
    </w:rPr>
  </w:style>
  <w:style w:type="table" w:styleId="TableGrid">
    <w:name w:val="Table Grid"/>
    <w:basedOn w:val="TableNormal"/>
    <w:uiPriority w:val="59"/>
    <w:rsid w:val="00FC693F"/>
    <w:pPr>
      <w:spacing w:after="0" w:line="240" w:lineRule="auto"/>
    </w:pPr>
    <w:rPr>
      <w:lang w:val="es-CO" w:eastAsia="es-CO" w:bidi="es-CO"/>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lang w:val="es-CO" w:eastAsia="es-CO" w:bidi="es-CO"/>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es-CO" w:eastAsia="es-CO" w:bidi="es-CO"/>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es-CO" w:eastAsia="es-CO" w:bidi="es-CO"/>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es-CO" w:eastAsia="es-CO" w:bidi="es-CO"/>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es-CO" w:eastAsia="es-CO" w:bidi="es-CO"/>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es-CO" w:eastAsia="es-CO" w:bidi="es-CO"/>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es-CO" w:eastAsia="es-CO" w:bidi="es-CO"/>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es-CO" w:eastAsia="es-CO" w:bidi="es-CO"/>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es-CO" w:eastAsia="es-CO" w:bidi="es-CO"/>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es-CO" w:eastAsia="es-CO" w:bidi="es-CO"/>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es-CO" w:eastAsia="es-CO" w:bidi="es-CO"/>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es-CO" w:eastAsia="es-CO" w:bidi="es-CO"/>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es-CO" w:eastAsia="es-CO" w:bidi="es-CO"/>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es-CO" w:eastAsia="es-CO" w:bidi="es-CO"/>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es-CO" w:eastAsia="es-CO" w:bidi="es-CO"/>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es-CO" w:eastAsia="es-CO" w:bidi="es-CO"/>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es-CO" w:eastAsia="es-CO" w:bidi="es-CO"/>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es-CO" w:eastAsia="es-CO" w:bidi="es-CO"/>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es-CO" w:eastAsia="es-CO" w:bidi="es-CO"/>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es-CO" w:eastAsia="es-CO" w:bidi="es-CO"/>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es-CO" w:eastAsia="es-CO" w:bidi="es-CO"/>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es-CO" w:eastAsia="es-CO" w:bidi="es-CO"/>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es-CO" w:eastAsia="es-CO" w:bidi="es-CO"/>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es-CO" w:eastAsia="es-CO" w:bidi="es-CO"/>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es-CO" w:eastAsia="es-CO" w:bidi="es-CO"/>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es-CO" w:eastAsia="es-CO" w:bidi="es-CO"/>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es-CO" w:eastAsia="es-CO" w:bidi="es-CO"/>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es-CO" w:eastAsia="es-CO" w:bidi="es-CO"/>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es-CO" w:eastAsia="es-CO" w:bidi="es-CO"/>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es-CO" w:eastAsia="es-CO" w:bidi="es-CO"/>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es-CO" w:eastAsia="es-CO" w:bidi="es-CO"/>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es-CO" w:eastAsia="es-CO" w:bidi="es-CO"/>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es-CO" w:eastAsia="es-CO" w:bidi="es-CO"/>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es-CO" w:eastAsia="es-CO" w:bidi="es-CO"/>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es-CO" w:eastAsia="es-CO" w:bidi="es-CO"/>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es-CO" w:eastAsia="es-CO" w:bidi="es-CO"/>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es-CO" w:eastAsia="es-CO" w:bidi="es-CO"/>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es-CO" w:eastAsia="es-CO" w:bidi="es-CO"/>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es-CO" w:eastAsia="es-CO" w:bidi="es-CO"/>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es-CO" w:eastAsia="es-CO" w:bidi="es-CO"/>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es-CO" w:eastAsia="es-CO" w:bidi="es-CO"/>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es-CO" w:eastAsia="es-CO" w:bidi="es-CO"/>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es-CO" w:eastAsia="es-CO" w:bidi="es-CO"/>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es-CO" w:eastAsia="es-CO" w:bidi="es-CO"/>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es-CO" w:eastAsia="es-CO" w:bidi="es-CO"/>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es-CO" w:eastAsia="es-CO" w:bidi="es-CO"/>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es-CO" w:eastAsia="es-CO" w:bidi="es-CO"/>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es-CO" w:eastAsia="es-CO" w:bidi="es-CO"/>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es-CO" w:eastAsia="es-CO" w:bidi="es-CO"/>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es-CO" w:eastAsia="es-CO" w:bidi="es-CO"/>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es-CO" w:eastAsia="es-CO" w:bidi="es-CO"/>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es-CO" w:eastAsia="es-CO" w:bidi="es-CO"/>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es-CO" w:eastAsia="es-CO" w:bidi="es-CO"/>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es-CO" w:eastAsia="es-CO" w:bidi="es-CO"/>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es-CO" w:eastAsia="es-CO" w:bidi="es-CO"/>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es-CO" w:eastAsia="es-CO" w:bidi="es-CO"/>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es-CO" w:eastAsia="es-CO" w:bidi="es-CO"/>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es-CO" w:eastAsia="es-CO" w:bidi="es-CO"/>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es-CO" w:eastAsia="es-CO" w:bidi="es-CO"/>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es-CO" w:eastAsia="es-CO" w:bidi="es-CO"/>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es-CO" w:eastAsia="es-CO" w:bidi="es-CO"/>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es-CO" w:eastAsia="es-CO" w:bidi="es-CO"/>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es-CO" w:eastAsia="es-CO" w:bidi="es-CO"/>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es-CO" w:eastAsia="es-CO" w:bidi="es-CO"/>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es-CO" w:eastAsia="es-CO" w:bidi="es-CO"/>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es-CO" w:eastAsia="es-CO" w:bidi="es-CO"/>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es-CO" w:eastAsia="es-CO" w:bidi="es-CO"/>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es-CO" w:eastAsia="es-CO" w:bidi="es-CO"/>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es-CO" w:eastAsia="es-CO" w:bidi="es-CO"/>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es-CO" w:eastAsia="es-CO" w:bidi="es-CO"/>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es-CO" w:eastAsia="es-CO" w:bidi="es-CO"/>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es-CO" w:eastAsia="es-CO" w:bidi="es-CO"/>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es-CO" w:eastAsia="es-CO" w:bidi="es-CO"/>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es-CO" w:eastAsia="es-CO" w:bidi="es-CO"/>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es-CO" w:eastAsia="es-CO" w:bidi="es-CO"/>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es-CO" w:eastAsia="es-CO" w:bidi="es-CO"/>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es-CO" w:eastAsia="es-CO" w:bidi="es-CO"/>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es-CO" w:eastAsia="es-CO" w:bidi="es-CO"/>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es-CO" w:eastAsia="es-CO" w:bidi="es-CO"/>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es-CO" w:eastAsia="es-CO" w:bidi="es-CO"/>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es-CO" w:eastAsia="es-CO" w:bidi="es-CO"/>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es-CO" w:eastAsia="es-CO" w:bidi="es-CO"/>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es-CO" w:eastAsia="es-CO" w:bidi="es-CO"/>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es-CO" w:eastAsia="es-CO" w:bidi="es-CO"/>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es-CO" w:eastAsia="es-CO" w:bidi="es-CO"/>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es-CO" w:eastAsia="es-CO" w:bidi="es-CO"/>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es-CO" w:eastAsia="es-CO" w:bidi="es-CO"/>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es-CO" w:eastAsia="es-CO" w:bidi="es-CO"/>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es-CO" w:eastAsia="es-CO" w:bidi="es-CO"/>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es-CO" w:eastAsia="es-CO" w:bidi="es-CO"/>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es-CO" w:eastAsia="es-CO" w:bidi="es-CO"/>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es-CO" w:eastAsia="es-CO" w:bidi="es-CO"/>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es-CO" w:eastAsia="es-CO" w:bidi="es-CO"/>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es-CO" w:eastAsia="es-CO" w:bidi="es-CO"/>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es-CO" w:eastAsia="es-CO" w:bidi="es-CO"/>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es-CO" w:eastAsia="es-CO" w:bidi="es-CO"/>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es-CO" w:eastAsia="es-CO" w:bidi="es-CO"/>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es-CO" w:eastAsia="es-CO" w:bidi="es-CO"/>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final de resultados experimentales</dc:title>
  <dc:subject>Comparación entre VAE no equivariante y VAE equivariante continuo SO(2)</dc:subject>
  <dc:creator>Maximiliano Garavito Chtefan</dc:creator>
  <cp:keywords>VAE; SO(2); histopatología; reconstrucción; MIL; tejido</cp:keywords>
  <dc:description>Generado desde artefactos experimentales aceptados.</dc:description>
  <cp:lastModifiedBy/>
  <cp:revision>1</cp:revision>
  <dcterms:created xsi:type="dcterms:W3CDTF">2013-12-23T23:15:00Z</dcterms:created>
  <dcterms:modified xsi:type="dcterms:W3CDTF">2013-12-23T23:15:00Z</dcterms:modified>
  <cp:category/>
  <dc:language>es-CO</dc:language>
</cp:coreProperties>
</file>