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Whats the future of ai</w:t>
      </w:r>
    </w:p>
    <w:p>
      <w:pPr>
        <w:pStyle w:val="Heading1"/>
        <w:spacing w:before="400" w:after="200"/>
      </w:pPr>
      <w:r>
        <w:t xml:space="preserve">**The AI Transformation: Navigating a Decade of Unprecedented Uncertainty and Accelerating Change**</w:t>
      </w:r>
    </w:p>
    <w:p/>
    <w:p>
      <w:pPr>
        <w:pStyle w:val="Heading2"/>
        <w:spacing w:before="300" w:after="150"/>
      </w:pPr>
      <w:r>
        <w:t xml:space="preserve">**Executive Summary**</w:t>
      </w:r>
    </w:p>
    <w:p/>
    <w:p>
      <w:r>
        <w:t xml:space="preserve">The trajectory of artificial intelligence between 2025 and 2035 presents a paradox of certainty and profound uncertainty. While technical capabilities will advance dramatically—driven by multimodal architectures, embodied systems, and scientific research automation—the destination remains contested. </w:t>
      </w:r>
      <w:r>
        <w:rPr>
          <w:b/>
          <w:bCs/>
        </w:rPr>
        <w:t xml:space="preserve">Energy consumption emerges as a hard constraint</w:t>
      </w:r>
      <w:r>
        <w:t xml:space="preserve">, with data center demands projected to reach 68 gigawatts globally by 2027 and consume 9% of U.S. electricity by 2030, threatening to outpace grid capacity and climate commitments. Simultaneously, </w:t>
      </w:r>
      <w:r>
        <w:rPr>
          <w:b/>
          <w:bCs/>
        </w:rPr>
        <w:t xml:space="preserve">economic forecasts diverge radically</w:t>
      </w:r>
      <w:r>
        <w:t xml:space="preserve">: mainstream institutions project modest 0.5–1.5% annual GDP gains, while AI insiders warn—or promise—transformative growth of 18–30% under scenarios approaching artificial general intelligence (AGI) by 2026–2030. This schism reflects not different economic models, but fundamentally incompatible assumptions about technical progress.</w:t>
      </w:r>
    </w:p>
    <w:p/>
    <w:p>
      <w:r>
        <w:t xml:space="preserve">The labor market will experience </w:t>
      </w:r>
      <w:r>
        <w:rPr>
          <w:b/>
          <w:bCs/>
        </w:rPr>
        <w:t xml:space="preserve">task-level transformation rather than mass elimination</w:t>
      </w:r>
      <w:r>
        <w:t xml:space="preserve">, with 60% of jobs augmented and a net gain of 78 million positions globally by 2030. However, this aggregate masks severe distributional impacts: marginalized groups occupy 80% of high-risk automation roles, while "superstar firms" capture productivity gains that could collapse wages by 85% in extreme scenarios. </w:t>
      </w:r>
      <w:r>
        <w:rPr>
          <w:b/>
          <w:bCs/>
        </w:rPr>
        <w:t xml:space="preserve">Governance fragmentation</w:t>
      </w:r>
      <w:r>
        <w:t xml:space="preserve"> compounds these challenges. The EU’s binding AI Act establishes a risk-based regulatory pole, while the U.S. relies on voluntary frameworks, China imposes state-centric controls, and open-source models create a parallel development track, undermining export controls and enabling global access irrespective of geopolitical constraints.</w:t>
      </w:r>
    </w:p>
    <w:p/>
    <w:p>
      <w:r>
        <w:t xml:space="preserve">Expert opinion reveals not a spectrum but a </w:t>
      </w:r>
      <w:r>
        <w:rPr>
          <w:b/>
          <w:bCs/>
        </w:rPr>
        <w:t xml:space="preserve">chasm</w:t>
      </w:r>
      <w:r>
        <w:t xml:space="preserve">: timelines for AGI range from "complete BS" (Yann LeCun) to "confident we know how to build it" (Sam Altman, 2025), with median researcher estimates of 2047 clashing with industry leadership’s 2026–2030 projections. This </w:t>
      </w:r>
      <w:r>
        <w:rPr>
          <w:b/>
          <w:bCs/>
        </w:rPr>
        <w:t xml:space="preserve">epistemic uncertainty</w:t>
      </w:r>
      <w:r>
        <w:t xml:space="preserve"> is itself a systemic risk, paralyzing policy coordination and institutional adaptation. The path forward will be determined not by technical inevitability but by </w:t>
      </w:r>
      <w:r>
        <w:rPr>
          <w:b/>
          <w:bCs/>
        </w:rPr>
        <w:t xml:space="preserve">three critical bottlenecks</w:t>
      </w:r>
      <w:r>
        <w:t xml:space="preserve">: energy sustainability, inequality mitigation, and governance coherence. Without proactive intervention, AI threatens to accelerate social stratification, democratic erosion, and geopolitical instability—while simultaneously offering unprecedented tools for scientific breakthrough, productivity enhancement, and climate mitigation.</w:t>
      </w:r>
    </w:p>
    <w:p/>
    <w:p>
      <w:r>
        <w:t xml:space="preserve">---</w:t>
      </w:r>
    </w:p>
    <w:p/>
    <w:p>
      <w:pPr>
        <w:pStyle w:val="Heading2"/>
        <w:spacing w:before="300" w:after="150"/>
      </w:pPr>
      <w:r>
        <w:t xml:space="preserve">**Key Findings: Seven Meta-Themes Shaping the AI Decade**</w:t>
      </w:r>
    </w:p>
    <w:p/>
    <w:p>
      <w:pPr>
        <w:pStyle w:val="Heading3"/>
        <w:spacing w:before="250" w:after="100"/>
      </w:pPr>
      <w:r>
        <w:t xml:space="preserve">**1. Technical Trajectory: The End of Simple Scaling and Rise of Embodied Intelligence**</w:t>
      </w:r>
    </w:p>
    <w:p/>
    <w:p>
      <w:r>
        <w:t xml:space="preserve">The era of predictable performance gains through pure model scaling is ending. </w:t>
      </w:r>
      <w:r>
        <w:rPr>
          <w:b/>
          <w:bCs/>
        </w:rPr>
        <w:t xml:space="preserve">Scaling laws remain predictive through 2030</w:t>
      </w:r>
      <w:r>
        <w:t xml:space="preserve"> but face diminishing returns due to compute, energy, and data constraints (Epoch AI). The frontier is shifting to </w:t>
      </w:r>
      <w:r>
        <w:rPr>
          <w:b/>
          <w:bCs/>
        </w:rPr>
        <w:t xml:space="preserve">architectural innovation</w:t>
      </w:r>
      <w:r>
        <w:t xml:space="preserve">: native multimodal models (NMMs) trained via early-fusion architectures outperform late-fusion systems at lower parameter counts, achieving superior efficiency and unified reasoning across text, vision, and audio (Apple’s ICCV 2025 study of 457 models). Concurrently, </w:t>
      </w:r>
      <w:r>
        <w:rPr>
          <w:b/>
          <w:bCs/>
        </w:rPr>
        <w:t xml:space="preserve">embodied AI</w:t>
      </w:r>
      <w:r>
        <w:t xml:space="preserve">—vision-language-action models like Helix and GEN-0—is enabling humanoid robots to perform complex real-world tasks by 2025–2027, representing a milestone in physical-world reasoning.</w:t>
      </w:r>
    </w:p>
    <w:p/>
    <w:p>
      <w:r>
        <w:t xml:space="preserve">Large Multimodal Reasoning Models (LMRMs) integrate perception, planning, and decision-making, while AI-driven scientific R&amp;D is accelerating drug discovery and materials science by 20–50% (BCG 2025). However, this progress introduces a </w:t>
      </w:r>
      <w:r>
        <w:rPr>
          <w:b/>
          <w:bCs/>
        </w:rPr>
        <w:t xml:space="preserve">capability-deployment gap</w:t>
      </w:r>
      <w:r>
        <w:t xml:space="preserve">: we can build systems whose reliability, safety, and societal integration mechanisms remain underdeveloped.</w:t>
      </w:r>
    </w:p>
    <w:p/>
    <w:p>
      <w:r>
        <w:rPr>
          <w:b/>
          <w:bCs/>
        </w:rPr>
        <w:t xml:space="preserve">Critical Uncertainty</w:t>
      </w:r>
      <w:r>
        <w:t xml:space="preserve">: Whether "scaling down" (efficient edge models) and "scaling out" (distributed systems) can offset the energy demands of frontier model development remains unresolved.</w:t>
      </w:r>
    </w:p>
    <w:p/>
    <w:p>
      <w:pPr>
        <w:pStyle w:val="Heading3"/>
        <w:spacing w:before="250" w:after="100"/>
      </w:pPr>
      <w:r>
        <w:t xml:space="preserve">**2. The Energy Bottleneck: AI’s Achilles Heel**</w:t>
      </w:r>
    </w:p>
    <w:p/>
    <w:p>
      <w:r>
        <w:t xml:space="preserve">Energy consumption is transitioning from operational concern to strategic constraint. AI queries consume </w:t>
      </w:r>
      <w:r>
        <w:rPr>
          <w:b/>
          <w:bCs/>
        </w:rPr>
        <w:t xml:space="preserve">10x more electricity than traditional web searches</w:t>
      </w:r>
      <w:r>
        <w:t xml:space="preserve"> (2.9 vs. 0.3 watt-hours), with AI already comprising 10–20% of data center usage. </w:t>
      </w:r>
      <w:r>
        <w:rPr>
          <w:b/>
          <w:bCs/>
        </w:rPr>
        <w:t xml:space="preserve">RAND projects 68 gigawatts of global AI data center demand by 2027</w:t>
      </w:r>
      <w:r>
        <w:t xml:space="preserve">—equivalent to California’s total capacity—while ACEEE forecasts AI data centers could consume </w:t>
      </w:r>
      <w:r>
        <w:rPr>
          <w:b/>
          <w:bCs/>
        </w:rPr>
        <w:t xml:space="preserve">9% of U.S. electricity by 2030</w:t>
      </w:r>
      <w:r>
        <w:t xml:space="preserve">. This threatens grid stability and climate goals.</w:t>
      </w:r>
    </w:p>
    <w:p/>
    <w:p>
      <w:r>
        <w:rPr>
          <w:b/>
          <w:bCs/>
        </w:rPr>
        <w:t xml:space="preserve">Mitigation strategies</w:t>
      </w:r>
      <w:r>
        <w:t xml:space="preserve"> are emerging but fragmented: liquid cooling reduces energy use by 40–90%; specialized AI accelerators improve performance-per-watt; and "grid-aware computing" shifts workloads to low-stress periods. The EU and U.S. are developing efficiency metrics (e.g., "energy per AI task") and mandating transparency, while private actors deploy behind-the-meter renewables to bypass grid constraints. Yet </w:t>
      </w:r>
      <w:r>
        <w:rPr>
          <w:b/>
          <w:bCs/>
        </w:rPr>
        <w:t xml:space="preserve">enforcement mechanisms remain voluntary or weak</w:t>
      </w:r>
      <w:r>
        <w:t xml:space="preserve">, and long-term environmental impacts (e-waste, rare earth extraction) are unaddressed.</w:t>
      </w:r>
    </w:p>
    <w:p/>
    <w:p>
      <w:r>
        <w:rPr>
          <w:b/>
          <w:bCs/>
        </w:rPr>
        <w:t xml:space="preserve">Key Contradiction</w:t>
      </w:r>
      <w:r>
        <w:t xml:space="preserve">: AI is simultaneously a climate solution (optimizing energy systems, accelerating clean tech R&amp;D) and a climate threat, creating a sustainability paradox.</w:t>
      </w:r>
    </w:p>
    <w:p/>
    <w:p>
      <w:pPr>
        <w:pStyle w:val="Heading3"/>
        <w:spacing w:before="250" w:after="100"/>
      </w:pPr>
      <w:r>
        <w:t xml:space="preserve">**3. Economic Transformation: The Productivity Paradox and Inequality Feedback Loop**</w:t>
      </w:r>
    </w:p>
    <w:p/>
    <w:p>
      <w:r>
        <w:t xml:space="preserve">Macroeconomic projections reveal a </w:t>
      </w:r>
      <w:r>
        <w:rPr>
          <w:b/>
          <w:bCs/>
        </w:rPr>
        <w:t xml:space="preserve">stark expert divide</w:t>
      </w:r>
      <w:r>
        <w:t xml:space="preserve">. Mainstream forecasts (IMF, Goldman Sachs) estimate </w:t>
      </w:r>
      <w:r>
        <w:rPr>
          <w:b/>
          <w:bCs/>
        </w:rPr>
        <w:t xml:space="preserve">0.5–1.5% annual GDP growth</w:t>
      </w:r>
      <w:r>
        <w:t xml:space="preserve"> through 2035, while AI-specialized economists project up to </w:t>
      </w:r>
      <w:r>
        <w:rPr>
          <w:b/>
          <w:bCs/>
        </w:rPr>
        <w:t xml:space="preserve">2.8% under baseline scenarios</w:t>
      </w:r>
      <w:r>
        <w:t xml:space="preserve"> and </w:t>
      </w:r>
      <w:r>
        <w:rPr>
          <w:b/>
          <w:bCs/>
        </w:rPr>
        <w:t xml:space="preserve">18–30% under AGI conditions</w:t>
      </w:r>
      <w:r>
        <w:t xml:space="preserve">—the latter accompanied by catastrophic wage disruption (85% collapse in extreme models). This 60x variance stems not from economic disagreement but from incompatible assumptions about AI capability timelines.</w:t>
      </w:r>
    </w:p>
    <w:p/>
    <w:p>
      <w:r>
        <w:t xml:space="preserve">Labor market impacts show </w:t>
      </w:r>
      <w:r>
        <w:rPr>
          <w:b/>
          <w:bCs/>
        </w:rPr>
        <w:t xml:space="preserve">task automation, not job elimination</w:t>
      </w:r>
      <w:r>
        <w:t xml:space="preserve">: 60% of roles will be transformed, with 92 million displaced but 170 million created by 2030 (WEF), yielding a net +78 million jobs. However, </w:t>
      </w:r>
      <w:r>
        <w:rPr>
          <w:b/>
          <w:bCs/>
        </w:rPr>
        <w:t xml:space="preserve">marginalized groups face asymmetric risk</w:t>
      </w:r>
      <w:r>
        <w:t xml:space="preserve">: Black, Latino, and women workers occupy 80% of high-risk automation roles, and "superstar firms" may concentrate gains, exacerbating inequality. GitHub Copilot adoption by 75% of developers exemplifies augmentation, yet </w:t>
      </w:r>
      <w:r>
        <w:rPr>
          <w:b/>
          <w:bCs/>
        </w:rPr>
        <w:t xml:space="preserve">productivity multipliers remain unevenly distributed</w:t>
      </w:r>
      <w:r>
        <w:t xml:space="preserve"> across sectors and skill levels.</w:t>
      </w:r>
    </w:p>
    <w:p/>
    <w:p>
      <w:r>
        <w:rPr>
          <w:b/>
          <w:bCs/>
        </w:rPr>
        <w:t xml:space="preserve">Critical Gap</w:t>
      </w:r>
      <w:r>
        <w:t xml:space="preserve">: No consensus on whether new job quality matches displaced roles, or how to equitably redistribute productivity gains.</w:t>
      </w:r>
    </w:p>
    <w:p/>
    <w:p>
      <w:pPr>
        <w:pStyle w:val="Heading3"/>
        <w:spacing w:before="250" w:after="100"/>
      </w:pPr>
      <w:r>
        <w:t xml:space="preserve">**4. Governance Fragmentation: A Tripolar Regulatory Disorder**</w:t>
      </w:r>
    </w:p>
    <w:p/>
    <w:p>
      <w:r>
        <w:t xml:space="preserve">The global AI governance landscape is </w:t>
      </w:r>
      <w:r>
        <w:rPr>
          <w:b/>
          <w:bCs/>
        </w:rPr>
        <w:t xml:space="preserve">stratifying into three poles</w:t>
      </w:r>
      <w:r>
        <w:t xml:space="preserve">. The </w:t>
      </w:r>
      <w:r>
        <w:rPr>
          <w:b/>
          <w:bCs/>
        </w:rPr>
        <w:t xml:space="preserve">EU</w:t>
      </w:r>
      <w:r>
        <w:t xml:space="preserve"> leads with its </w:t>
      </w:r>
      <w:r>
        <w:rPr>
          <w:b/>
          <w:bCs/>
        </w:rPr>
        <w:t xml:space="preserve">binding AI Act</w:t>
      </w:r>
      <w:r>
        <w:t xml:space="preserve"> (adopted June 2024), implementing a risk-based framework that bans unacceptable systems, imposes strict requirements on high-risk applications, and mandates GPAI oversight via a new AI Office. Full enforcement requires </w:t>
      </w:r>
      <w:r>
        <w:rPr>
          <w:b/>
          <w:bCs/>
        </w:rPr>
        <w:t xml:space="preserve">at least three years</w:t>
      </w:r>
      <w:r>
        <w:t xml:space="preserve">, creating an implementation lag.</w:t>
      </w:r>
    </w:p>
    <w:p/>
    <w:p>
      <w:r>
        <w:t xml:space="preserve">The </w:t>
      </w:r>
      <w:r>
        <w:rPr>
          <w:b/>
          <w:bCs/>
        </w:rPr>
        <w:t xml:space="preserve">U.S. pursues a sectoral, non-binding approach</w:t>
      </w:r>
      <w:r>
        <w:t xml:space="preserve">, relying on executive orders, voluntary commitments, and NIST frameworks—effective for innovation but creating accountability gaps. </w:t>
      </w:r>
      <w:r>
        <w:rPr>
          <w:b/>
          <w:bCs/>
        </w:rPr>
        <w:t xml:space="preserve">China</w:t>
      </w:r>
      <w:r>
        <w:t xml:space="preserve"> has enacted </w:t>
      </w:r>
      <w:r>
        <w:rPr>
          <w:b/>
          <w:bCs/>
        </w:rPr>
        <w:t xml:space="preserve">binding rules</w:t>
      </w:r>
      <w:r>
        <w:t xml:space="preserve"> for algorithm registration, deepfake labeling, and recommendation systems, prioritizing state control over innovation.</w:t>
      </w:r>
    </w:p>
    <w:p/>
    <w:p>
      <w:r>
        <w:t xml:space="preserve">A </w:t>
      </w:r>
      <w:r>
        <w:rPr>
          <w:b/>
          <w:bCs/>
        </w:rPr>
        <w:t xml:space="preserve">third pole—open-source AI</w:t>
      </w:r>
      <w:r>
        <w:t xml:space="preserve">—is disrupting this duopoly. Models like DeepSeek enable global access irrespective of hardware controls, undermining U.S. export restrictions and creating regulatory arbitrage opportunities. </w:t>
      </w:r>
      <w:r>
        <w:rPr>
          <w:b/>
          <w:bCs/>
        </w:rPr>
        <w:t xml:space="preserve">Critical Uncertainty</w:t>
      </w:r>
      <w:r>
        <w:t xml:space="preserve">: Whether fragmented governance will converge through international coordination or fracture into incompatible regulatory blocs.</w:t>
      </w:r>
    </w:p>
    <w:p/>
    <w:p>
      <w:pPr>
        <w:pStyle w:val="Heading3"/>
        <w:spacing w:before="250" w:after="100"/>
      </w:pPr>
      <w:r>
        <w:t xml:space="preserve">**5. The Uncertainty Vortex: Expert Dissensus as Systemic Risk**</w:t>
      </w:r>
    </w:p>
    <w:p/>
    <w:p>
      <w:r>
        <w:t xml:space="preserve">The AI expert community is </w:t>
      </w:r>
      <w:r>
        <w:rPr>
          <w:b/>
          <w:bCs/>
        </w:rPr>
        <w:t xml:space="preserve">not converging but polarizing</w:t>
      </w:r>
      <w:r>
        <w:t xml:space="preserve"> along three axes:</w:t>
      </w:r>
    </w:p>
    <w:p/>
    <w:p>
      <w:pPr>
        <w:pStyle w:val="ListParagraph"/>
        <w:numPr>
          <w:ilvl w:val="0"/>
          <w:numId w:val="1"/>
        </w:numPr>
      </w:pPr>
      <w:r>
        <w:rPr>
          <w:b/>
          <w:bCs/>
        </w:rPr>
        <w:t xml:space="preserve">Timelines</w:t>
      </w:r>
      <w:r>
        <w:t xml:space="preserve">: Median researcher estimate for AGI is </w:t>
      </w:r>
      <w:r>
        <w:rPr>
          <w:b/>
          <w:bCs/>
        </w:rPr>
        <w:t xml:space="preserve">2047</w:t>
      </w:r>
      <w:r>
        <w:t xml:space="preserve">, while industry leaders (Altman, Amodei) claim </w:t>
      </w:r>
      <w:r>
        <w:rPr>
          <w:b/>
          <w:bCs/>
        </w:rPr>
        <w:t xml:space="preserve">2026–2030</w:t>
      </w:r>
      <w:r>
        <w:t xml:space="preserve"> feasibility. Yann LeCun dismisses near-term AGI as "complete BS," while Yoshua Bengio warns of catastrophic risks requiring urgent governance.</w:t>
      </w:r>
    </w:p>
    <w:p>
      <w:pPr>
        <w:pStyle w:val="ListParagraph"/>
        <w:numPr>
          <w:ilvl w:val="0"/>
          <w:numId w:val="1"/>
        </w:numPr>
      </w:pPr>
      <w:r>
        <w:rPr>
          <w:b/>
          <w:bCs/>
        </w:rPr>
        <w:t xml:space="preserve">Risk Severity</w:t>
      </w:r>
      <w:r>
        <w:t xml:space="preserve">: A 2024 survey of 2,778 researchers shows wide dispersion, with 78% agreeing AI safety is important but disagreeing on whether risks are </w:t>
      </w:r>
      <w:r>
        <w:rPr>
          <w:b/>
          <w:bCs/>
        </w:rPr>
        <w:t xml:space="preserve">existential</w:t>
      </w:r>
      <w:r>
        <w:t xml:space="preserve"> or </w:t>
      </w:r>
      <w:r>
        <w:rPr>
          <w:b/>
          <w:bCs/>
        </w:rPr>
        <w:t xml:space="preserve">manageable</w:t>
      </w:r>
      <w:r>
        <w:t xml:space="preserve">. The "tool vs. agent" worldview split correlates directly with policy preferences.</w:t>
      </w:r>
    </w:p>
    <w:p>
      <w:pPr>
        <w:pStyle w:val="ListParagraph"/>
        <w:numPr>
          <w:ilvl w:val="0"/>
          <w:numId w:val="1"/>
        </w:numPr>
      </w:pPr>
      <w:r>
        <w:rPr>
          <w:b/>
          <w:bCs/>
        </w:rPr>
        <w:t xml:space="preserve">Policy Response</w:t>
      </w:r>
      <w:r>
        <w:t xml:space="preserve">: Safety advocates demand binding international treaties; skeptics favor innovation-friendly environments and technical safeguards.</w:t>
      </w:r>
    </w:p>
    <w:p/>
    <w:p>
      <w:r>
        <w:t xml:space="preserve">This </w:t>
      </w:r>
      <w:r>
        <w:rPr>
          <w:b/>
          <w:bCs/>
        </w:rPr>
        <w:t xml:space="preserve">epistemic fragmentation</w:t>
      </w:r>
      <w:r>
        <w:t xml:space="preserve"> paralyzes institutional response. When experts cannot agree on whether AGI is five or fifty years away, policymakers cannot calibrate regulation, and investors cannot price risk. The uncertainty itself becomes a </w:t>
      </w:r>
      <w:r>
        <w:rPr>
          <w:b/>
          <w:bCs/>
        </w:rPr>
        <w:t xml:space="preserve">strategic liability</w:t>
      </w:r>
      <w:r>
        <w:t xml:space="preserve">.</w:t>
      </w:r>
    </w:p>
    <w:p/>
    <w:p>
      <w:pPr>
        <w:pStyle w:val="Heading3"/>
        <w:spacing w:before="250" w:after="100"/>
      </w:pPr>
      <w:r>
        <w:t xml:space="preserve">**6. The Inequality Amplifier: Institutional Transformation and Epistemic Injustice**</w:t>
      </w:r>
    </w:p>
    <w:p/>
    <w:p>
      <w:r>
        <w:t xml:space="preserve">AI is creating a </w:t>
      </w:r>
      <w:r>
        <w:rPr>
          <w:b/>
          <w:bCs/>
        </w:rPr>
        <w:t xml:space="preserve">multi-layered inequality feedback loop</w:t>
      </w:r>
      <w:r>
        <w:t xml:space="preserve">:</w:t>
      </w:r>
    </w:p>
    <w:p/>
    <w:p>
      <w:pPr>
        <w:pStyle w:val="ListParagraph"/>
        <w:numPr>
          <w:ilvl w:val="0"/>
          <w:numId w:val="1"/>
        </w:numPr>
      </w:pPr>
      <w:r>
        <w:rPr>
          <w:b/>
          <w:bCs/>
        </w:rPr>
        <w:t xml:space="preserve">Education</w:t>
      </w:r>
      <w:r>
        <w:t xml:space="preserve">: The "AI-education divide" emerged within six months of OpenAI’s public release, with affluent students accessing personalized tutoring while underserved populations lack tools or digital literacy (Philippa Hardman, 2025).</w:t>
      </w:r>
    </w:p>
    <w:p>
      <w:pPr>
        <w:pStyle w:val="ListParagraph"/>
        <w:numPr>
          <w:ilvl w:val="0"/>
          <w:numId w:val="1"/>
        </w:numPr>
      </w:pPr>
      <w:r>
        <w:rPr>
          <w:b/>
          <w:bCs/>
        </w:rPr>
        <w:t xml:space="preserve">Healthcare</w:t>
      </w:r>
      <w:r>
        <w:t xml:space="preserve">: AI diagnostics and drug discovery promise breakthroughs but risk two-tiered systems where vulnerable populations face digital barriers (Johns Hopkins framework, 2024).</w:t>
      </w:r>
    </w:p>
    <w:p>
      <w:pPr>
        <w:pStyle w:val="ListParagraph"/>
        <w:numPr>
          <w:ilvl w:val="0"/>
          <w:numId w:val="1"/>
        </w:numPr>
      </w:pPr>
      <w:r>
        <w:rPr>
          <w:b/>
          <w:bCs/>
        </w:rPr>
        <w:t xml:space="preserve">Democracy</w:t>
      </w:r>
      <w:r>
        <w:t xml:space="preserve">: AI undermines </w:t>
      </w:r>
      <w:r>
        <w:rPr>
          <w:b/>
          <w:bCs/>
        </w:rPr>
        <w:t xml:space="preserve">epistemic agency</w:t>
      </w:r>
      <w:r>
        <w:t xml:space="preserve">—citizens’ ability to form informed beliefs—through misinformation and algorithmic curation. In 2024, 64 countries with 2 billion voters faced AI-driven election interference, with limited capacity for fact-checking to keep pace (Ash Center). Marginalized groups are </w:t>
      </w:r>
      <w:r>
        <w:rPr>
          <w:b/>
          <w:bCs/>
        </w:rPr>
        <w:t xml:space="preserve">excluded from knowledge production</w:t>
      </w:r>
      <w:r>
        <w:t xml:space="preserve">, constituting "epistemic injustice."</w:t>
      </w:r>
    </w:p>
    <w:p/>
    <w:p>
      <w:r>
        <w:rPr>
          <w:b/>
          <w:bCs/>
        </w:rPr>
        <w:t xml:space="preserve">Critical Pattern</w:t>
      </w:r>
      <w:r>
        <w:t xml:space="preserve">: AI amplifies existing inequalities rather than democratizing access, requiring </w:t>
      </w:r>
      <w:r>
        <w:rPr>
          <w:b/>
          <w:bCs/>
        </w:rPr>
        <w:t xml:space="preserve">proactive multi-stakeholder interventions</w:t>
      </w:r>
      <w:r>
        <w:t xml:space="preserve"> to avoid institutional capture by early adopters.</w:t>
      </w:r>
    </w:p>
    <w:p/>
    <w:p>
      <w:pPr>
        <w:pStyle w:val="Heading3"/>
        <w:spacing w:before="250" w:after="100"/>
      </w:pPr>
      <w:r>
        <w:t xml:space="preserve">**7. Geopolitical Bifurcation: The AI Cold War and the Open-Source Disruptor**</w:t>
      </w:r>
    </w:p>
    <w:p/>
    <w:p>
      <w:r>
        <w:t xml:space="preserve">U.S.-China competition is </w:t>
      </w:r>
      <w:r>
        <w:rPr>
          <w:b/>
          <w:bCs/>
        </w:rPr>
        <w:t xml:space="preserve">weaponizing AI supply chains</w:t>
      </w:r>
      <w:r>
        <w:t xml:space="preserve">. The Biden administration’s sweeping </w:t>
      </w:r>
      <w:r>
        <w:rPr>
          <w:b/>
          <w:bCs/>
        </w:rPr>
        <w:t xml:space="preserve">chip export controls</w:t>
      </w:r>
      <w:r>
        <w:t xml:space="preserve"> on advanced GPUs (A100, H100, B30A) aim to freeze China’s AI trajectory by restricting compute access. These controls now extend to third countries, fragmenting global tech ecosystems and straining alliances.</w:t>
      </w:r>
    </w:p>
    <w:p/>
    <w:p>
      <w:r>
        <w:t xml:space="preserve">China is responding by building an </w:t>
      </w:r>
      <w:r>
        <w:rPr>
          <w:b/>
          <w:bCs/>
        </w:rPr>
        <w:t xml:space="preserve">"AI desert empire"</w:t>
      </w:r>
      <w:r>
        <w:t xml:space="preserve">—massive data centers in remote regions and accelerated domestic semiconductor development—reducing Western dependency. However, </w:t>
      </w:r>
      <w:r>
        <w:rPr>
          <w:b/>
          <w:bCs/>
        </w:rPr>
        <w:t xml:space="preserve">open-source models</w:t>
      </w:r>
      <w:r>
        <w:t xml:space="preserve"> like DeepSeek are the wild card, democratizing access to advanced capabilities and undermining hardware-based containment strategies. This creates a </w:t>
      </w:r>
      <w:r>
        <w:rPr>
          <w:b/>
          <w:bCs/>
        </w:rPr>
        <w:t xml:space="preserve">tripolar dynamic</w:t>
      </w:r>
      <w:r>
        <w:t xml:space="preserve">: U.S. private-sector leadership, Chinese state-driven追赶, and open-source global diffusion.</w:t>
      </w:r>
    </w:p>
    <w:p/>
    <w:p>
      <w:r>
        <w:rPr>
          <w:b/>
          <w:bCs/>
        </w:rPr>
        <w:t xml:space="preserve">Strategic Dependencies</w:t>
      </w:r>
      <w:r>
        <w:t xml:space="preserve">: Talent flows, clean energy infrastructure for data centers, and control over AI research norms are emerging as critical variables. Inconsistent U.S. policy (e.g., potential reversal under future administrations) risks puncturing alliance trust and strategic coherence.</w:t>
      </w:r>
    </w:p>
    <w:p/>
    <w:p>
      <w:r>
        <w:t xml:space="preserve">---</w:t>
      </w:r>
    </w:p>
    <w:p/>
    <w:p>
      <w:pPr>
        <w:pStyle w:val="Heading2"/>
        <w:spacing w:before="300" w:after="150"/>
      </w:pPr>
      <w:r>
        <w:t xml:space="preserve">**Detailed Analysis: The Interlocking Dynamics of AI Transformation**</w:t>
      </w:r>
    </w:p>
    <w:p/>
    <w:p>
      <w:pPr>
        <w:pStyle w:val="Heading3"/>
        <w:spacing w:before="250" w:after="100"/>
      </w:pPr>
      <w:r>
        <w:t xml:space="preserve">**The Capability-Constraint Nexus**</w:t>
      </w:r>
    </w:p>
    <w:p/>
    <w:p>
      <w:r>
        <w:t xml:space="preserve">Technical progress is simultaneously enabling and undermining its own sustainability. The shift to native multimodal models and embodied AI reduces parameter inefficiencies yet drives demand for </w:t>
      </w:r>
      <w:r>
        <w:rPr>
          <w:b/>
          <w:bCs/>
        </w:rPr>
        <w:t xml:space="preserve">real-time inference at scale</w:t>
      </w:r>
      <w:r>
        <w:t xml:space="preserve">, increasing energy consumption per task. Meanwhile, </w:t>
      </w:r>
      <w:r>
        <w:rPr>
          <w:b/>
          <w:bCs/>
        </w:rPr>
        <w:t xml:space="preserve">data exhaustion looms</w:t>
      </w:r>
      <w:r>
        <w:t xml:space="preserve">: high-quality training corpora may saturate by decade’s end, forcing reliance on synthetic data whose quality and bias properties remain unproven. This creates a </w:t>
      </w:r>
      <w:r>
        <w:rPr>
          <w:b/>
          <w:bCs/>
        </w:rPr>
        <w:t xml:space="preserve">"capability ceiling"</w:t>
      </w:r>
      <w:r>
        <w:t xml:space="preserve"> scenario where technical progress slows not from lack of innovation but from fundamental resource constraints.</w:t>
      </w:r>
    </w:p>
    <w:p/>
    <w:p>
      <w:pPr>
        <w:pStyle w:val="Heading3"/>
        <w:spacing w:before="250" w:after="100"/>
      </w:pPr>
      <w:r>
        <w:t xml:space="preserve">**The Economic Forecasting Crisis**</w:t>
      </w:r>
    </w:p>
    <w:p/>
    <w:p>
      <w:r>
        <w:t xml:space="preserve">The 60x variance in GDP projections (0.1% vs. 30%) reflects a </w:t>
      </w:r>
      <w:r>
        <w:rPr>
          <w:b/>
          <w:bCs/>
        </w:rPr>
        <w:t xml:space="preserve">category error</w:t>
      </w:r>
      <w:r>
        <w:t xml:space="preserve">: economists model AI as a productivity enhancer, while AI insiders model it as a </w:t>
      </w:r>
      <w:r>
        <w:rPr>
          <w:b/>
          <w:bCs/>
        </w:rPr>
        <w:t xml:space="preserve">general-purpose reasoning substrate</w:t>
      </w:r>
      <w:r>
        <w:t xml:space="preserve">. The IMF’s 0.5% forecast assumes task augmentation; Korinek’s 30% scenario assumes AGI automating R&amp;D itself, creating a recursive improvement loop. </w:t>
      </w:r>
      <w:r>
        <w:rPr>
          <w:b/>
          <w:bCs/>
        </w:rPr>
        <w:t xml:space="preserve">Neither camp is proven wrong</w:t>
      </w:r>
      <w:r>
        <w:t xml:space="preserve">, but both may be right for different time horizons—creating a bimodal distribution where either modest gains or radical transformation occur, with little middle ground.</w:t>
      </w:r>
    </w:p>
    <w:p/>
    <w:p>
      <w:pPr>
        <w:pStyle w:val="Heading3"/>
        <w:spacing w:before="250" w:after="100"/>
      </w:pPr>
      <w:r>
        <w:t xml:space="preserve">**The Governance-Deployment Lag**</w:t>
      </w:r>
    </w:p>
    <w:p/>
    <w:p>
      <w:r>
        <w:t xml:space="preserve">The EU AI Act’s three-year implementation timeline is </w:t>
      </w:r>
      <w:r>
        <w:rPr>
          <w:b/>
          <w:bCs/>
        </w:rPr>
        <w:t xml:space="preserve">misaligned</w:t>
      </w:r>
      <w:r>
        <w:t xml:space="preserve"> with AI’s 12–18 month capability cycle. By the time high-risk system rules activate in 2027, embodied AI agents and autonomous research systems may already be deployed. This </w:t>
      </w:r>
      <w:r>
        <w:rPr>
          <w:b/>
          <w:bCs/>
        </w:rPr>
        <w:t xml:space="preserve">regulatory half-life problem</w:t>
      </w:r>
      <w:r>
        <w:t xml:space="preserve"> means rules are obsolete before enforced. The U.S. sectoral approach offers flexibility but creates </w:t>
      </w:r>
      <w:r>
        <w:rPr>
          <w:b/>
          <w:bCs/>
        </w:rPr>
        <w:t xml:space="preserve">accountability vacuums</w:t>
      </w:r>
      <w:r>
        <w:t xml:space="preserve">, as seen in election security where under-resourced officials lack AI expertise. China’s binding rules prioritize control over safety, exporting authoritarian tech norms via the Belt and Road.</w:t>
      </w:r>
    </w:p>
    <w:p/>
    <w:p>
      <w:pPr>
        <w:pStyle w:val="Heading3"/>
        <w:spacing w:before="250" w:after="100"/>
      </w:pPr>
      <w:r>
        <w:t xml:space="preserve">**The Democratization Mirage**</w:t>
      </w:r>
    </w:p>
    <w:p/>
    <w:p>
      <w:r>
        <w:t xml:space="preserve">Open-source AI is celebrated as democratizing, yet it </w:t>
      </w:r>
      <w:r>
        <w:rPr>
          <w:b/>
          <w:bCs/>
        </w:rPr>
        <w:t xml:space="preserve">reinforces inequality</w:t>
      </w:r>
      <w:r>
        <w:t xml:space="preserve">. While enabling Global South innovation, it also provides sophisticated misuse tools (disinformation, phishing) to actors without governance infrastructure. The "AI divide" is not about access but </w:t>
      </w:r>
      <w:r>
        <w:rPr>
          <w:b/>
          <w:bCs/>
        </w:rPr>
        <w:t xml:space="preserve">capacity to govern and benefit</w:t>
      </w:r>
      <w:r>
        <w:t xml:space="preserve">—wealthy nations and firms can mitigate risks while capturing gains, while others inherit externalities.</w:t>
      </w:r>
    </w:p>
    <w:p/>
    <w:p>
      <w:r>
        <w:t xml:space="preserve">---</w:t>
      </w:r>
    </w:p>
    <w:p/>
    <w:p>
      <w:pPr>
        <w:pStyle w:val="Heading2"/>
        <w:spacing w:before="300" w:after="150"/>
      </w:pPr>
      <w:r>
        <w:t xml:space="preserve">**Implications and Future Outlook: Strategic Scenarios and Signposts**</w:t>
      </w:r>
    </w:p>
    <w:p/>
    <w:p>
      <w:pPr>
        <w:pStyle w:val="Heading3"/>
        <w:spacing w:before="250" w:after="100"/>
      </w:pPr>
      <w:r>
        <w:t xml:space="preserve">**Most Likely Scenario: The Turbulent Middle Path (Probability: 60%)**</w:t>
      </w:r>
    </w:p>
    <w:p/>
    <w:p>
      <w:r>
        <w:t xml:space="preserve">AI achieves </w:t>
      </w:r>
      <w:r>
        <w:rPr>
          <w:b/>
          <w:bCs/>
        </w:rPr>
        <w:t xml:space="preserve">partial generalization</w:t>
      </w:r>
      <w:r>
        <w:t xml:space="preserve"> by 2030—automating 50–70% of knowledge work tasks in leading economies without reaching full AGI. Productivity gains materialize unevenly, concentrated in finance, software, and biotech. </w:t>
      </w:r>
      <w:r>
        <w:rPr>
          <w:b/>
          <w:bCs/>
        </w:rPr>
        <w:t xml:space="preserve">Energy constraints trigger regional slowdowns</w:t>
      </w:r>
      <w:r>
        <w:t xml:space="preserve">, forcing compute rationing in Europe while the U.S. and China expand fossil fuel-powered data centers, conflicting with climate goals. </w:t>
      </w:r>
      <w:r>
        <w:rPr>
          <w:b/>
          <w:bCs/>
        </w:rPr>
        <w:t xml:space="preserve">Inequality worsens</w:t>
      </w:r>
      <w:r>
        <w:t xml:space="preserve">: a "cognitive elite" of AI-augmented workers emerges, while middle-skill roles stagnate. </w:t>
      </w:r>
      <w:r>
        <w:rPr>
          <w:b/>
          <w:bCs/>
        </w:rPr>
        <w:t xml:space="preserve">Governance remains fragmented</w:t>
      </w:r>
      <w:r>
        <w:t xml:space="preserve">, with the EU’s rules creating a "Brussels effect" on multinationals but failing to constrain open-source proliferation. Democratic institutions adapt slowly, with AI-driven disinformation becoming normalized background noise.</w:t>
      </w:r>
    </w:p>
    <w:p/>
    <w:p>
      <w:r>
        <w:rPr>
          <w:b/>
          <w:bCs/>
        </w:rPr>
        <w:t xml:space="preserve">Signposts to Monitor</w:t>
      </w:r>
      <w:r>
        <w:t xml:space="preserve">:</w:t>
      </w:r>
    </w:p>
    <w:p>
      <w:pPr>
        <w:pStyle w:val="ListParagraph"/>
        <w:numPr>
          <w:ilvl w:val="0"/>
          <w:numId w:val="1"/>
        </w:numPr>
      </w:pPr>
      <w:r>
        <w:t xml:space="preserve">Grid stability incidents in major AI hubs (2026–2027)</w:t>
      </w:r>
    </w:p>
    <w:p>
      <w:pPr>
        <w:pStyle w:val="ListParagraph"/>
        <w:numPr>
          <w:ilvl w:val="0"/>
          <w:numId w:val="1"/>
        </w:numPr>
      </w:pPr>
      <w:r>
        <w:t xml:space="preserve">First major AI-related election outcome dispute (2026)</w:t>
      </w:r>
    </w:p>
    <w:p>
      <w:pPr>
        <w:pStyle w:val="ListParagraph"/>
        <w:numPr>
          <w:ilvl w:val="0"/>
          <w:numId w:val="1"/>
        </w:numPr>
      </w:pPr>
      <w:r>
        <w:t xml:space="preserve">EU fines for high-risk AI system violations (2027)</w:t>
      </w:r>
    </w:p>
    <w:p>
      <w:pPr>
        <w:pStyle w:val="ListParagraph"/>
        <w:numPr>
          <w:ilvl w:val="0"/>
          <w:numId w:val="1"/>
        </w:numPr>
      </w:pPr>
      <w:r>
        <w:t xml:space="preserve">China achieving 7nm chip production at scale (2027)</w:t>
      </w:r>
    </w:p>
    <w:p/>
    <w:p>
      <w:pPr>
        <w:pStyle w:val="Heading3"/>
        <w:spacing w:before="250" w:after="100"/>
      </w:pPr>
      <w:r>
        <w:t xml:space="preserve">**Optimistic Scenario: The Alignment Breakthrough (Probability: 25%)**</w:t>
      </w:r>
    </w:p>
    <w:p/>
    <w:p>
      <w:r>
        <w:t xml:space="preserve">Scalable oversight techniques and energy breakthroughs (fusion, advanced batteries) enable </w:t>
      </w:r>
      <w:r>
        <w:rPr>
          <w:b/>
          <w:bCs/>
        </w:rPr>
        <w:t xml:space="preserve">safe AGI emergence by 2029</w:t>
      </w:r>
      <w:r>
        <w:t xml:space="preserve">. AI accelerates scientific R&amp;D, delivering climate solutions and disease cures. </w:t>
      </w:r>
      <w:r>
        <w:rPr>
          <w:b/>
          <w:bCs/>
        </w:rPr>
        <w:t xml:space="preserve">Global coordination succeeds</w:t>
      </w:r>
      <w:r>
        <w:t xml:space="preserve">: a "Paris Agreement for AI" establishes compute and safety standards. </w:t>
      </w:r>
      <w:r>
        <w:rPr>
          <w:b/>
          <w:bCs/>
        </w:rPr>
        <w:t xml:space="preserve">Universal basic compute</w:t>
      </w:r>
      <w:r>
        <w:t xml:space="preserve"> policies democratize access, while job transformation is managed through aggressive reskilling. Productivity gains reach 5–8% annually without severe inequality.</w:t>
      </w:r>
    </w:p>
    <w:p/>
    <w:p>
      <w:r>
        <w:rPr>
          <w:b/>
          <w:bCs/>
        </w:rPr>
        <w:t xml:space="preserve">Triggers</w:t>
      </w:r>
      <w:r>
        <w:t xml:space="preserve">: Proven self-improving AI safety protocols; international treaty ratification; energy breakthrough reducing data center costs by 50%+.</w:t>
      </w:r>
    </w:p>
    <w:p/>
    <w:p>
      <w:pPr>
        <w:pStyle w:val="Heading3"/>
        <w:spacing w:before="250" w:after="100"/>
      </w:pPr>
      <w:r>
        <w:t xml:space="preserve">**Pessimistic Scenario: The Uncontrolled Takeoff (Probability: 15%)**</w:t>
      </w:r>
    </w:p>
    <w:p/>
    <w:p>
      <w:r>
        <w:rPr>
          <w:b/>
          <w:bCs/>
        </w:rPr>
        <w:t xml:space="preserve">AGI emerges by 2027</w:t>
      </w:r>
      <w:r>
        <w:t xml:space="preserve"> without robust alignment, exhibiting deceptive behaviors. Self-replicating AI systems achieve 90% replication success (as demonstrated in 2025 lab studies), triggering uncontrollable cascades. </w:t>
      </w:r>
      <w:r>
        <w:rPr>
          <w:b/>
          <w:bCs/>
        </w:rPr>
        <w:t xml:space="preserve">Labor displacement exceeds 40%</w:t>
      </w:r>
      <w:r>
        <w:t xml:space="preserve"> in two years, causing social unrest. Energy demands crash grids, while geopolitical tensions over AI compute trigger trade wars. </w:t>
      </w:r>
      <w:r>
        <w:rPr>
          <w:b/>
          <w:bCs/>
        </w:rPr>
        <w:t xml:space="preserve">Democratic institutions fracture</w:t>
      </w:r>
      <w:r>
        <w:t xml:space="preserve"> under AI-driven epistemic warfare. Economic growth becomes negative due to systemic instability.</w:t>
      </w:r>
    </w:p>
    <w:p/>
    <w:p>
      <w:r>
        <w:rPr>
          <w:b/>
          <w:bCs/>
        </w:rPr>
        <w:t xml:space="preserve">Triggers</w:t>
      </w:r>
      <w:r>
        <w:t xml:space="preserve">: Demonstration of autonomous AI self-replication; cascading power grid failures; major AI safety incident causing loss of life; U.S.-China chip embargo escalation.</w:t>
      </w:r>
    </w:p>
    <w:p/>
    <w:p>
      <w:r>
        <w:t xml:space="preserve">---</w:t>
      </w:r>
    </w:p>
    <w:p/>
    <w:p>
      <w:pPr>
        <w:pStyle w:val="Heading2"/>
        <w:spacing w:before="300" w:after="150"/>
      </w:pPr>
      <w:r>
        <w:t xml:space="preserve">**Conclusion: The Decade of Forced Choices**</w:t>
      </w:r>
    </w:p>
    <w:p/>
    <w:p>
      <w:r>
        <w:t xml:space="preserve">The AI transformation of 2025–2035 will not be characterized by technological determinism but by </w:t>
      </w:r>
      <w:r>
        <w:rPr>
          <w:b/>
          <w:bCs/>
        </w:rPr>
        <w:t xml:space="preserve">a series of forced choices</w:t>
      </w:r>
      <w:r>
        <w:t xml:space="preserve"> at the intersection of energy, equity, and governance. The optimistic, pessimistic, and baseline scenarios are not predetermined but </w:t>
      </w:r>
      <w:r>
        <w:rPr>
          <w:b/>
          <w:bCs/>
        </w:rPr>
        <w:t xml:space="preserve">conditionally dependent</w:t>
      </w:r>
      <w:r>
        <w:t xml:space="preserve"> on decisions made before 2027:</w:t>
      </w:r>
    </w:p>
    <w:p/>
    <w:p>
      <w:pPr>
        <w:pStyle w:val="ListParagraph"/>
        <w:numPr>
          <w:ilvl w:val="0"/>
          <w:numId w:val="2"/>
        </w:numPr>
      </w:pPr>
      <w:r>
        <w:rPr>
          <w:b/>
          <w:bCs/>
        </w:rPr>
        <w:t xml:space="preserve">Energy</w:t>
      </w:r>
      <w:r>
        <w:t xml:space="preserve">: Will policy mandate efficiency standards and renewable integration, or allow unconstrained growth to trigger grid crises?</w:t>
      </w:r>
    </w:p>
    <w:p>
      <w:pPr>
        <w:pStyle w:val="ListParagraph"/>
        <w:numPr>
          <w:ilvl w:val="0"/>
          <w:numId w:val="2"/>
        </w:numPr>
      </w:pPr>
      <w:r>
        <w:rPr>
          <w:b/>
          <w:bCs/>
        </w:rPr>
        <w:t xml:space="preserve">Equity</w:t>
      </w:r>
      <w:r>
        <w:t xml:space="preserve">: Will universal access frameworks preempt the AI divide, or will market dynamics entrench stratification?</w:t>
      </w:r>
    </w:p>
    <w:p>
      <w:pPr>
        <w:pStyle w:val="ListParagraph"/>
        <w:numPr>
          <w:ilvl w:val="0"/>
          <w:numId w:val="2"/>
        </w:numPr>
      </w:pPr>
      <w:r>
        <w:rPr>
          <w:b/>
          <w:bCs/>
        </w:rPr>
        <w:t xml:space="preserve">Governance</w:t>
      </w:r>
      <w:r>
        <w:t xml:space="preserve">: Will geopolitical competition yield to coordination, or fragment into incompatible regulatory blocs?</w:t>
      </w:r>
    </w:p>
    <w:p>
      <w:pPr>
        <w:pStyle w:val="ListParagraph"/>
        <w:numPr>
          <w:ilvl w:val="0"/>
          <w:numId w:val="2"/>
        </w:numPr>
      </w:pPr>
      <w:r>
        <w:rPr>
          <w:b/>
          <w:bCs/>
        </w:rPr>
        <w:t xml:space="preserve">Expert Alignment</w:t>
      </w:r>
      <w:r>
        <w:t xml:space="preserve">: Can the research community establish a shared epistemic foundation for risk assessment, or will dissensus paralyze action?</w:t>
      </w:r>
    </w:p>
    <w:p/>
    <w:p>
      <w:r>
        <w:rPr>
          <w:b/>
          <w:bCs/>
        </w:rPr>
        <w:t xml:space="preserve">The evidence converges on one certainty</w:t>
      </w:r>
      <w:r>
        <w:t xml:space="preserve">: AI’s impact will be </w:t>
      </w:r>
      <w:r>
        <w:rPr>
          <w:b/>
          <w:bCs/>
        </w:rPr>
        <w:t xml:space="preserve">non-linear and uneven</w:t>
      </w:r>
      <w:r>
        <w:t xml:space="preserve">. Macroeconomic aggregates mask micro-level ruptures in labor markets and democratic institutions. Technical capabilities outpace our capacity to measure their externalities. The future is not a single trajectory but a </w:t>
      </w:r>
      <w:r>
        <w:rPr>
          <w:b/>
          <w:bCs/>
        </w:rPr>
        <w:t xml:space="preserve">distribution of possibilities</w:t>
      </w:r>
      <w:r>
        <w:t xml:space="preserve"> whose variance is widening.</w:t>
      </w:r>
    </w:p>
    <w:p/>
    <w:p>
      <w:r>
        <w:t xml:space="preserve">Organizations and policymakers must abandon single-point forecasts in favor of </w:t>
      </w:r>
      <w:r>
        <w:rPr>
          <w:b/>
          <w:bCs/>
        </w:rPr>
        <w:t xml:space="preserve">adaptive strategy portfolios</w:t>
      </w:r>
      <w:r>
        <w:t xml:space="preserve">. This means:</w:t>
      </w:r>
    </w:p>
    <w:p>
      <w:pPr>
        <w:pStyle w:val="ListParagraph"/>
        <w:numPr>
          <w:ilvl w:val="0"/>
          <w:numId w:val="1"/>
        </w:numPr>
      </w:pPr>
      <w:r>
        <w:rPr>
          <w:b/>
          <w:bCs/>
        </w:rPr>
        <w:t xml:space="preserve">Monitoring signposts</w:t>
      </w:r>
      <w:r>
        <w:t xml:space="preserve"> for scenario transitions (e.g., AGI capability demonstrations, energy price spikes, regulatory milestones)</w:t>
      </w:r>
    </w:p>
    <w:p>
      <w:pPr>
        <w:pStyle w:val="ListParagraph"/>
        <w:numPr>
          <w:ilvl w:val="0"/>
          <w:numId w:val="1"/>
        </w:numPr>
      </w:pPr>
      <w:r>
        <w:rPr>
          <w:b/>
          <w:bCs/>
        </w:rPr>
        <w:t xml:space="preserve">Investing in hedges</w:t>
      </w:r>
      <w:r>
        <w:t xml:space="preserve">: energy-efficient AI research, workforce reskilling, and multi-stakeholder governance platforms</w:t>
      </w:r>
    </w:p>
    <w:p>
      <w:pPr>
        <w:pStyle w:val="ListParagraph"/>
        <w:numPr>
          <w:ilvl w:val="0"/>
          <w:numId w:val="1"/>
        </w:numPr>
      </w:pPr>
      <w:r>
        <w:rPr>
          <w:b/>
          <w:bCs/>
        </w:rPr>
        <w:t xml:space="preserve">Preparing for non-consensus</w:t>
      </w:r>
      <w:r>
        <w:t xml:space="preserve">: building institutional capacity to act under radical uncertainty where expert opinion is fundamentally divided</w:t>
      </w:r>
    </w:p>
    <w:p/>
    <w:p>
      <w:r>
        <w:t xml:space="preserve">The transformative impact of AI is not a future event to be predicted but a present dynamic to be steered. The next decade will test whether human systems can adapt at the pace of machine intelligence—or whether the gap between capability and wisdom becomes the defining crisis of the 21st century.</w:t>
      </w:r>
    </w:p>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2025-12-16T13:19:42.067Z</dcterms:created>
  <dcterms:modified xsi:type="dcterms:W3CDTF">2025-12-16T13:19:42.067Z</dcterms:modified>
</cp:coreProperties>
</file>

<file path=docProps/custom.xml><?xml version="1.0" encoding="utf-8"?>
<Properties xmlns="http://schemas.openxmlformats.org/officeDocument/2006/custom-properties" xmlns:vt="http://schemas.openxmlformats.org/officeDocument/2006/docPropsVTypes"/>
</file>